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single-center study</w:t>
      </w:r>
    </w:p>
    <w:p>
      <w:pPr>
        <w:spacing w:after="120" w:before="0" w:line="480" w:lineRule="exact"/>
        <w:jc w:val="left"/>
      </w:pPr>
      <w:r>
        <w:rPr>
          <w:rFonts w:ascii="Times New Roman" w:hAnsi="Times New Roman"/>
          <w:b w:val="0"/>
          <w:i w:val="0"/>
          <w:sz w:val="24"/>
        </w:rPr>
        <w:t>Maxim Riebus, Haroon Tharwat, Niels Martin, Ben Van Bylen, and Dieter Mesotten</w:t>
      </w:r>
    </w:p>
    <w:p>
      <w:pPr>
        <w:spacing w:after="120" w:before="120" w:line="480" w:lineRule="exact"/>
        <w:jc w:val="left"/>
      </w:pPr>
      <w:r>
        <w:rPr>
          <w:rFonts w:ascii="Times New Roman" w:hAnsi="Times New Roman"/>
          <w:b w:val="0"/>
          <w:i/>
          <w:sz w:val="24"/>
        </w:rPr>
        <w:t>[Affiliations to be completed]</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~2,900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elevated patient mortality, staff fatigue, and disproportionate costs. Most studies report overtime as a hospital-wide aggregate, which can obscure where the problem concentrates and misdirect quality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characterize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of administrative operating-room data at a 24/7 tertiary hospital in Belgium operating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Unplanned urgent cases disrupted the elective programme on 68.8% of observation days, associated with a median difference of approximately 30 minutes in elective start times. First-case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At this tertiary hospital, overtime concentrated in a small number of rooms, with case-mix complexity and unplanned urgent-case disruption of the elective programme as the most visible associated factors. Room-level overtime monitoring and scheduling that accounts for urgent-case flow are more practical targets for quality improvement than first-case punctuality alone.</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elevated patient mortality, staff fatigue, and burnout, and imposes disproportionate financial costs.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single-center retrospective analysis of 79,352 surgical cases, overtime concentrated in a small number of rooms, with a nearly ten-fold spread across the same hospital (3.5% to 32.9%). Case-mix complexity and unplanned urgent cases disrupting the elective programme were the factors most visibly associated with room-level overtime; first-case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their schedules rarely align with planned schedules.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Overutilized time is approximately twice as expensive as underutilized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evening or night, when fewer staff are on duty. This is the exposure that a separate body of work studies under the term after-hours surgery, which is defined by the clock time of the operation rather than by a staffing boundary. The two are not identical, but overtime is one of the routes by which scheduled daytime work ends up being performed after hours, so the harms reported for after-hours surgery are relevant to it. After-hours surgery has been linked to elevated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multicenter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Each intraoperative anesthesia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same exposure carries documented consequences for staff.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competes for a diminishing set of staffed rooms, staffed by different nursing personnel from those who began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is concentrated in specific rooms within a single hospital, and which operational factors are associated with it, have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Belgian tertiary hospital to improve OR performance. We analyze scheduled-versus-observed performance from administrative data and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first-case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center in Belgium performing more than 22,000 surgical procedures per year. It operates 18 surgical operating rooms and 7 interventional operating rooms. The surgical staff includes 195 surgeons and 207 anesthesiologists (including trainees and fellows), covering all surgical specialties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(elective versus non-elective),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rather than aggregate utilization, was used 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first-case start-time deviation per room, inter-case idle time, and room swaps. We also computed Spearman rank correlations across the 18 rooms between room-level overtime rate and two candidate factors: first-case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de-identified administrative data, no patient or public involvement in the design, conduct, or reporting of this study was applicable.</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anesthesiologists, and included 1,276 distinct procedure types. Weekday volume was evenly distributed (17.9 to 20.0% Monday through Friday); weekends accounted for 1.8 to 2.1%. Year-on-year volume grew from 22,133 in 2022 to 23,738 in 2024, with 9,906 recorded through May 2025. The urgency mix was 85.4% elective and 14.6%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1A). Weekday rates were similar (8.8 to 9.9%) but roughly 1.7 times higher on weekends (Saturday 16.8%, Sunday 15.5%), when the elective programme does not run and volume is almost entirely urgent or emergency surgery. The year-on-year trend showed gradual improvement: 10.0% in 2022, 10.0% in 2023, 9.7% in 2024, and 8.6% in the partial 2025 data (Table 1B).</w:t>
      </w:r>
    </w:p>
    <w:p>
      <w:pPr>
        <w:spacing w:after="120" w:before="0" w:line="480" w:lineRule="exact"/>
        <w:jc w:val="left"/>
      </w:pPr>
      <w:r>
        <w:rPr>
          <w:rFonts w:ascii="Times New Roman" w:hAnsi="Times New Roman"/>
          <w:b/>
          <w:sz w:val="24"/>
        </w:rPr>
        <w:t>Table 1A.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1B.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therefore spanned nearly an order of magnitude across rooms in the same hospital.</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right after the day-shift handover when most of the rooms had already closed.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Because overruns and underruns were of similar size and roughly offsetting frequency, the planning system showed no consistent bias: bookings were not systematically too tight or too generous, so the schedule could not be fixed by padding every case by a fixed amount. What the averages hide is the spread around them. Two cases booked for the same duration could finish far apart, and that variability, not a tendency to under-book, is what pushes a list past its boundary.</w:t>
      </w:r>
    </w:p>
    <w:p>
      <w:pPr>
        <w:spacing w:after="120" w:before="0" w:line="480" w:lineRule="exact"/>
        <w:jc w:val="left"/>
      </w:pPr>
      <w:r>
        <w:rPr>
          <w:rFonts w:ascii="Times New Roman" w:hAnsi="Times New Roman"/>
          <w:b w:val="0"/>
          <w:i w:val="0"/>
          <w:sz w:val="24"/>
        </w:rPr>
        <w:t>We measured this spread with the coefficient of variation (CV), the standard deviation of duration divided by its mean, which places cases of different lengths on a comparable scale. Observed-duration CV was highest for short cases (0.61 for under 30 minutes), lowest for mid-length cases (0.35 to 0.36 for 61 to 180 minutes), and intermediate for the longest cases (0.42 for over 180 minutes); short cases are proportionally the most variable because a few extra minutes is a large fraction of a brief booking. The more relevant figure is the CV of the planning error itself, which reached 1.86 in the over-180-minute bucket, meaning the spread of the booking error was nearly twice as large as the error's own average. In practical terms, the schedule was least able to predict the finishing time of exactly the cases that run longest. These procedures (complex cardiac and oncology cases) clustered in the rooms with the highest overtime, so the rooms that were hardest to plan were also the rooms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Per case, urgent surgery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w:t>
      </w:r>
    </w:p>
    <w:p>
      <w:pPr>
        <w:spacing w:after="120" w:before="0" w:line="480" w:lineRule="exact"/>
        <w:jc w:val="left"/>
      </w:pPr>
      <w:r>
        <w:rPr>
          <w:rFonts w:ascii="Times New Roman" w:hAnsi="Times New Roman"/>
          <w:b w:val="0"/>
          <w:i w:val="0"/>
          <w:sz w:val="24"/>
        </w:rPr>
        <w:t>To assess whether urgent cases disrupt the elective program,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Table 2B). On days with overlap, elective cases started later than on days without, a median difference of approximately 30 minutes, a gap that reached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2A.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2B.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First-case punctuality.</w:t>
      </w:r>
      <w:r>
        <w:rPr>
          <w:rFonts w:ascii="Times New Roman" w:hAnsi="Times New Roman"/>
          <w:b w:val="0"/>
          <w:i w:val="0"/>
          <w:sz w:val="24"/>
        </w:rPr>
        <w:t xml:space="preserve"> Across all 18 rooms, late-start rate showed no significant correlation with room-level overtime rate (Spearman rho = −0.29, p = 0.24). The direction of the association was negative: rooms with higher late-start rates tended to have lower overtime rates rather than higher ones. OR10 had the lowest late-start rate of all 18 rooms (46.1%) yet the highest overtime rate (32.9%); OR14 had a late-start rate of 78.7% yet the lowest overtime rate (3.5%); OR11 had the highest late-start rate (82.4%) with a mid-range overtime rate (11.7%). This is consistent with Pandit et al., who reported R-squared values of 0.04 to 0.08 between start and finish times across more than 7,000 operating room lists.</w:t>
      </w:r>
      <w:r>
        <w:rPr>
          <w:rFonts w:ascii="Times New Roman" w:hAnsi="Times New Roman"/>
          <w:sz w:val="24"/>
          <w:vertAlign w:val="superscript"/>
        </w:rPr>
        <w:t>23</w:t>
      </w:r>
      <w:r>
        <w:rPr>
          <w:rFonts w:ascii="Times New Roman" w:hAnsi="Times New Roman"/>
          <w:b w:val="0"/>
          <w:i w:val="0"/>
          <w:sz w:val="24"/>
        </w:rPr>
        <w:t xml:space="preserve"> First-case punctuality was therefore not associated with where overtime accumulates at the room level.</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was positively correlated with overtime rate (Spearman rho = 0.89, p &lt; 0.001), driven largely by OR10, which had both the highest mean idle time (22.6 minutes) and the highest overtime rate (32.9%). Excluding OR10, the pattern did not hold consistently across the remaining rooms. The elevated idle time in OR10 most plausibly reflects preparation demands between complex cardiac cases rather than inefficient turnover, and is better understood as a marker of case-mix complexity than as a scheduling inefficiency.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single-center analysis of 79,352 cases, overtime was not a diffuse hospital-wide phenomenon. The aggregate rate (9.7%) hid a near ten-fold spread across rooms (3.5 to 32.9%). The factors most visibly associated with the room-level pattern were case-mix complexity and routine urgent-elective overlap; first-case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The distribution, however, is uneven: OR10 ran overtime in roughly one of every three cases, while OR14 ran 3.5%.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(complex cardiac and oncology cases) clustered in the rooms with the highest overtime. This concentration suggests that case-mix complexity, rather than scheduling inefficiency alone, accounts for much of the room-level variation. Wachtel and Dexter described, in a large operational dataset,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This makes urgent arrivals a routine scheduling factor rather than an exception. The hospital already operates dedicated rooms for urgent cases, yet this overlap still occurs, so protecting the elective program may require additional scheduling buffers or capacity reallocation rather than reactive rescheduling alone.</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At the room level, our data do not show that relationship: late-start rate and overtime rate were not significantly correlated (Spearman rho = −0.29, p = 0.24), and the room with the lowest late-start rate (OR10, 46.1%) had the highest overtime (32.9%), while a room with one of the highest late-start rates (OR14, 78.7%) had the lowest overtime (3.5%). Pandit et al. reported a similar disconnect across more than 7,000 operating room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and scheduling should treat urgent-case flow as a routine planning input rather than an exception.</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is operationally comparable to the exposure that other studies have linked to staff fatigue, elevated after-hours mortality, and increased complication risk (references 2–13). Whether these harms are present in this cohort cannot be determined from administrative data alone; direct measurement of patient and staff outcomes associated with room-level overtime remains an important next step for future research.</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it is unknown whether the concentration pattern holds across hospitals with different staffing models.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unplanned urgent-case disruption of the elective programme as the most strongly associated factors. First-case punctuality and inter-case idle time were not associated with room-level overtime.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ordered ascending. Panel B: mean overtime duration per room (minutes), with the hospital-wide average marked for reference.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