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Maxim Riebus, Haroon Tharwat, Niels Martin, Ben Van Bylen, and Dieter Mesotten</w:t>
      </w:r>
    </w:p>
    <w:p>
      <w:pPr>
        <w:spacing w:after="120" w:before="120" w:line="480" w:lineRule="exact"/>
        <w:jc w:val="left"/>
      </w:pPr>
      <w:r>
        <w:rPr>
          <w:rFonts w:ascii="Times New Roman" w:hAnsi="Times New Roman"/>
          <w:b w:val="0"/>
          <w:i/>
          <w:sz w:val="24"/>
        </w:rPr>
        <w:t>[Affiliations to be completed]</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~2,900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elevated patient mortality, staff fatigue, and disproportionate costs. Most studies report overtime as a hospital-wide aggregate, which can obscure where the problem concentrates and misdirect quality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characterize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of administrative operating-room data at a 24/7 tertiary hospital in Belgium operating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 cases disrupted the elective programme on 68.8% of observation days, associated with a median difference of approximately 30 minutes in elective start times. First-case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first-case punctuality alone.</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elevated patient mortality, staff fatigue, and burnout, and imposes disproportionate financial costs.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single-center retrospective analysis of 79,352 surgical cases, overtime concentrated in a small number of rooms, with a nearly ten-fold spread across the same hospital (3.5% to 32.9%). Case-mix complexity and unplanned urgent cases disrupting the elective programme were the factors most visibly associated with room-level overtime; first-case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align with planned schedules.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This is the exposure that a separate body of work studies under the term after-hours surgery, which is defined by the clock time of the operation rather than by a staffing boundary. The two are not identical, but overtime is one of the routes by which scheduled daytime work ends up being performed after hours, so the harms reported for after-hours surgery are relevant to it. 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At the study hospital, anesthesiologists remain with the case until it is complete and are not subject to these shift-based handovers; the nursing team, however, changes at each shift boundary regardless of whether a procedure is in progress.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staffed by different nursing personnel from those who began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is concentrated in specific rooms within a single hospital, and which operational factors are associated with it, have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Belgian tertiary hospital to improve OR performance. We analyze scheduled-versus-observed performance from administrative data and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first-case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surgical specialties except congenital cardiac surgery and organ transplantation. Nursing staffing runs 2 to 3 per room during the 08:00 to 16:30 day shift; at 16:30 the number of staffed rooms drops to 8, at 17:30 to 4, and overnight a single room remains staffed.</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(this classification reflects the admission pathway and is distinct from the elective versus non-elective urgency split reported below). Room-in and room-out times are the only time markers confirmed as reliable by the hospital's clinical team; all timing analyses use these two time points. Following the glossary of Bauer et al.,</w:t>
      </w:r>
      <w:r>
        <w:rPr>
          <w:rFonts w:ascii="Times New Roman" w:hAnsi="Times New Roman"/>
          <w:sz w:val="24"/>
          <w:vertAlign w:val="superscript"/>
        </w:rPr>
        <w:t>18</w:t>
      </w:r>
      <w:r>
        <w:rPr>
          <w:rFonts w:ascii="Times New Roman" w:hAnsi="Times New Roman"/>
          <w:b w:val="0"/>
          <w:i w:val="0"/>
          <w:sz w:val="24"/>
        </w:rPr>
        <w:t xml:space="preserve"> the extracted variables include planned and observed duration, planning deviation, start-time deviation, overtime flag and overtime minutes, room-swap flag, urgency (elective versus non-elective),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first-case start-time deviation per room, inter-case idle time, and room swaps. We also computed Spearman rank correlations across the 18 rooms between room-level overtime rate and two candidate factors: first-case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and included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or emergency surgery. The year-on-year trend showed gradual improvement: 10.0% in 2022, 10.0% in 2023, 9.7% in 2024, and 8.6% in the partial 2025 data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therefore spanned nearly an order of magnitude across rooms in the same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meaning the standard deviation of the planning error was nearly twice the mean. The procedures with the largest absolute deviations (complex cardiac and oncology cases) were concentrated in the rooms with the highest overtime.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First-case punctuality.</w:t>
      </w:r>
      <w:r>
        <w:rPr>
          <w:rFonts w:ascii="Times New Roman" w:hAnsi="Times New Roman"/>
          <w:b w:val="0"/>
          <w:i w:val="0"/>
          <w:sz w:val="24"/>
        </w:rPr>
        <w:t xml:space="preserve"> Across all 18 rooms, late-start rate showed no significant correlation with room-level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First-case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elevated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so protecting the elective program may require additional scheduling buffers or capacity reallocation rather than reactive rescheduling alone.</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is operationally comparable to the exposure that other studies have linked to staff fatigue, elevated after-hours mortality, and increased complication risk (references 2–13). Whether these harms are present in this cohort cannot be determined from administrative data alone; direct measurement of patient and staff outcomes associated with room-level overtime remains an important next step for future research.</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it is unknown whether the concentration pattern holds across hospitals with different staffing models.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strongly associated factors. First-case punctuality and inter-case idle time were not associated with room-level overtime.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ordered ascending. Panel B: mean overtime duration per room (minutes), with the hospital-wide average marked for reference.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