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~2,900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higher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in a diminishing pool of open rooms with nursing personnel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We analyse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utilisation,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We also computed Spearman rank correlations across the 18 rooms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anaesthesiologists,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of similar size and similar frequency, so the planning system showed no consistent bias: bookings were not systematically too tight or too generous, and the schedule could not be corrected by padding every case by a fixed amount. The problem was the spread around these averages. Two cases booked for the same duration could finish well apart, and that variability, rather than a tendency to under-book, is what pushes a list past its boundary.</w:t>
      </w:r>
    </w:p>
    <w:p>
      <w:pPr>
        <w:spacing w:after="120" w:before="0" w:line="480" w:lineRule="exact"/>
        <w:jc w:val="left"/>
      </w:pPr>
      <w:r>
        <w:rPr>
          <w:rFonts w:ascii="Times New Roman" w:hAnsi="Times New Roman"/>
          <w:b w:val="0"/>
          <w:i w:val="0"/>
          <w:sz w:val="24"/>
        </w:rPr>
        <w:t>We measured the spread with the coefficient of variation (CV), the standard deviation of duration divided by its mean, which puts cases of different lengths on a comparable scale. Observed-duration CV was highest for short cases (0.54 for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their planned time, with a mean delay of 74.6 minutes and a median of 28 minutes among late cases. At the room level, late-start rate showed no significant correlation with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programme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At the room level,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Start-time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elevated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