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480" w:lineRule="exact"/>
      </w:pPr>
      <w:r>
        <w:rPr>
          <w:rFonts w:ascii="Times New Roman" w:hAnsi="Times New Roman"/>
          <w:b/>
          <w:sz w:val="28"/>
        </w:rPr>
        <w:t>Where does operating-room overtime come from? A retrospective single-centre study</w:t>
      </w:r>
    </w:p>
    <w:p>
      <w:pPr>
        <w:spacing w:after="120" w:before="120" w:line="480" w:lineRule="exact"/>
        <w:jc w:val="left"/>
      </w:pPr>
      <w:r>
        <w:rPr>
          <w:rFonts w:ascii="Times New Roman" w:hAnsi="Times New Roman"/>
          <w:b w:val="0"/>
          <w:i/>
          <w:sz w:val="24"/>
        </w:rPr>
        <w:t>[Authors and affiliations removed for blinded review]</w:t>
      </w:r>
    </w:p>
    <w:p>
      <w:pPr>
        <w:spacing w:after="120" w:before="0" w:line="480" w:lineRule="exact"/>
        <w:jc w:val="left"/>
      </w:pPr>
      <w:r>
        <w:rPr>
          <w:rFonts w:ascii="Times New Roman" w:hAnsi="Times New Roman"/>
          <w:b/>
          <w:sz w:val="24"/>
        </w:rPr>
        <w:t>Correspondence:</w:t>
      </w:r>
      <w:r>
        <w:rPr>
          <w:rFonts w:ascii="Times New Roman" w:hAnsi="Times New Roman"/>
          <w:b w:val="0"/>
          <w:i w:val="0"/>
          <w:sz w:val="24"/>
        </w:rPr>
        <w:t xml:space="preserve"> [removed for blinded review]</w:t>
      </w:r>
    </w:p>
    <w:p>
      <w:pPr>
        <w:spacing w:after="120" w:before="0" w:line="480" w:lineRule="exact"/>
        <w:jc w:val="left"/>
      </w:pPr>
      <w:r>
        <w:rPr>
          <w:rFonts w:ascii="Times New Roman" w:hAnsi="Times New Roman"/>
          <w:b/>
          <w:sz w:val="24"/>
        </w:rPr>
        <w:t>Word count:</w:t>
      </w:r>
      <w:r>
        <w:rPr>
          <w:rFonts w:ascii="Times New Roman" w:hAnsi="Times New Roman"/>
          <w:b w:val="0"/>
          <w:i w:val="0"/>
          <w:sz w:val="24"/>
        </w:rPr>
        <w:t xml:space="preserve"> 2,989 (body text; target journal allows up to 4,000 for original research)</w:t>
      </w:r>
    </w:p>
    <w:p>
      <w:pPr>
        <w:spacing w:after="120" w:before="0" w:line="480" w:lineRule="exact"/>
        <w:jc w:val="left"/>
      </w:pPr>
      <w:r>
        <w:rPr>
          <w:rFonts w:ascii="Times New Roman" w:hAnsi="Times New Roman"/>
          <w:b/>
          <w:sz w:val="24"/>
        </w:rPr>
        <w:t>Keywords:</w:t>
      </w:r>
      <w:r>
        <w:rPr>
          <w:rFonts w:ascii="Times New Roman" w:hAnsi="Times New Roman"/>
          <w:b w:val="0"/>
          <w:i w:val="0"/>
          <w:sz w:val="24"/>
        </w:rPr>
        <w:t xml:space="preserve"> operating room, overtime, scheduling, patient safety, staff wellbeing, quality improvement</w:t>
      </w:r>
    </w:p>
    <w:p>
      <w:pPr>
        <w:spacing w:before="320" w:after="120" w:line="480" w:lineRule="exact"/>
        <w:jc w:val="left"/>
      </w:pPr>
      <w:r>
        <w:rPr>
          <w:rFonts w:ascii="Times New Roman" w:hAnsi="Times New Roman"/>
          <w:b/>
          <w:sz w:val="24"/>
        </w:rPr>
        <w:t>ABSTRACT</w:t>
      </w:r>
    </w:p>
    <w:p>
      <w:pPr>
        <w:spacing w:after="120" w:before="0" w:line="480" w:lineRule="exact"/>
        <w:jc w:val="left"/>
      </w:pPr>
      <w:r>
        <w:rPr>
          <w:rFonts w:ascii="Times New Roman" w:hAnsi="Times New Roman"/>
          <w:b/>
          <w:sz w:val="24"/>
        </w:rPr>
        <w:t>Background.</w:t>
      </w:r>
      <w:r>
        <w:rPr>
          <w:rFonts w:ascii="Times New Roman" w:hAnsi="Times New Roman"/>
          <w:b w:val="0"/>
          <w:i w:val="0"/>
          <w:sz w:val="24"/>
        </w:rPr>
        <w:t xml:space="preserve"> Operating-room overtime is associated with higher patient mortality, staff burnout, and costs per minute roughly twice those of underutilised time. Most studies report overtime as a hospital-wide aggregate, which can obscure where the problem concentrates and misdirect improvement efforts.</w:t>
      </w:r>
    </w:p>
    <w:p>
      <w:pPr>
        <w:spacing w:after="120" w:before="0" w:line="480" w:lineRule="exact"/>
        <w:jc w:val="left"/>
      </w:pPr>
      <w:r>
        <w:rPr>
          <w:rFonts w:ascii="Times New Roman" w:hAnsi="Times New Roman"/>
          <w:b/>
          <w:sz w:val="24"/>
        </w:rPr>
        <w:t>Objective.</w:t>
      </w:r>
      <w:r>
        <w:rPr>
          <w:rFonts w:ascii="Times New Roman" w:hAnsi="Times New Roman"/>
          <w:b w:val="0"/>
          <w:i w:val="0"/>
          <w:sz w:val="24"/>
        </w:rPr>
        <w:t xml:space="preserve"> To characterise operating-room overtime within a high-volume tertiary hospital: its distribution across rooms and the operational factors associated with it.</w:t>
      </w:r>
    </w:p>
    <w:p>
      <w:pPr>
        <w:spacing w:after="120" w:before="0" w:line="480" w:lineRule="exact"/>
        <w:jc w:val="left"/>
      </w:pPr>
      <w:r>
        <w:rPr>
          <w:rFonts w:ascii="Times New Roman" w:hAnsi="Times New Roman"/>
          <w:b/>
          <w:sz w:val="24"/>
        </w:rPr>
        <w:t>Design and setting.</w:t>
      </w:r>
      <w:r>
        <w:rPr>
          <w:rFonts w:ascii="Times New Roman" w:hAnsi="Times New Roman"/>
          <w:b w:val="0"/>
          <w:i w:val="0"/>
          <w:sz w:val="24"/>
        </w:rPr>
        <w:t xml:space="preserve"> Retrospective observational study using administrative operating-room data from a 24/7 tertiary hospital in [country] with 18 surgical operating rooms.</w:t>
      </w:r>
    </w:p>
    <w:p>
      <w:pPr>
        <w:spacing w:after="120" w:before="0" w:line="480" w:lineRule="exact"/>
        <w:jc w:val="left"/>
      </w:pPr>
      <w:r>
        <w:rPr>
          <w:rFonts w:ascii="Times New Roman" w:hAnsi="Times New Roman"/>
          <w:b/>
          <w:sz w:val="24"/>
        </w:rPr>
        <w:t>Participants.</w:t>
      </w:r>
      <w:r>
        <w:rPr>
          <w:rFonts w:ascii="Times New Roman" w:hAnsi="Times New Roman"/>
          <w:b w:val="0"/>
          <w:i w:val="0"/>
          <w:sz w:val="24"/>
        </w:rPr>
        <w:t xml:space="preserve"> 79,352 surgical procedures performed between January 2022 and May 2025.</w:t>
      </w:r>
    </w:p>
    <w:p>
      <w:pPr>
        <w:spacing w:after="120" w:before="0" w:line="480" w:lineRule="exact"/>
        <w:jc w:val="left"/>
      </w:pPr>
      <w:r>
        <w:rPr>
          <w:rFonts w:ascii="Times New Roman" w:hAnsi="Times New Roman"/>
          <w:b/>
          <w:sz w:val="24"/>
        </w:rPr>
        <w:t>Main outcome measures.</w:t>
      </w:r>
      <w:r>
        <w:rPr>
          <w:rFonts w:ascii="Times New Roman" w:hAnsi="Times New Roman"/>
          <w:b w:val="0"/>
          <w:i w:val="0"/>
          <w:sz w:val="24"/>
        </w:rPr>
        <w:t xml:space="preserve"> Case-level overtime (time past the assigned shift end), by room, weekday, shift, and urgency. Start-time deviation, duration-estimation accuracy, and unplanned urgent-case disruption of the elective programme as candidate contributing factors.</w:t>
      </w:r>
    </w:p>
    <w:p>
      <w:pPr>
        <w:spacing w:after="120" w:before="0" w:line="480" w:lineRule="exact"/>
        <w:jc w:val="left"/>
      </w:pPr>
      <w:r>
        <w:rPr>
          <w:rFonts w:ascii="Times New Roman" w:hAnsi="Times New Roman"/>
          <w:b/>
          <w:sz w:val="24"/>
        </w:rPr>
        <w:t>Results.</w:t>
      </w:r>
      <w:r>
        <w:rPr>
          <w:rFonts w:ascii="Times New Roman" w:hAnsi="Times New Roman"/>
          <w:b w:val="0"/>
          <w:i w:val="0"/>
          <w:sz w:val="24"/>
        </w:rPr>
        <w:t xml:space="preserve"> 7,729 cases (9.7%) ran past the end of their assigned shift, with a mean overtime of 60.3 minutes and a 95th percentile of 197 minutes. Overtime concentrated in a few rooms: OR10 ran overtime on 32.9% of its cases (mean 154 minutes), while OR14 ran 3.5%. Urgent cases ran after-hours at more than twice the elective rate (18.2% versus 8.3%). Unplanned urgent cases disrupted the elective programme on 68.8% of observation days, with a median difference of approximately 30 minutes in elective start times. Start-time punctuality and inter-case idle time showed no consistent association with room-level overtime.</w:t>
      </w:r>
    </w:p>
    <w:p>
      <w:pPr>
        <w:spacing w:after="120" w:before="0" w:line="480" w:lineRule="exact"/>
        <w:jc w:val="left"/>
      </w:pPr>
      <w:r>
        <w:rPr>
          <w:rFonts w:ascii="Times New Roman" w:hAnsi="Times New Roman"/>
          <w:b/>
          <w:sz w:val="24"/>
        </w:rPr>
        <w:t>Conclusions.</w:t>
      </w:r>
      <w:r>
        <w:rPr>
          <w:rFonts w:ascii="Times New Roman" w:hAnsi="Times New Roman"/>
          <w:b w:val="0"/>
          <w:i w:val="0"/>
          <w:sz w:val="24"/>
        </w:rPr>
        <w:t xml:space="preserve"> Overtime concentrated in a few rooms, driven by case-mix complexity and routine urgent-case disruption of the elective programme. Room-level monitoring and scheduling that accounts for urgent-case flow offer more actionable targets than start-time punctuality.</w:t>
      </w:r>
    </w:p>
    <w:p>
      <w:pPr>
        <w:spacing w:before="320" w:after="120" w:line="480" w:lineRule="exact"/>
        <w:jc w:val="left"/>
      </w:pPr>
      <w:r>
        <w:rPr>
          <w:rFonts w:ascii="Times New Roman" w:hAnsi="Times New Roman"/>
          <w:b/>
          <w:sz w:val="24"/>
        </w:rPr>
        <w:t>KEY MESSAGES</w:t>
      </w:r>
    </w:p>
    <w:p>
      <w:pPr>
        <w:spacing w:after="120" w:before="0" w:line="480" w:lineRule="exact"/>
        <w:jc w:val="left"/>
      </w:pPr>
      <w:r>
        <w:rPr>
          <w:rFonts w:ascii="Times New Roman" w:hAnsi="Times New Roman"/>
          <w:b/>
          <w:sz w:val="24"/>
        </w:rPr>
        <w:t>What is already known on this topic</w:t>
      </w:r>
    </w:p>
    <w:p>
      <w:pPr>
        <w:spacing w:after="60" w:before="0" w:line="480" w:lineRule="exact"/>
        <w:jc w:val="left"/>
      </w:pPr>
      <w:r>
        <w:rPr>
          <w:rFonts w:ascii="Times New Roman" w:hAnsi="Times New Roman"/>
          <w:b w:val="0"/>
          <w:i w:val="0"/>
          <w:sz w:val="24"/>
        </w:rPr>
        <w:t>• Operating-room overtime is associated with higher patient mortality and staff burnout, and overutilised time costs roughly twice as much per minute as underutilised time. Prior work has largely reported overtime as a hospital-wide aggregate, which can obscure where the problem actually resides.</w:t>
      </w:r>
    </w:p>
    <w:p>
      <w:pPr>
        <w:spacing w:after="120" w:before="0" w:line="480" w:lineRule="exact"/>
        <w:jc w:val="left"/>
      </w:pPr>
      <w:r>
        <w:rPr>
          <w:rFonts w:ascii="Times New Roman" w:hAnsi="Times New Roman"/>
          <w:b/>
          <w:sz w:val="24"/>
        </w:rPr>
        <w:t>What this study adds</w:t>
      </w:r>
    </w:p>
    <w:p>
      <w:pPr>
        <w:spacing w:after="60" w:before="0" w:line="480" w:lineRule="exact"/>
        <w:jc w:val="left"/>
      </w:pPr>
      <w:r>
        <w:rPr>
          <w:rFonts w:ascii="Times New Roman" w:hAnsi="Times New Roman"/>
          <w:b w:val="0"/>
          <w:i w:val="0"/>
          <w:sz w:val="24"/>
        </w:rPr>
        <w:t>• In a single-centre retrospective analysis of 79,352 surgical cases, overtime concentrated in a few rooms, with a nearly ten-fold spread within one hospital (3.5% to 32.9%). Case-mix complexity and unplanned urgent cases disrupting the elective programme were the factors most visibly associated with room-level overtime; start-time punctuality and inter-case idle time were not.</w:t>
      </w:r>
    </w:p>
    <w:p>
      <w:pPr>
        <w:spacing w:after="120" w:before="0" w:line="480" w:lineRule="exact"/>
        <w:jc w:val="left"/>
      </w:pPr>
      <w:r>
        <w:rPr>
          <w:rFonts w:ascii="Times New Roman" w:hAnsi="Times New Roman"/>
          <w:b/>
          <w:sz w:val="24"/>
        </w:rPr>
        <w:t>How this study might affect research, practice or policy</w:t>
      </w:r>
    </w:p>
    <w:p>
      <w:pPr>
        <w:spacing w:after="60" w:before="0" w:line="480" w:lineRule="exact"/>
        <w:jc w:val="left"/>
      </w:pPr>
      <w:r>
        <w:rPr>
          <w:rFonts w:ascii="Times New Roman" w:hAnsi="Times New Roman"/>
          <w:b w:val="0"/>
          <w:i w:val="0"/>
          <w:sz w:val="24"/>
        </w:rPr>
        <w:t>• Hospitals seeking to reduce overtime should monitor and target individual rooms rather than hospital-wide averages, and should treat urgent-case flow as a routine scheduling input rather than an exception. Linking these operational patterns to patient and staff outcomes is a necessary next step.</w:t>
      </w:r>
    </w:p>
    <w:p>
      <w:pPr>
        <w:spacing w:before="320" w:after="120" w:line="480" w:lineRule="exact"/>
        <w:jc w:val="left"/>
      </w:pPr>
      <w:r>
        <w:rPr>
          <w:rFonts w:ascii="Times New Roman" w:hAnsi="Times New Roman"/>
          <w:b/>
          <w:sz w:val="24"/>
        </w:rPr>
        <w:t>INTRODUCTION</w:t>
      </w:r>
    </w:p>
    <w:p>
      <w:pPr>
        <w:spacing w:after="120" w:before="0" w:line="480" w:lineRule="exact"/>
        <w:jc w:val="left"/>
      </w:pPr>
      <w:r>
        <w:rPr>
          <w:rFonts w:ascii="Times New Roman" w:hAnsi="Times New Roman"/>
          <w:b w:val="0"/>
          <w:i w:val="0"/>
          <w:sz w:val="24"/>
        </w:rPr>
        <w:t>Operating rooms are among the most resource-intensive units in a hospital, and actual schedules routinely diverge from planned ones. Overtime in this setting can refer to several distinct phenomena: an individual case running longer than its booked duration, an operating list ending after its scheduled close, or surgery continuing into a period when fewer staff are rostered. These are different operational events with different consequences. The glossary of Bauer et al. defines overtime as time spent operating beyond the end of the assigned shift.</w:t>
      </w:r>
      <w:r>
        <w:rPr>
          <w:rFonts w:ascii="Times New Roman" w:hAnsi="Times New Roman"/>
          <w:sz w:val="24"/>
          <w:vertAlign w:val="superscript"/>
        </w:rPr>
        <w:t>18</w:t>
      </w:r>
      <w:r>
        <w:rPr>
          <w:rFonts w:ascii="Times New Roman" w:hAnsi="Times New Roman"/>
          <w:b w:val="0"/>
          <w:i w:val="0"/>
          <w:sz w:val="24"/>
        </w:rPr>
        <w:t xml:space="preserve"> We adopt this shift-based definition because the change of nursing staff at each boundary is the operational event that gives overtime its meaning. Overutilised time costs approximately twice as much as underutilised time,</w:t>
      </w:r>
      <w:r>
        <w:rPr>
          <w:rFonts w:ascii="Times New Roman" w:hAnsi="Times New Roman"/>
          <w:sz w:val="24"/>
          <w:vertAlign w:val="superscript"/>
        </w:rPr>
        <w:t>1</w:t>
      </w:r>
      <w:r>
        <w:rPr>
          <w:rFonts w:ascii="Times New Roman" w:hAnsi="Times New Roman"/>
          <w:b w:val="0"/>
          <w:i w:val="0"/>
          <w:sz w:val="24"/>
        </w:rPr>
        <w:t xml:space="preserve"> but overtime is more than a budget problem.</w:t>
      </w:r>
    </w:p>
    <w:p>
      <w:pPr>
        <w:spacing w:after="120" w:before="0" w:line="480" w:lineRule="exact"/>
        <w:jc w:val="left"/>
      </w:pPr>
      <w:r>
        <w:rPr>
          <w:rFonts w:ascii="Times New Roman" w:hAnsi="Times New Roman"/>
          <w:b w:val="0"/>
          <w:i w:val="0"/>
          <w:sz w:val="24"/>
        </w:rPr>
        <w:t>A case that runs past its shift boundary continues into the evening or night, when fewer staff are on duty. The after-hours surgery literature defines this exposure by clock time rather than by a staffing boundary. Overtime and after-hours surgery are not identical, but overtime is one of the routes by which scheduled daytime work ends up being performed after hours, so the harms reported for after-hours surgery matter here. The mortality evidence points in one direction, though estimates vary widely. Cortegiani et al. put the pooled adjusted odds ratio at 1.16 (95% CI 1.06 to 1.28) across 13 studies, grading the certainty as low.</w:t>
      </w:r>
      <w:r>
        <w:rPr>
          <w:rFonts w:ascii="Times New Roman" w:hAnsi="Times New Roman"/>
          <w:sz w:val="24"/>
          <w:vertAlign w:val="superscript"/>
        </w:rPr>
        <w:t>7</w:t>
      </w:r>
      <w:r>
        <w:rPr>
          <w:rFonts w:ascii="Times New Roman" w:hAnsi="Times New Roman"/>
          <w:b w:val="0"/>
          <w:i w:val="0"/>
          <w:sz w:val="24"/>
        </w:rPr>
        <w:t xml:space="preserve"> Oh and Song reported a much larger effect in a South Korean nationwide cohort (OR 3.58 among 281,717 propensity-matched patients), but Sakurai questioned that estimate on residual-confounding grounds.</w:t>
      </w:r>
      <w:r>
        <w:rPr>
          <w:rFonts w:ascii="Times New Roman" w:hAnsi="Times New Roman"/>
          <w:sz w:val="24"/>
          <w:vertAlign w:val="superscript"/>
        </w:rPr>
        <w:t>8,9</w:t>
      </w:r>
      <w:r>
        <w:rPr>
          <w:rFonts w:ascii="Times New Roman" w:hAnsi="Times New Roman"/>
          <w:b w:val="0"/>
          <w:i w:val="0"/>
          <w:sz w:val="24"/>
        </w:rPr>
        <w:t xml:space="preserve"> Althoff et al. found that night surgery increased morbidity (adjusted OR 1.41) in over 350,000 non-cardiac cases, with transfusion rates and provider handovers as partial mediators.</w:t>
      </w:r>
      <w:r>
        <w:rPr>
          <w:rFonts w:ascii="Times New Roman" w:hAnsi="Times New Roman"/>
          <w:sz w:val="24"/>
          <w:vertAlign w:val="superscript"/>
        </w:rPr>
        <w:t>13</w:t>
      </w:r>
      <w:r>
        <w:rPr>
          <w:rFonts w:ascii="Times New Roman" w:hAnsi="Times New Roman"/>
          <w:b w:val="0"/>
          <w:i w:val="0"/>
          <w:sz w:val="24"/>
        </w:rPr>
        <w:t xml:space="preserve"> Meewisse et al. reached a similar conclusion for elective surgery specifically: evening and night procedures carried worse outcomes, though again the evidence quality was low.</w:t>
      </w:r>
      <w:r>
        <w:rPr>
          <w:rFonts w:ascii="Times New Roman" w:hAnsi="Times New Roman"/>
          <w:sz w:val="24"/>
          <w:vertAlign w:val="superscript"/>
        </w:rPr>
        <w:t>28</w:t>
      </w:r>
      <w:r>
        <w:rPr>
          <w:rFonts w:ascii="Times New Roman" w:hAnsi="Times New Roman"/>
          <w:b w:val="0"/>
          <w:i w:val="0"/>
          <w:sz w:val="24"/>
        </w:rPr>
        <w:t xml:space="preserve"> Part of the risk may stem from handovers themselves. Saager et al. showed that each intraoperative anaesthesia transition raised the composite complication rate, from 8.8% at zero transitions to 21.2% at four or more.</w:t>
      </w:r>
      <w:r>
        <w:rPr>
          <w:rFonts w:ascii="Times New Roman" w:hAnsi="Times New Roman"/>
          <w:sz w:val="24"/>
          <w:vertAlign w:val="superscript"/>
        </w:rPr>
        <w:t>10</w:t>
      </w:r>
      <w:r>
        <w:rPr>
          <w:rFonts w:ascii="Times New Roman" w:hAnsi="Times New Roman"/>
          <w:b w:val="0"/>
          <w:i w:val="0"/>
          <w:sz w:val="24"/>
        </w:rPr>
        <w:t xml:space="preserve"> A 2025 UK patient-safety investigation found that 22% of doctors experienced daily sleep deprivation and 35% felt tiredness had impaired their clinical judgement.</w:t>
      </w:r>
      <w:r>
        <w:rPr>
          <w:rFonts w:ascii="Times New Roman" w:hAnsi="Times New Roman"/>
          <w:sz w:val="24"/>
          <w:vertAlign w:val="superscript"/>
        </w:rPr>
        <w:t>11</w:t>
      </w:r>
      <w:r>
        <w:rPr>
          <w:rFonts w:ascii="Times New Roman" w:hAnsi="Times New Roman"/>
          <w:b w:val="0"/>
          <w:i w:val="0"/>
          <w:sz w:val="24"/>
        </w:rPr>
        <w:t xml:space="preserve"> Pittman et al. tied nursing overtime to patient harm more directly: above a breakpoint threshold, overtime predicted a 2.09% rise in pressure ulcers across 70 US hospitals.</w:t>
      </w:r>
      <w:r>
        <w:rPr>
          <w:rFonts w:ascii="Times New Roman" w:hAnsi="Times New Roman"/>
          <w:sz w:val="24"/>
          <w:vertAlign w:val="superscript"/>
        </w:rPr>
        <w:t>12</w:t>
      </w:r>
    </w:p>
    <w:p>
      <w:pPr>
        <w:spacing w:after="120" w:before="0" w:line="480" w:lineRule="exact"/>
        <w:jc w:val="left"/>
      </w:pPr>
      <w:r>
        <w:rPr>
          <w:rFonts w:ascii="Times New Roman" w:hAnsi="Times New Roman"/>
          <w:b w:val="0"/>
          <w:i w:val="0"/>
          <w:sz w:val="24"/>
        </w:rPr>
        <w:t>Staff consequences tell a consistent story. Griffiths et al. surveyed 33,659 nurses across 12 European countries and found that overtime and long shifts tracked with poorer perceived care quality and higher patient safety risk;</w:t>
      </w:r>
      <w:r>
        <w:rPr>
          <w:rFonts w:ascii="Times New Roman" w:hAnsi="Times New Roman"/>
          <w:sz w:val="24"/>
          <w:vertAlign w:val="superscript"/>
        </w:rPr>
        <w:t>2</w:t>
      </w:r>
      <w:r>
        <w:rPr>
          <w:rFonts w:ascii="Times New Roman" w:hAnsi="Times New Roman"/>
          <w:b w:val="0"/>
          <w:i w:val="0"/>
          <w:sz w:val="24"/>
        </w:rPr>
        <w:t xml:space="preserve"> the companion analysis by Dall'Ora et al. linked 12-hour shifts to burnout and intent to leave.</w:t>
      </w:r>
      <w:r>
        <w:rPr>
          <w:rFonts w:ascii="Times New Roman" w:hAnsi="Times New Roman"/>
          <w:sz w:val="24"/>
          <w:vertAlign w:val="superscript"/>
        </w:rPr>
        <w:t>3</w:t>
      </w:r>
      <w:r>
        <w:rPr>
          <w:rFonts w:ascii="Times New Roman" w:hAnsi="Times New Roman"/>
          <w:b w:val="0"/>
          <w:i w:val="0"/>
          <w:sz w:val="24"/>
        </w:rPr>
        <w:t xml:space="preserve"> Bae reported similar findings among 264 South Korean nurses, where mandatory overtime predicted intent to leave.</w:t>
      </w:r>
      <w:r>
        <w:rPr>
          <w:rFonts w:ascii="Times New Roman" w:hAnsi="Times New Roman"/>
          <w:sz w:val="24"/>
          <w:vertAlign w:val="superscript"/>
        </w:rPr>
        <w:t>4</w:t>
      </w:r>
      <w:r>
        <w:rPr>
          <w:rFonts w:ascii="Times New Roman" w:hAnsi="Times New Roman"/>
          <w:b w:val="0"/>
          <w:i w:val="0"/>
          <w:sz w:val="24"/>
        </w:rPr>
        <w:t xml:space="preserve"> Across this literature, both long shifts and overtime go hand in hand with worse performance and well-being,</w:t>
      </w:r>
      <w:r>
        <w:rPr>
          <w:rFonts w:ascii="Times New Roman" w:hAnsi="Times New Roman"/>
          <w:sz w:val="24"/>
          <w:vertAlign w:val="superscript"/>
        </w:rPr>
        <w:t>5</w:t>
      </w:r>
      <w:r>
        <w:rPr>
          <w:rFonts w:ascii="Times New Roman" w:hAnsi="Times New Roman"/>
          <w:b w:val="0"/>
          <w:i w:val="0"/>
          <w:sz w:val="24"/>
        </w:rPr>
        <w:t xml:space="preserve"> and the combination of high workload with low decision latitude is a recognised burnout pathway.</w:t>
      </w:r>
      <w:r>
        <w:rPr>
          <w:rFonts w:ascii="Times New Roman" w:hAnsi="Times New Roman"/>
          <w:sz w:val="24"/>
          <w:vertAlign w:val="superscript"/>
        </w:rPr>
        <w:t>6</w:t>
      </w:r>
    </w:p>
    <w:p>
      <w:pPr>
        <w:spacing w:after="120" w:before="0" w:line="480" w:lineRule="exact"/>
        <w:jc w:val="left"/>
      </w:pPr>
      <w:r>
        <w:rPr>
          <w:rFonts w:ascii="Times New Roman" w:hAnsi="Times New Roman"/>
          <w:b w:val="0"/>
          <w:i w:val="0"/>
          <w:sz w:val="24"/>
        </w:rPr>
        <w:t>The severity of these consequences depends on what happens at the shift boundary. In hospitals that step staffing down sharply at the end of the day shift, a case running past the boundary continues with fewer rooms open and with nursing staff who were not present at the start of the case.</w:t>
      </w:r>
    </w:p>
    <w:p>
      <w:pPr>
        <w:spacing w:after="120" w:before="0" w:line="480" w:lineRule="exact"/>
        <w:jc w:val="left"/>
      </w:pPr>
      <w:r>
        <w:rPr>
          <w:rFonts w:ascii="Times New Roman" w:hAnsi="Times New Roman"/>
          <w:b w:val="0"/>
          <w:i w:val="0"/>
          <w:sz w:val="24"/>
        </w:rPr>
        <w:t>Prior work on OR overtime has largely treated it as an aggregate site-level number.</w:t>
      </w:r>
      <w:r>
        <w:rPr>
          <w:rFonts w:ascii="Times New Roman" w:hAnsi="Times New Roman"/>
          <w:sz w:val="24"/>
          <w:vertAlign w:val="superscript"/>
        </w:rPr>
        <w:t>16,17</w:t>
      </w:r>
      <w:r>
        <w:rPr>
          <w:rFonts w:ascii="Times New Roman" w:hAnsi="Times New Roman"/>
          <w:b w:val="0"/>
          <w:i w:val="0"/>
          <w:sz w:val="24"/>
        </w:rPr>
        <w:t xml:space="preserve"> Workflow disruptions in the OR are known to cluster and escalate,</w:t>
      </w:r>
      <w:r>
        <w:rPr>
          <w:rFonts w:ascii="Times New Roman" w:hAnsi="Times New Roman"/>
          <w:sz w:val="24"/>
          <w:vertAlign w:val="superscript"/>
        </w:rPr>
        <w:t>14,15</w:t>
      </w:r>
      <w:r>
        <w:rPr>
          <w:rFonts w:ascii="Times New Roman" w:hAnsi="Times New Roman"/>
          <w:b w:val="0"/>
          <w:i w:val="0"/>
          <w:sz w:val="24"/>
        </w:rPr>
        <w:t xml:space="preserve"> but whether overtime itself concentrates in specific rooms within a single hospital, and which operational factors drive that concentration, has not been examined. Without that granularity, quality improvement efforts risk targeting the wrong lever.</w:t>
      </w:r>
    </w:p>
    <w:p>
      <w:pPr>
        <w:spacing w:after="120" w:before="0" w:line="480" w:lineRule="exact"/>
        <w:jc w:val="left"/>
      </w:pPr>
      <w:r>
        <w:rPr>
          <w:rFonts w:ascii="Times New Roman" w:hAnsi="Times New Roman"/>
          <w:b w:val="0"/>
          <w:i w:val="0"/>
          <w:sz w:val="24"/>
        </w:rPr>
        <w:t>This study is part of a broader effort at a tertiary hospital to improve OR performance. We use administrative data to address two questions:</w:t>
      </w:r>
    </w:p>
    <w:p>
      <w:pPr>
        <w:spacing w:after="60" w:before="0" w:line="480" w:lineRule="exact"/>
        <w:jc w:val="left"/>
      </w:pPr>
      <w:r>
        <w:rPr>
          <w:rFonts w:ascii="Times New Roman" w:hAnsi="Times New Roman"/>
          <w:b w:val="0"/>
          <w:i w:val="0"/>
          <w:sz w:val="24"/>
        </w:rPr>
        <w:t>1. How is overtime distributed across rooms and time within one tertiary hospital? If overtime is diffuse, a hospital-wide intervention may suffice; if it concentrates in specific rooms, the response needs to be targeted.</w:t>
      </w:r>
    </w:p>
    <w:p>
      <w:pPr>
        <w:spacing w:after="60" w:before="0" w:line="480" w:lineRule="exact"/>
        <w:jc w:val="left"/>
      </w:pPr>
      <w:r>
        <w:rPr>
          <w:rFonts w:ascii="Times New Roman" w:hAnsi="Times New Roman"/>
          <w:b w:val="0"/>
          <w:i w:val="0"/>
          <w:sz w:val="24"/>
        </w:rPr>
        <w:t>2. Which operational factors — duration overruns, urgent-elective interaction, start-time punctuality — track with room-level overtime? We test whether the candidate factors most discussed in the literature are actually visible in our data.</w:t>
      </w:r>
    </w:p>
    <w:p>
      <w:pPr>
        <w:spacing w:before="320" w:after="120" w:line="480" w:lineRule="exact"/>
        <w:jc w:val="left"/>
      </w:pPr>
      <w:r>
        <w:rPr>
          <w:rFonts w:ascii="Times New Roman" w:hAnsi="Times New Roman"/>
          <w:b/>
          <w:sz w:val="24"/>
        </w:rPr>
        <w:t>METHODS</w:t>
      </w:r>
    </w:p>
    <w:p>
      <w:pPr>
        <w:spacing w:before="240" w:after="120" w:line="480" w:lineRule="exact"/>
        <w:jc w:val="left"/>
      </w:pPr>
      <w:r>
        <w:rPr>
          <w:rFonts w:ascii="Times New Roman" w:hAnsi="Times New Roman"/>
          <w:b/>
          <w:sz w:val="24"/>
        </w:rPr>
        <w:t>Setting and data</w:t>
      </w:r>
    </w:p>
    <w:p>
      <w:pPr>
        <w:spacing w:after="120" w:before="0" w:line="480" w:lineRule="exact"/>
        <w:jc w:val="left"/>
      </w:pPr>
      <w:r>
        <w:rPr>
          <w:rFonts w:ascii="Times New Roman" w:hAnsi="Times New Roman"/>
          <w:b w:val="0"/>
          <w:i w:val="0"/>
          <w:sz w:val="24"/>
        </w:rPr>
        <w:t>The study hospital is a 24/7 tertiary centre in [country] performing more than 22,000 surgical procedures per year. It operates 18 surgical operating rooms and 7 interventional operating rooms. The surgical staff includes 195 surgeons and 207 anaesthesiologists (including trainees and fellows), covering all surgical specialities except congenital cardiac surgery and organ transplantation. During the 08:00 to 16:30 day shift, each room is staffed with 2 to 3 nurses; at 16:30 the hospital reduces to 8 staffed rooms, at 17:30 to 4, and overnight to a single room.</w:t>
      </w:r>
    </w:p>
    <w:p>
      <w:pPr>
        <w:spacing w:after="120" w:before="0" w:line="480" w:lineRule="exact"/>
        <w:jc w:val="left"/>
      </w:pPr>
      <w:r>
        <w:rPr>
          <w:rFonts w:ascii="Times New Roman" w:hAnsi="Times New Roman"/>
          <w:b w:val="0"/>
          <w:i w:val="0"/>
          <w:sz w:val="24"/>
        </w:rPr>
        <w:t>We used administrative OR data from 1 January 2022 to 31 May 2025 from the 18 surgical operating rooms. Endoscopy suites and catheterisation laboratory cases without an anaesthesiologist present were excluded. Cases with implausible timestamps (zero observed duration, planned duration exceeding 24 hours, or extreme deviations from the planned schedule) were also removed. The final cohort comprised 79,352 cases involving 60,895 unique patients and 1,276 distinct procedure types. The admission mix was 42.3% ambulatory and 57.7% inpatient (ambulatory patients are discharged on the day of surgery; inpatient patients are admitted overnight). Room-in and room-out times are the only procedural time markers confirmed as reliable by the hospital's clinical team; all timing analyses use these two time points. The administrative system also records planned duration, urgency (cases scheduled or performed within 24 hours of booking were classified as non-elective, hereafter referred to as urgent; all others were classified as elective), and room assignment. From these inputs, and following the glossary of Bauer et al.,</w:t>
      </w:r>
      <w:r>
        <w:rPr>
          <w:rFonts w:ascii="Times New Roman" w:hAnsi="Times New Roman"/>
          <w:sz w:val="24"/>
          <w:vertAlign w:val="superscript"/>
        </w:rPr>
        <w:t>18</w:t>
      </w:r>
      <w:r>
        <w:rPr>
          <w:rFonts w:ascii="Times New Roman" w:hAnsi="Times New Roman"/>
          <w:b w:val="0"/>
          <w:i w:val="0"/>
          <w:sz w:val="24"/>
        </w:rPr>
        <w:t xml:space="preserve"> we derived observed duration, planning deviation, start-time deviation, overtime flag and overtime minutes, room-swap flag, and shift label.</w:t>
      </w:r>
    </w:p>
    <w:p>
      <w:pPr>
        <w:spacing w:before="240" w:after="120" w:line="480" w:lineRule="exact"/>
        <w:jc w:val="left"/>
      </w:pPr>
      <w:r>
        <w:rPr>
          <w:rFonts w:ascii="Times New Roman" w:hAnsi="Times New Roman"/>
          <w:b/>
          <w:sz w:val="24"/>
        </w:rPr>
        <w:t>Overtime definition and analyses</w:t>
      </w:r>
    </w:p>
    <w:p>
      <w:pPr>
        <w:spacing w:after="120" w:before="0" w:line="480" w:lineRule="exact"/>
        <w:jc w:val="left"/>
      </w:pPr>
      <w:r>
        <w:rPr>
          <w:rFonts w:ascii="Times New Roman" w:hAnsi="Times New Roman"/>
          <w:b w:val="0"/>
          <w:i w:val="0"/>
          <w:sz w:val="24"/>
        </w:rPr>
        <w:t>Each case was assigned to a shift based on its actual room-in time: day (08:00 to 16:30), evening (16:30 to 22:00), or night (22:00 to 08:00). The same boundaries were applied on weekends. A case was flagged as overtime if its room-out fell after the end of its assigned shift; overtime minutes equal the positive difference between room-out and shift end. We chose this shift-based definition because the change of nursing staff at each boundary is the operational event that makes overtime consequential at this site, and because it aligns with Bauer et al.</w:t>
      </w:r>
      <w:r>
        <w:rPr>
          <w:rFonts w:ascii="Times New Roman" w:hAnsi="Times New Roman"/>
          <w:sz w:val="24"/>
          <w:vertAlign w:val="superscript"/>
        </w:rPr>
        <w:t>18</w:t>
      </w:r>
      <w:r>
        <w:rPr>
          <w:rFonts w:ascii="Times New Roman" w:hAnsi="Times New Roman"/>
          <w:b w:val="0"/>
          <w:i w:val="0"/>
          <w:sz w:val="24"/>
        </w:rPr>
        <w:t xml:space="preserve"> Room-level overtime was the primary metric, since aggregate measures can mask room-level operational problems.</w:t>
      </w:r>
      <w:r>
        <w:rPr>
          <w:rFonts w:ascii="Times New Roman" w:hAnsi="Times New Roman"/>
          <w:sz w:val="24"/>
          <w:vertAlign w:val="superscript"/>
        </w:rPr>
        <w:t>16,19</w:t>
      </w:r>
    </w:p>
    <w:p>
      <w:pPr>
        <w:spacing w:after="120" w:before="0" w:line="480" w:lineRule="exact"/>
        <w:jc w:val="left"/>
      </w:pPr>
      <w:r>
        <w:rPr>
          <w:rFonts w:ascii="Times New Roman" w:hAnsi="Times New Roman"/>
          <w:b w:val="0"/>
          <w:i w:val="0"/>
          <w:sz w:val="24"/>
        </w:rPr>
        <w:t>All analyses are descriptive; we did not fit causal or inferential models. For RQ1 we computed overtime rate, mean, median, and 95th percentile, stratified by room, weekday, year, and shift. For RQ2 we examined duration deviation by planned-duration bucket using coefficients of variation,</w:t>
      </w:r>
      <w:r>
        <w:rPr>
          <w:rFonts w:ascii="Times New Roman" w:hAnsi="Times New Roman"/>
          <w:sz w:val="24"/>
          <w:vertAlign w:val="superscript"/>
        </w:rPr>
        <w:t>20,21</w:t>
      </w:r>
      <w:r>
        <w:rPr>
          <w:rFonts w:ascii="Times New Roman" w:hAnsi="Times New Roman"/>
          <w:b w:val="0"/>
          <w:i w:val="0"/>
          <w:sz w:val="24"/>
        </w:rPr>
        <w:t xml:space="preserve"> urgency mix and timing, urgent-elective interaction (defined in the Results), start-time deviation per room, inter-case idle time, and room swaps. We computed Spearman rank correlations across the 18 rooms between overtime rate and two candidate predictors: late-start rate and mean inter-case idle time. Intermediate findings were reviewed with the clinical team, and we used their feedback to refine variable definitions and exclusions. Reporting follows the STROBE guidelines for observational studies.</w:t>
      </w:r>
    </w:p>
    <w:p>
      <w:pPr>
        <w:spacing w:before="240" w:after="120" w:line="480" w:lineRule="exact"/>
        <w:jc w:val="left"/>
      </w:pPr>
      <w:r>
        <w:rPr>
          <w:rFonts w:ascii="Times New Roman" w:hAnsi="Times New Roman"/>
          <w:b/>
          <w:sz w:val="24"/>
        </w:rPr>
        <w:t>Ethics</w:t>
      </w:r>
    </w:p>
    <w:p>
      <w:pPr>
        <w:spacing w:after="120" w:before="0" w:line="480" w:lineRule="exact"/>
        <w:jc w:val="left"/>
      </w:pPr>
      <w:r>
        <w:rPr>
          <w:rFonts w:ascii="Times New Roman" w:hAnsi="Times New Roman"/>
          <w:b w:val="0"/>
          <w:i w:val="0"/>
          <w:sz w:val="24"/>
        </w:rPr>
        <w:t>This study used fully de-identified administrative data with institutional approval. No patient interaction occurred.</w:t>
      </w:r>
    </w:p>
    <w:p>
      <w:pPr>
        <w:spacing w:before="240" w:after="120" w:line="480" w:lineRule="exact"/>
        <w:jc w:val="left"/>
      </w:pPr>
      <w:r>
        <w:rPr>
          <w:rFonts w:ascii="Times New Roman" w:hAnsi="Times New Roman"/>
          <w:b/>
          <w:sz w:val="24"/>
        </w:rPr>
        <w:t>Patient and public involvement</w:t>
      </w:r>
    </w:p>
    <w:p>
      <w:pPr>
        <w:spacing w:after="120" w:before="0" w:line="480" w:lineRule="exact"/>
        <w:jc w:val="left"/>
      </w:pPr>
      <w:r>
        <w:rPr>
          <w:rFonts w:ascii="Times New Roman" w:hAnsi="Times New Roman"/>
          <w:b w:val="0"/>
          <w:i w:val="0"/>
          <w:sz w:val="24"/>
        </w:rPr>
        <w:t>Given the retrospective use of fully de-identified administrative data, no patient or public involvement was sought.</w:t>
      </w:r>
    </w:p>
    <w:p>
      <w:pPr>
        <w:spacing w:before="320" w:after="120" w:line="480" w:lineRule="exact"/>
        <w:jc w:val="left"/>
      </w:pPr>
      <w:r>
        <w:rPr>
          <w:rFonts w:ascii="Times New Roman" w:hAnsi="Times New Roman"/>
          <w:b/>
          <w:sz w:val="24"/>
        </w:rPr>
        <w:t>RESULTS</w:t>
      </w:r>
    </w:p>
    <w:p>
      <w:pPr>
        <w:spacing w:before="240" w:after="120" w:line="480" w:lineRule="exact"/>
        <w:jc w:val="left"/>
      </w:pPr>
      <w:r>
        <w:rPr>
          <w:rFonts w:ascii="Times New Roman" w:hAnsi="Times New Roman"/>
          <w:b/>
          <w:sz w:val="24"/>
        </w:rPr>
        <w:t>Sample overview</w:t>
      </w:r>
    </w:p>
    <w:p>
      <w:pPr>
        <w:spacing w:after="120" w:before="0" w:line="480" w:lineRule="exact"/>
        <w:jc w:val="left"/>
      </w:pPr>
      <w:r>
        <w:rPr>
          <w:rFonts w:ascii="Times New Roman" w:hAnsi="Times New Roman"/>
          <w:b w:val="0"/>
          <w:i w:val="0"/>
          <w:sz w:val="24"/>
        </w:rPr>
        <w:t>The cohort comprised 79,352 cases across 18 surgical operating rooms, involving 60,895 unique patients, 195 surgeons, 207 anaesthesiologists, and 1,276 distinct procedure types. Weekday volume was evenly distributed (17.9 to 20.0% Monday through Friday); weekends accounted for 1.8 to 2.1%. Year-on-year volume grew from 22,133 in 2022 to 23,738 in 2024, with 9,906 recorded through May 2025. The urgency mix was 85.4% elective and 14.6% urgent (non-elective).</w:t>
      </w:r>
    </w:p>
    <w:p>
      <w:pPr>
        <w:spacing w:before="240" w:after="120" w:line="480" w:lineRule="exact"/>
        <w:jc w:val="left"/>
      </w:pPr>
      <w:r>
        <w:rPr>
          <w:rFonts w:ascii="Times New Roman" w:hAnsi="Times New Roman"/>
          <w:b/>
          <w:sz w:val="24"/>
        </w:rPr>
        <w:t>Overtime burden and room-level concentration (RQ1)</w:t>
      </w:r>
    </w:p>
    <w:p>
      <w:pPr>
        <w:spacing w:after="120" w:before="0" w:line="480" w:lineRule="exact"/>
        <w:jc w:val="left"/>
      </w:pPr>
      <w:r>
        <w:rPr>
          <w:rFonts w:ascii="Times New Roman" w:hAnsi="Times New Roman"/>
          <w:b w:val="0"/>
          <w:i w:val="0"/>
          <w:sz w:val="24"/>
        </w:rPr>
        <w:t>Of 79,352 cases, 7,729 (9.7%) ran past the end of their assigned shift, with a mean of 60.3 minutes, a median of 39, and a 95th percentile of 197 (Table 1A). Monday-to-Friday rates were tightly grouped (8.8 to 9.9%) but roughly 1.7 times higher on weekends (Saturday 16.8%, Sunday 15.5%), when the elective programme does not run and the caseload is almost entirely urgent. The rate edged down over the study period, from 10.0% in 2022 to 8.6% in the first five months of 2025 (Table 1B).</w:t>
      </w:r>
    </w:p>
    <w:p>
      <w:pPr>
        <w:spacing w:after="120" w:before="0" w:line="480" w:lineRule="exact"/>
        <w:jc w:val="left"/>
      </w:pPr>
      <w:r>
        <w:rPr>
          <w:rFonts w:ascii="Times New Roman" w:hAnsi="Times New Roman"/>
          <w:b/>
          <w:sz w:val="24"/>
        </w:rPr>
        <w:t>Table 1A. Overtime by weekday.</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line="260" w:lineRule="exact" w:after="0"/>
            </w:pPr>
            <w:r/>
            <w:r>
              <w:rPr>
                <w:rFonts w:ascii="Times New Roman" w:hAnsi="Times New Roman"/>
                <w:b/>
                <w:i w:val="0"/>
                <w:sz w:val="22"/>
              </w:rPr>
              <w:t>Day</w:t>
            </w:r>
          </w:p>
        </w:tc>
        <w:tc>
          <w:tcPr>
            <w:tcW w:type="dxa" w:w="1881"/>
          </w:tcPr>
          <w:p>
            <w:pPr>
              <w:spacing w:line="260" w:lineRule="exact" w:after="0"/>
            </w:pPr>
            <w:r/>
            <w:r>
              <w:rPr>
                <w:rFonts w:ascii="Times New Roman" w:hAnsi="Times New Roman"/>
                <w:b/>
                <w:i w:val="0"/>
                <w:sz w:val="22"/>
              </w:rPr>
              <w:t>n cases</w:t>
            </w:r>
          </w:p>
        </w:tc>
        <w:tc>
          <w:tcPr>
            <w:tcW w:type="dxa" w:w="1881"/>
          </w:tcPr>
          <w:p>
            <w:pPr>
              <w:spacing w:line="260" w:lineRule="exact" w:after="0"/>
            </w:pPr>
            <w:r/>
            <w:r>
              <w:rPr>
                <w:rFonts w:ascii="Times New Roman" w:hAnsi="Times New Roman"/>
                <w:b/>
                <w:i w:val="0"/>
                <w:sz w:val="22"/>
              </w:rPr>
              <w:t>n overtime</w:t>
            </w:r>
          </w:p>
        </w:tc>
        <w:tc>
          <w:tcPr>
            <w:tcW w:type="dxa" w:w="1881"/>
          </w:tcPr>
          <w:p>
            <w:pPr>
              <w:spacing w:line="260" w:lineRule="exact" w:after="0"/>
            </w:pPr>
            <w:r/>
            <w:r>
              <w:rPr>
                <w:rFonts w:ascii="Times New Roman" w:hAnsi="Times New Roman"/>
                <w:b/>
                <w:i w:val="0"/>
                <w:sz w:val="22"/>
              </w:rPr>
              <w:t>OT rate (%)</w:t>
            </w:r>
          </w:p>
        </w:tc>
        <w:tc>
          <w:tcPr>
            <w:tcW w:type="dxa" w:w="1881"/>
          </w:tcPr>
          <w:p>
            <w:pPr>
              <w:spacing w:line="260" w:lineRule="exact" w:after="0"/>
            </w:pPr>
            <w:r/>
            <w:r>
              <w:rPr>
                <w:rFonts w:ascii="Times New Roman" w:hAnsi="Times New Roman"/>
                <w:b/>
                <w:i w:val="0"/>
                <w:sz w:val="22"/>
              </w:rPr>
              <w:t>Mean OT (min)</w:t>
            </w:r>
          </w:p>
        </w:tc>
      </w:tr>
      <w:tr>
        <w:tc>
          <w:tcPr>
            <w:tcW w:type="dxa" w:w="1881"/>
          </w:tcPr>
          <w:p>
            <w:pPr>
              <w:spacing w:line="260" w:lineRule="exact" w:after="0"/>
            </w:pPr>
            <w:r/>
            <w:r>
              <w:rPr>
                <w:rFonts w:ascii="Times New Roman" w:hAnsi="Times New Roman"/>
                <w:b w:val="0"/>
                <w:i w:val="0"/>
                <w:sz w:val="22"/>
              </w:rPr>
              <w:t>Monday</w:t>
            </w:r>
          </w:p>
        </w:tc>
        <w:tc>
          <w:tcPr>
            <w:tcW w:type="dxa" w:w="1881"/>
          </w:tcPr>
          <w:p>
            <w:pPr>
              <w:spacing w:line="260" w:lineRule="exact" w:after="0"/>
            </w:pPr>
            <w:r/>
            <w:r>
              <w:rPr>
                <w:rFonts w:ascii="Times New Roman" w:hAnsi="Times New Roman"/>
                <w:b w:val="0"/>
                <w:i w:val="0"/>
                <w:sz w:val="22"/>
              </w:rPr>
              <w:t>14,232</w:t>
            </w:r>
          </w:p>
        </w:tc>
        <w:tc>
          <w:tcPr>
            <w:tcW w:type="dxa" w:w="1881"/>
          </w:tcPr>
          <w:p>
            <w:pPr>
              <w:spacing w:line="260" w:lineRule="exact" w:after="0"/>
            </w:pPr>
            <w:r/>
            <w:r>
              <w:rPr>
                <w:rFonts w:ascii="Times New Roman" w:hAnsi="Times New Roman"/>
                <w:b w:val="0"/>
                <w:i w:val="0"/>
                <w:sz w:val="22"/>
              </w:rPr>
              <w:t>1,395</w:t>
            </w:r>
          </w:p>
        </w:tc>
        <w:tc>
          <w:tcPr>
            <w:tcW w:type="dxa" w:w="1881"/>
          </w:tcPr>
          <w:p>
            <w:pPr>
              <w:spacing w:line="260" w:lineRule="exact" w:after="0"/>
            </w:pPr>
            <w:r/>
            <w:r>
              <w:rPr>
                <w:rFonts w:ascii="Times New Roman" w:hAnsi="Times New Roman"/>
                <w:b w:val="0"/>
                <w:i w:val="0"/>
                <w:sz w:val="22"/>
              </w:rPr>
              <w:t>9.8</w:t>
            </w:r>
          </w:p>
        </w:tc>
        <w:tc>
          <w:tcPr>
            <w:tcW w:type="dxa" w:w="1881"/>
          </w:tcPr>
          <w:p>
            <w:pPr>
              <w:spacing w:line="260" w:lineRule="exact" w:after="0"/>
            </w:pPr>
            <w:r/>
            <w:r>
              <w:rPr>
                <w:rFonts w:ascii="Times New Roman" w:hAnsi="Times New Roman"/>
                <w:b w:val="0"/>
                <w:i w:val="0"/>
                <w:sz w:val="22"/>
              </w:rPr>
              <w:t>58.5</w:t>
            </w:r>
          </w:p>
        </w:tc>
      </w:tr>
      <w:tr>
        <w:tc>
          <w:tcPr>
            <w:tcW w:type="dxa" w:w="1881"/>
          </w:tcPr>
          <w:p>
            <w:pPr>
              <w:spacing w:line="260" w:lineRule="exact" w:after="0"/>
            </w:pPr>
            <w:r/>
            <w:r>
              <w:rPr>
                <w:rFonts w:ascii="Times New Roman" w:hAnsi="Times New Roman"/>
                <w:b w:val="0"/>
                <w:i w:val="0"/>
                <w:sz w:val="22"/>
              </w:rPr>
              <w:t>Tuesday</w:t>
            </w:r>
          </w:p>
        </w:tc>
        <w:tc>
          <w:tcPr>
            <w:tcW w:type="dxa" w:w="1881"/>
          </w:tcPr>
          <w:p>
            <w:pPr>
              <w:spacing w:line="260" w:lineRule="exact" w:after="0"/>
            </w:pPr>
            <w:r/>
            <w:r>
              <w:rPr>
                <w:rFonts w:ascii="Times New Roman" w:hAnsi="Times New Roman"/>
                <w:b w:val="0"/>
                <w:i w:val="0"/>
                <w:sz w:val="22"/>
              </w:rPr>
              <w:t>14,750</w:t>
            </w:r>
          </w:p>
        </w:tc>
        <w:tc>
          <w:tcPr>
            <w:tcW w:type="dxa" w:w="1881"/>
          </w:tcPr>
          <w:p>
            <w:pPr>
              <w:spacing w:line="260" w:lineRule="exact" w:after="0"/>
            </w:pPr>
            <w:r/>
            <w:r>
              <w:rPr>
                <w:rFonts w:ascii="Times New Roman" w:hAnsi="Times New Roman"/>
                <w:b w:val="0"/>
                <w:i w:val="0"/>
                <w:sz w:val="22"/>
              </w:rPr>
              <w:t>1,416</w:t>
            </w:r>
          </w:p>
        </w:tc>
        <w:tc>
          <w:tcPr>
            <w:tcW w:type="dxa" w:w="1881"/>
          </w:tcPr>
          <w:p>
            <w:pPr>
              <w:spacing w:line="260" w:lineRule="exact" w:after="0"/>
            </w:pPr>
            <w:r/>
            <w:r>
              <w:rPr>
                <w:rFonts w:ascii="Times New Roman" w:hAnsi="Times New Roman"/>
                <w:b w:val="0"/>
                <w:i w:val="0"/>
                <w:sz w:val="22"/>
              </w:rPr>
              <w:t>9.6</w:t>
            </w:r>
          </w:p>
        </w:tc>
        <w:tc>
          <w:tcPr>
            <w:tcW w:type="dxa" w:w="1881"/>
          </w:tcPr>
          <w:p>
            <w:pPr>
              <w:spacing w:line="260" w:lineRule="exact" w:after="0"/>
            </w:pPr>
            <w:r/>
            <w:r>
              <w:rPr>
                <w:rFonts w:ascii="Times New Roman" w:hAnsi="Times New Roman"/>
                <w:b w:val="0"/>
                <w:i w:val="0"/>
                <w:sz w:val="22"/>
              </w:rPr>
              <w:t>60.1</w:t>
            </w:r>
          </w:p>
        </w:tc>
      </w:tr>
      <w:tr>
        <w:tc>
          <w:tcPr>
            <w:tcW w:type="dxa" w:w="1881"/>
          </w:tcPr>
          <w:p>
            <w:pPr>
              <w:spacing w:line="260" w:lineRule="exact" w:after="0"/>
            </w:pPr>
            <w:r/>
            <w:r>
              <w:rPr>
                <w:rFonts w:ascii="Times New Roman" w:hAnsi="Times New Roman"/>
                <w:b w:val="0"/>
                <w:i w:val="0"/>
                <w:sz w:val="22"/>
              </w:rPr>
              <w:t>Wednesday</w:t>
            </w:r>
          </w:p>
        </w:tc>
        <w:tc>
          <w:tcPr>
            <w:tcW w:type="dxa" w:w="1881"/>
          </w:tcPr>
          <w:p>
            <w:pPr>
              <w:spacing w:line="260" w:lineRule="exact" w:after="0"/>
            </w:pPr>
            <w:r/>
            <w:r>
              <w:rPr>
                <w:rFonts w:ascii="Times New Roman" w:hAnsi="Times New Roman"/>
                <w:b w:val="0"/>
                <w:i w:val="0"/>
                <w:sz w:val="22"/>
              </w:rPr>
              <w:t>15,814</w:t>
            </w:r>
          </w:p>
        </w:tc>
        <w:tc>
          <w:tcPr>
            <w:tcW w:type="dxa" w:w="1881"/>
          </w:tcPr>
          <w:p>
            <w:pPr>
              <w:spacing w:line="260" w:lineRule="exact" w:after="0"/>
            </w:pPr>
            <w:r/>
            <w:r>
              <w:rPr>
                <w:rFonts w:ascii="Times New Roman" w:hAnsi="Times New Roman"/>
                <w:b w:val="0"/>
                <w:i w:val="0"/>
                <w:sz w:val="22"/>
              </w:rPr>
              <w:t>1,502</w:t>
            </w:r>
          </w:p>
        </w:tc>
        <w:tc>
          <w:tcPr>
            <w:tcW w:type="dxa" w:w="1881"/>
          </w:tcPr>
          <w:p>
            <w:pPr>
              <w:spacing w:line="260" w:lineRule="exact" w:after="0"/>
            </w:pPr>
            <w:r/>
            <w:r>
              <w:rPr>
                <w:rFonts w:ascii="Times New Roman" w:hAnsi="Times New Roman"/>
                <w:b w:val="0"/>
                <w:i w:val="0"/>
                <w:sz w:val="22"/>
              </w:rPr>
              <w:t>9.5</w:t>
            </w:r>
          </w:p>
        </w:tc>
        <w:tc>
          <w:tcPr>
            <w:tcW w:type="dxa" w:w="1881"/>
          </w:tcPr>
          <w:p>
            <w:pPr>
              <w:spacing w:line="260" w:lineRule="exact" w:after="0"/>
            </w:pPr>
            <w:r/>
            <w:r>
              <w:rPr>
                <w:rFonts w:ascii="Times New Roman" w:hAnsi="Times New Roman"/>
                <w:b w:val="0"/>
                <w:i w:val="0"/>
                <w:sz w:val="22"/>
              </w:rPr>
              <w:t>59.7</w:t>
            </w:r>
          </w:p>
        </w:tc>
      </w:tr>
      <w:tr>
        <w:tc>
          <w:tcPr>
            <w:tcW w:type="dxa" w:w="1881"/>
          </w:tcPr>
          <w:p>
            <w:pPr>
              <w:spacing w:line="260" w:lineRule="exact" w:after="0"/>
            </w:pPr>
            <w:r/>
            <w:r>
              <w:rPr>
                <w:rFonts w:ascii="Times New Roman" w:hAnsi="Times New Roman"/>
                <w:b w:val="0"/>
                <w:i w:val="0"/>
                <w:sz w:val="22"/>
              </w:rPr>
              <w:t>Thursday</w:t>
            </w:r>
          </w:p>
        </w:tc>
        <w:tc>
          <w:tcPr>
            <w:tcW w:type="dxa" w:w="1881"/>
          </w:tcPr>
          <w:p>
            <w:pPr>
              <w:spacing w:line="260" w:lineRule="exact" w:after="0"/>
            </w:pPr>
            <w:r/>
            <w:r>
              <w:rPr>
                <w:rFonts w:ascii="Times New Roman" w:hAnsi="Times New Roman"/>
                <w:b w:val="0"/>
                <w:i w:val="0"/>
                <w:sz w:val="22"/>
              </w:rPr>
              <w:t>15,844</w:t>
            </w:r>
          </w:p>
        </w:tc>
        <w:tc>
          <w:tcPr>
            <w:tcW w:type="dxa" w:w="1881"/>
          </w:tcPr>
          <w:p>
            <w:pPr>
              <w:spacing w:line="260" w:lineRule="exact" w:after="0"/>
            </w:pPr>
            <w:r/>
            <w:r>
              <w:rPr>
                <w:rFonts w:ascii="Times New Roman" w:hAnsi="Times New Roman"/>
                <w:b w:val="0"/>
                <w:i w:val="0"/>
                <w:sz w:val="22"/>
              </w:rPr>
              <w:t>1,394</w:t>
            </w:r>
          </w:p>
        </w:tc>
        <w:tc>
          <w:tcPr>
            <w:tcW w:type="dxa" w:w="1881"/>
          </w:tcPr>
          <w:p>
            <w:pPr>
              <w:spacing w:line="260" w:lineRule="exact" w:after="0"/>
            </w:pPr>
            <w:r/>
            <w:r>
              <w:rPr>
                <w:rFonts w:ascii="Times New Roman" w:hAnsi="Times New Roman"/>
                <w:b w:val="0"/>
                <w:i w:val="0"/>
                <w:sz w:val="22"/>
              </w:rPr>
              <w:t>8.8</w:t>
            </w:r>
          </w:p>
        </w:tc>
        <w:tc>
          <w:tcPr>
            <w:tcW w:type="dxa" w:w="1881"/>
          </w:tcPr>
          <w:p>
            <w:pPr>
              <w:spacing w:line="260" w:lineRule="exact" w:after="0"/>
            </w:pPr>
            <w:r/>
            <w:r>
              <w:rPr>
                <w:rFonts w:ascii="Times New Roman" w:hAnsi="Times New Roman"/>
                <w:b w:val="0"/>
                <w:i w:val="0"/>
                <w:sz w:val="22"/>
              </w:rPr>
              <w:t>60.5</w:t>
            </w:r>
          </w:p>
        </w:tc>
      </w:tr>
      <w:tr>
        <w:tc>
          <w:tcPr>
            <w:tcW w:type="dxa" w:w="1881"/>
          </w:tcPr>
          <w:p>
            <w:pPr>
              <w:spacing w:line="260" w:lineRule="exact" w:after="0"/>
            </w:pPr>
            <w:r/>
            <w:r>
              <w:rPr>
                <w:rFonts w:ascii="Times New Roman" w:hAnsi="Times New Roman"/>
                <w:b w:val="0"/>
                <w:i w:val="0"/>
                <w:sz w:val="22"/>
              </w:rPr>
              <w:t>Friday</w:t>
            </w:r>
          </w:p>
        </w:tc>
        <w:tc>
          <w:tcPr>
            <w:tcW w:type="dxa" w:w="1881"/>
          </w:tcPr>
          <w:p>
            <w:pPr>
              <w:spacing w:line="260" w:lineRule="exact" w:after="0"/>
            </w:pPr>
            <w:r/>
            <w:r>
              <w:rPr>
                <w:rFonts w:ascii="Times New Roman" w:hAnsi="Times New Roman"/>
                <w:b w:val="0"/>
                <w:i w:val="0"/>
                <w:sz w:val="22"/>
              </w:rPr>
              <w:t>15,615</w:t>
            </w:r>
          </w:p>
        </w:tc>
        <w:tc>
          <w:tcPr>
            <w:tcW w:type="dxa" w:w="1881"/>
          </w:tcPr>
          <w:p>
            <w:pPr>
              <w:spacing w:line="260" w:lineRule="exact" w:after="0"/>
            </w:pPr>
            <w:r/>
            <w:r>
              <w:rPr>
                <w:rFonts w:ascii="Times New Roman" w:hAnsi="Times New Roman"/>
                <w:b w:val="0"/>
                <w:i w:val="0"/>
                <w:sz w:val="22"/>
              </w:rPr>
              <w:t>1,546</w:t>
            </w:r>
          </w:p>
        </w:tc>
        <w:tc>
          <w:tcPr>
            <w:tcW w:type="dxa" w:w="1881"/>
          </w:tcPr>
          <w:p>
            <w:pPr>
              <w:spacing w:line="260" w:lineRule="exact" w:after="0"/>
            </w:pPr>
            <w:r/>
            <w:r>
              <w:rPr>
                <w:rFonts w:ascii="Times New Roman" w:hAnsi="Times New Roman"/>
                <w:b w:val="0"/>
                <w:i w:val="0"/>
                <w:sz w:val="22"/>
              </w:rPr>
              <w:t>9.9</w:t>
            </w:r>
          </w:p>
        </w:tc>
        <w:tc>
          <w:tcPr>
            <w:tcW w:type="dxa" w:w="1881"/>
          </w:tcPr>
          <w:p>
            <w:pPr>
              <w:spacing w:line="260" w:lineRule="exact" w:after="0"/>
            </w:pPr>
            <w:r/>
            <w:r>
              <w:rPr>
                <w:rFonts w:ascii="Times New Roman" w:hAnsi="Times New Roman"/>
                <w:b w:val="0"/>
                <w:i w:val="0"/>
                <w:sz w:val="22"/>
              </w:rPr>
              <w:t>62.4</w:t>
            </w:r>
          </w:p>
        </w:tc>
      </w:tr>
      <w:tr>
        <w:tc>
          <w:tcPr>
            <w:tcW w:type="dxa" w:w="1881"/>
          </w:tcPr>
          <w:p>
            <w:pPr>
              <w:spacing w:line="260" w:lineRule="exact" w:after="0"/>
            </w:pPr>
            <w:r/>
            <w:r>
              <w:rPr>
                <w:rFonts w:ascii="Times New Roman" w:hAnsi="Times New Roman"/>
                <w:b w:val="0"/>
                <w:i w:val="0"/>
                <w:sz w:val="22"/>
              </w:rPr>
              <w:t>Saturday</w:t>
            </w:r>
          </w:p>
        </w:tc>
        <w:tc>
          <w:tcPr>
            <w:tcW w:type="dxa" w:w="1881"/>
          </w:tcPr>
          <w:p>
            <w:pPr>
              <w:spacing w:line="260" w:lineRule="exact" w:after="0"/>
            </w:pPr>
            <w:r/>
            <w:r>
              <w:rPr>
                <w:rFonts w:ascii="Times New Roman" w:hAnsi="Times New Roman"/>
                <w:b w:val="0"/>
                <w:i w:val="0"/>
                <w:sz w:val="22"/>
              </w:rPr>
              <w:t>1,654</w:t>
            </w:r>
          </w:p>
        </w:tc>
        <w:tc>
          <w:tcPr>
            <w:tcW w:type="dxa" w:w="1881"/>
          </w:tcPr>
          <w:p>
            <w:pPr>
              <w:spacing w:line="260" w:lineRule="exact" w:after="0"/>
            </w:pPr>
            <w:r/>
            <w:r>
              <w:rPr>
                <w:rFonts w:ascii="Times New Roman" w:hAnsi="Times New Roman"/>
                <w:b w:val="0"/>
                <w:i w:val="0"/>
                <w:sz w:val="22"/>
              </w:rPr>
              <w:t>278</w:t>
            </w:r>
          </w:p>
        </w:tc>
        <w:tc>
          <w:tcPr>
            <w:tcW w:type="dxa" w:w="1881"/>
          </w:tcPr>
          <w:p>
            <w:pPr>
              <w:spacing w:line="260" w:lineRule="exact" w:after="0"/>
            </w:pPr>
            <w:r/>
            <w:r>
              <w:rPr>
                <w:rFonts w:ascii="Times New Roman" w:hAnsi="Times New Roman"/>
                <w:b w:val="0"/>
                <w:i w:val="0"/>
                <w:sz w:val="22"/>
              </w:rPr>
              <w:t>16.8</w:t>
            </w:r>
          </w:p>
        </w:tc>
        <w:tc>
          <w:tcPr>
            <w:tcW w:type="dxa" w:w="1881"/>
          </w:tcPr>
          <w:p>
            <w:pPr>
              <w:spacing w:line="260" w:lineRule="exact" w:after="0"/>
            </w:pPr>
            <w:r/>
            <w:r>
              <w:rPr>
                <w:rFonts w:ascii="Times New Roman" w:hAnsi="Times New Roman"/>
                <w:b w:val="0"/>
                <w:i w:val="0"/>
                <w:sz w:val="22"/>
              </w:rPr>
              <w:t>63.4</w:t>
            </w:r>
          </w:p>
        </w:tc>
      </w:tr>
      <w:tr>
        <w:tc>
          <w:tcPr>
            <w:tcW w:type="dxa" w:w="1881"/>
          </w:tcPr>
          <w:p>
            <w:pPr>
              <w:spacing w:line="260" w:lineRule="exact" w:after="0"/>
            </w:pPr>
            <w:r/>
            <w:r>
              <w:rPr>
                <w:rFonts w:ascii="Times New Roman" w:hAnsi="Times New Roman"/>
                <w:b w:val="0"/>
                <w:i w:val="0"/>
                <w:sz w:val="22"/>
              </w:rPr>
              <w:t>Sunday</w:t>
            </w:r>
          </w:p>
        </w:tc>
        <w:tc>
          <w:tcPr>
            <w:tcW w:type="dxa" w:w="1881"/>
          </w:tcPr>
          <w:p>
            <w:pPr>
              <w:spacing w:line="260" w:lineRule="exact" w:after="0"/>
            </w:pPr>
            <w:r/>
            <w:r>
              <w:rPr>
                <w:rFonts w:ascii="Times New Roman" w:hAnsi="Times New Roman"/>
                <w:b w:val="0"/>
                <w:i w:val="0"/>
                <w:sz w:val="22"/>
              </w:rPr>
              <w:t>1,443</w:t>
            </w:r>
          </w:p>
        </w:tc>
        <w:tc>
          <w:tcPr>
            <w:tcW w:type="dxa" w:w="1881"/>
          </w:tcPr>
          <w:p>
            <w:pPr>
              <w:spacing w:line="260" w:lineRule="exact" w:after="0"/>
            </w:pPr>
            <w:r/>
            <w:r>
              <w:rPr>
                <w:rFonts w:ascii="Times New Roman" w:hAnsi="Times New Roman"/>
                <w:b w:val="0"/>
                <w:i w:val="0"/>
                <w:sz w:val="22"/>
              </w:rPr>
              <w:t>224</w:t>
            </w:r>
          </w:p>
        </w:tc>
        <w:tc>
          <w:tcPr>
            <w:tcW w:type="dxa" w:w="1881"/>
          </w:tcPr>
          <w:p>
            <w:pPr>
              <w:spacing w:line="260" w:lineRule="exact" w:after="0"/>
            </w:pPr>
            <w:r/>
            <w:r>
              <w:rPr>
                <w:rFonts w:ascii="Times New Roman" w:hAnsi="Times New Roman"/>
                <w:b w:val="0"/>
                <w:i w:val="0"/>
                <w:sz w:val="22"/>
              </w:rPr>
              <w:t>15.5</w:t>
            </w:r>
          </w:p>
        </w:tc>
        <w:tc>
          <w:tcPr>
            <w:tcW w:type="dxa" w:w="1881"/>
          </w:tcPr>
          <w:p>
            <w:pPr>
              <w:spacing w:line="260" w:lineRule="exact" w:after="0"/>
            </w:pPr>
            <w:r/>
            <w:r>
              <w:rPr>
                <w:rFonts w:ascii="Times New Roman" w:hAnsi="Times New Roman"/>
                <w:b w:val="0"/>
                <w:i w:val="0"/>
                <w:sz w:val="22"/>
              </w:rPr>
              <w:t>59.1</w:t>
            </w:r>
          </w:p>
        </w:tc>
      </w:tr>
      <w:tr>
        <w:tc>
          <w:tcPr>
            <w:tcW w:type="dxa" w:w="1881"/>
          </w:tcPr>
          <w:p>
            <w:pPr>
              <w:spacing w:line="260" w:lineRule="exact" w:after="0"/>
            </w:pPr>
            <w:r/>
            <w:r>
              <w:rPr>
                <w:rFonts w:ascii="Times New Roman" w:hAnsi="Times New Roman"/>
                <w:b/>
                <w:sz w:val="22"/>
              </w:rPr>
              <w:t>Total</w:t>
            </w:r>
          </w:p>
        </w:tc>
        <w:tc>
          <w:tcPr>
            <w:tcW w:type="dxa" w:w="1881"/>
          </w:tcPr>
          <w:p>
            <w:pPr>
              <w:spacing w:line="260" w:lineRule="exact" w:after="0"/>
            </w:pPr>
            <w:r/>
            <w:r>
              <w:rPr>
                <w:rFonts w:ascii="Times New Roman" w:hAnsi="Times New Roman"/>
                <w:b/>
                <w:sz w:val="22"/>
              </w:rPr>
              <w:t>79,352</w:t>
            </w:r>
          </w:p>
        </w:tc>
        <w:tc>
          <w:tcPr>
            <w:tcW w:type="dxa" w:w="1881"/>
          </w:tcPr>
          <w:p>
            <w:pPr>
              <w:spacing w:line="260" w:lineRule="exact" w:after="0"/>
            </w:pPr>
            <w:r/>
            <w:r>
              <w:rPr>
                <w:rFonts w:ascii="Times New Roman" w:hAnsi="Times New Roman"/>
                <w:b/>
                <w:sz w:val="22"/>
              </w:rPr>
              <w:t>7,729</w:t>
            </w:r>
          </w:p>
        </w:tc>
        <w:tc>
          <w:tcPr>
            <w:tcW w:type="dxa" w:w="1881"/>
          </w:tcPr>
          <w:p>
            <w:pPr>
              <w:spacing w:line="260" w:lineRule="exact" w:after="0"/>
            </w:pPr>
            <w:r/>
            <w:r>
              <w:rPr>
                <w:rFonts w:ascii="Times New Roman" w:hAnsi="Times New Roman"/>
                <w:b/>
                <w:sz w:val="22"/>
              </w:rPr>
              <w:t>9.7</w:t>
            </w:r>
          </w:p>
        </w:tc>
        <w:tc>
          <w:tcPr>
            <w:tcW w:type="dxa" w:w="1881"/>
          </w:tcPr>
          <w:p>
            <w:pPr>
              <w:spacing w:line="260" w:lineRule="exact" w:after="0"/>
            </w:pPr>
            <w:r/>
            <w:r>
              <w:rPr>
                <w:rFonts w:ascii="Times New Roman" w:hAnsi="Times New Roman"/>
                <w:b/>
                <w:sz w:val="22"/>
              </w:rPr>
              <w:t>60.3</w:t>
            </w:r>
          </w:p>
        </w:tc>
      </w:tr>
    </w:tbl>
    <w:p>
      <w:pPr>
        <w:spacing w:line="120" w:lineRule="exact"/>
      </w:pPr>
    </w:p>
    <w:p>
      <w:pPr>
        <w:spacing w:after="120" w:before="0" w:line="480" w:lineRule="exact"/>
        <w:jc w:val="left"/>
      </w:pPr>
      <w:r>
        <w:rPr>
          <w:rFonts w:ascii="Times New Roman" w:hAnsi="Times New Roman"/>
          <w:b/>
          <w:sz w:val="24"/>
        </w:rPr>
        <w:t>Table 1B. Overtime trend by year.</w:t>
      </w:r>
      <w:r>
        <w:rPr>
          <w:rFonts w:ascii="Times New Roman" w:hAnsi="Times New Roman"/>
          <w:b w:val="0"/>
          <w:i w:val="0"/>
          <w:sz w:val="24"/>
        </w:rPr>
        <w:t xml:space="preserve"> (*2025 partial, January–May.)</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60" w:lineRule="exact" w:after="0"/>
            </w:pPr>
            <w:r/>
            <w:r>
              <w:rPr>
                <w:rFonts w:ascii="Times New Roman" w:hAnsi="Times New Roman"/>
                <w:b/>
                <w:i w:val="0"/>
                <w:sz w:val="22"/>
              </w:rPr>
              <w:t>Year</w:t>
            </w:r>
          </w:p>
        </w:tc>
        <w:tc>
          <w:tcPr>
            <w:tcW w:type="dxa" w:w="2351"/>
          </w:tcPr>
          <w:p>
            <w:pPr>
              <w:spacing w:line="260" w:lineRule="exact" w:after="0"/>
            </w:pPr>
            <w:r/>
            <w:r>
              <w:rPr>
                <w:rFonts w:ascii="Times New Roman" w:hAnsi="Times New Roman"/>
                <w:b/>
                <w:i w:val="0"/>
                <w:sz w:val="22"/>
              </w:rPr>
              <w:t>OT rate (%)</w:t>
            </w:r>
          </w:p>
        </w:tc>
        <w:tc>
          <w:tcPr>
            <w:tcW w:type="dxa" w:w="2351"/>
          </w:tcPr>
          <w:p>
            <w:pPr>
              <w:spacing w:line="260" w:lineRule="exact" w:after="0"/>
            </w:pPr>
            <w:r/>
            <w:r>
              <w:rPr>
                <w:rFonts w:ascii="Times New Roman" w:hAnsi="Times New Roman"/>
                <w:b/>
                <w:i w:val="0"/>
                <w:sz w:val="22"/>
              </w:rPr>
              <w:t>Mean OT (min)</w:t>
            </w:r>
          </w:p>
        </w:tc>
        <w:tc>
          <w:tcPr>
            <w:tcW w:type="dxa" w:w="2351"/>
          </w:tcPr>
          <w:p>
            <w:pPr>
              <w:spacing w:line="260" w:lineRule="exact" w:after="0"/>
            </w:pPr>
            <w:r/>
            <w:r>
              <w:rPr>
                <w:rFonts w:ascii="Times New Roman" w:hAnsi="Times New Roman"/>
                <w:b/>
                <w:i w:val="0"/>
                <w:sz w:val="22"/>
              </w:rPr>
              <w:t>Median OT (min)</w:t>
            </w:r>
          </w:p>
        </w:tc>
      </w:tr>
      <w:tr>
        <w:tc>
          <w:tcPr>
            <w:tcW w:type="dxa" w:w="2351"/>
          </w:tcPr>
          <w:p>
            <w:pPr>
              <w:spacing w:line="260" w:lineRule="exact" w:after="0"/>
            </w:pPr>
            <w:r/>
            <w:r>
              <w:rPr>
                <w:rFonts w:ascii="Times New Roman" w:hAnsi="Times New Roman"/>
                <w:b w:val="0"/>
                <w:i w:val="0"/>
                <w:sz w:val="22"/>
              </w:rPr>
              <w:t>2022</w:t>
            </w:r>
          </w:p>
        </w:tc>
        <w:tc>
          <w:tcPr>
            <w:tcW w:type="dxa" w:w="2351"/>
          </w:tcPr>
          <w:p>
            <w:pPr>
              <w:spacing w:line="260" w:lineRule="exact" w:after="0"/>
            </w:pPr>
            <w:r/>
            <w:r>
              <w:rPr>
                <w:rFonts w:ascii="Times New Roman" w:hAnsi="Times New Roman"/>
                <w:b w:val="0"/>
                <w:i w:val="0"/>
                <w:sz w:val="22"/>
              </w:rPr>
              <w:t>10.0</w:t>
            </w:r>
          </w:p>
        </w:tc>
        <w:tc>
          <w:tcPr>
            <w:tcW w:type="dxa" w:w="2351"/>
          </w:tcPr>
          <w:p>
            <w:pPr>
              <w:spacing w:line="260" w:lineRule="exact" w:after="0"/>
            </w:pPr>
            <w:r/>
            <w:r>
              <w:rPr>
                <w:rFonts w:ascii="Times New Roman" w:hAnsi="Times New Roman"/>
                <w:b w:val="0"/>
                <w:i w:val="0"/>
                <w:sz w:val="22"/>
              </w:rPr>
              <w:t>61.8</w:t>
            </w:r>
          </w:p>
        </w:tc>
        <w:tc>
          <w:tcPr>
            <w:tcW w:type="dxa" w:w="2351"/>
          </w:tcPr>
          <w:p>
            <w:pPr>
              <w:spacing w:line="260" w:lineRule="exact" w:after="0"/>
            </w:pPr>
            <w:r/>
            <w:r>
              <w:rPr>
                <w:rFonts w:ascii="Times New Roman" w:hAnsi="Times New Roman"/>
                <w:b w:val="0"/>
                <w:i w:val="0"/>
                <w:sz w:val="22"/>
              </w:rPr>
              <w:t>40</w:t>
            </w:r>
          </w:p>
        </w:tc>
      </w:tr>
      <w:tr>
        <w:tc>
          <w:tcPr>
            <w:tcW w:type="dxa" w:w="2351"/>
          </w:tcPr>
          <w:p>
            <w:pPr>
              <w:spacing w:line="260" w:lineRule="exact" w:after="0"/>
            </w:pPr>
            <w:r/>
            <w:r>
              <w:rPr>
                <w:rFonts w:ascii="Times New Roman" w:hAnsi="Times New Roman"/>
                <w:b w:val="0"/>
                <w:i w:val="0"/>
                <w:sz w:val="22"/>
              </w:rPr>
              <w:t>2023</w:t>
            </w:r>
          </w:p>
        </w:tc>
        <w:tc>
          <w:tcPr>
            <w:tcW w:type="dxa" w:w="2351"/>
          </w:tcPr>
          <w:p>
            <w:pPr>
              <w:spacing w:line="260" w:lineRule="exact" w:after="0"/>
            </w:pPr>
            <w:r/>
            <w:r>
              <w:rPr>
                <w:rFonts w:ascii="Times New Roman" w:hAnsi="Times New Roman"/>
                <w:b w:val="0"/>
                <w:i w:val="0"/>
                <w:sz w:val="22"/>
              </w:rPr>
              <w:t>10.0</w:t>
            </w:r>
          </w:p>
        </w:tc>
        <w:tc>
          <w:tcPr>
            <w:tcW w:type="dxa" w:w="2351"/>
          </w:tcPr>
          <w:p>
            <w:pPr>
              <w:spacing w:line="260" w:lineRule="exact" w:after="0"/>
            </w:pPr>
            <w:r/>
            <w:r>
              <w:rPr>
                <w:rFonts w:ascii="Times New Roman" w:hAnsi="Times New Roman"/>
                <w:b w:val="0"/>
                <w:i w:val="0"/>
                <w:sz w:val="22"/>
              </w:rPr>
              <w:t>58.8</w:t>
            </w:r>
          </w:p>
        </w:tc>
        <w:tc>
          <w:tcPr>
            <w:tcW w:type="dxa" w:w="2351"/>
          </w:tcPr>
          <w:p>
            <w:pPr>
              <w:spacing w:line="260" w:lineRule="exact" w:after="0"/>
            </w:pPr>
            <w:r/>
            <w:r>
              <w:rPr>
                <w:rFonts w:ascii="Times New Roman" w:hAnsi="Times New Roman"/>
                <w:b w:val="0"/>
                <w:i w:val="0"/>
                <w:sz w:val="22"/>
              </w:rPr>
              <w:t>38</w:t>
            </w:r>
          </w:p>
        </w:tc>
      </w:tr>
      <w:tr>
        <w:tc>
          <w:tcPr>
            <w:tcW w:type="dxa" w:w="2351"/>
          </w:tcPr>
          <w:p>
            <w:pPr>
              <w:spacing w:line="260" w:lineRule="exact" w:after="0"/>
            </w:pPr>
            <w:r/>
            <w:r>
              <w:rPr>
                <w:rFonts w:ascii="Times New Roman" w:hAnsi="Times New Roman"/>
                <w:b w:val="0"/>
                <w:i w:val="0"/>
                <w:sz w:val="22"/>
              </w:rPr>
              <w:t>2024</w:t>
            </w:r>
          </w:p>
        </w:tc>
        <w:tc>
          <w:tcPr>
            <w:tcW w:type="dxa" w:w="2351"/>
          </w:tcPr>
          <w:p>
            <w:pPr>
              <w:spacing w:line="260" w:lineRule="exact" w:after="0"/>
            </w:pPr>
            <w:r/>
            <w:r>
              <w:rPr>
                <w:rFonts w:ascii="Times New Roman" w:hAnsi="Times New Roman"/>
                <w:b w:val="0"/>
                <w:i w:val="0"/>
                <w:sz w:val="22"/>
              </w:rPr>
              <w:t>9.7</w:t>
            </w:r>
          </w:p>
        </w:tc>
        <w:tc>
          <w:tcPr>
            <w:tcW w:type="dxa" w:w="2351"/>
          </w:tcPr>
          <w:p>
            <w:pPr>
              <w:spacing w:line="260" w:lineRule="exact" w:after="0"/>
            </w:pPr>
            <w:r/>
            <w:r>
              <w:rPr>
                <w:rFonts w:ascii="Times New Roman" w:hAnsi="Times New Roman"/>
                <w:b w:val="0"/>
                <w:i w:val="0"/>
                <w:sz w:val="22"/>
              </w:rPr>
              <w:t>61.3</w:t>
            </w:r>
          </w:p>
        </w:tc>
        <w:tc>
          <w:tcPr>
            <w:tcW w:type="dxa" w:w="2351"/>
          </w:tcPr>
          <w:p>
            <w:pPr>
              <w:spacing w:line="260" w:lineRule="exact" w:after="0"/>
            </w:pPr>
            <w:r/>
            <w:r>
              <w:rPr>
                <w:rFonts w:ascii="Times New Roman" w:hAnsi="Times New Roman"/>
                <w:b w:val="0"/>
                <w:i w:val="0"/>
                <w:sz w:val="22"/>
              </w:rPr>
              <w:t>39</w:t>
            </w:r>
          </w:p>
        </w:tc>
      </w:tr>
      <w:tr>
        <w:tc>
          <w:tcPr>
            <w:tcW w:type="dxa" w:w="2351"/>
          </w:tcPr>
          <w:p>
            <w:pPr>
              <w:spacing w:line="260" w:lineRule="exact" w:after="0"/>
            </w:pPr>
            <w:r/>
            <w:r>
              <w:rPr>
                <w:rFonts w:ascii="Times New Roman" w:hAnsi="Times New Roman"/>
                <w:b w:val="0"/>
                <w:i w:val="0"/>
                <w:sz w:val="22"/>
              </w:rPr>
              <w:t>2025*</w:t>
            </w:r>
          </w:p>
        </w:tc>
        <w:tc>
          <w:tcPr>
            <w:tcW w:type="dxa" w:w="2351"/>
          </w:tcPr>
          <w:p>
            <w:pPr>
              <w:spacing w:line="260" w:lineRule="exact" w:after="0"/>
            </w:pPr>
            <w:r/>
            <w:r>
              <w:rPr>
                <w:rFonts w:ascii="Times New Roman" w:hAnsi="Times New Roman"/>
                <w:b w:val="0"/>
                <w:i w:val="0"/>
                <w:sz w:val="22"/>
              </w:rPr>
              <w:t>8.6</w:t>
            </w:r>
          </w:p>
        </w:tc>
        <w:tc>
          <w:tcPr>
            <w:tcW w:type="dxa" w:w="2351"/>
          </w:tcPr>
          <w:p>
            <w:pPr>
              <w:spacing w:line="260" w:lineRule="exact" w:after="0"/>
            </w:pPr>
            <w:r/>
            <w:r>
              <w:rPr>
                <w:rFonts w:ascii="Times New Roman" w:hAnsi="Times New Roman"/>
                <w:b w:val="0"/>
                <w:i w:val="0"/>
                <w:sz w:val="22"/>
              </w:rPr>
              <w:t>58.2</w:t>
            </w:r>
          </w:p>
        </w:tc>
        <w:tc>
          <w:tcPr>
            <w:tcW w:type="dxa" w:w="2351"/>
          </w:tcPr>
          <w:p>
            <w:pPr>
              <w:spacing w:line="260" w:lineRule="exact" w:after="0"/>
            </w:pPr>
            <w:r/>
            <w:r>
              <w:rPr>
                <w:rFonts w:ascii="Times New Roman" w:hAnsi="Times New Roman"/>
                <w:b w:val="0"/>
                <w:i w:val="0"/>
                <w:sz w:val="22"/>
              </w:rPr>
              <w:t>37</w:t>
            </w:r>
          </w:p>
        </w:tc>
      </w:tr>
    </w:tbl>
    <w:p>
      <w:pPr>
        <w:spacing w:line="120" w:lineRule="exact"/>
      </w:pPr>
    </w:p>
    <w:p>
      <w:pPr>
        <w:spacing w:after="120" w:before="0" w:line="480" w:lineRule="exact"/>
        <w:jc w:val="left"/>
      </w:pPr>
      <w:r>
        <w:rPr>
          <w:rFonts w:ascii="Times New Roman" w:hAnsi="Times New Roman"/>
          <w:b w:val="0"/>
          <w:i w:val="0"/>
          <w:sz w:val="24"/>
        </w:rPr>
        <w:t>Room-level overtime rates ranged from 3.5% to 32.9% across the 18 rooms (Figure 1). OR10, which handles complex cardiac surgery (CABG, aortic valve replacement, mitral valve repair), ran overtime on 32.9% of its 1,743 cases, with a mean of 154 minutes and a 95th percentile of 328 minutes. A second tier (OR08 through OR13) clustered at 11–16%. At the other end, OR14 ran 3.5% across 6,885 cases and OR01 ran 5.8% across 6,577. Rates spanned nearly an order of magnitude within a single hospital.</w:t>
      </w:r>
    </w:p>
    <w:p>
      <w:pPr>
        <w:spacing w:after="120" w:before="120" w:line="480" w:lineRule="exact"/>
        <w:jc w:val="left"/>
      </w:pPr>
      <w:r>
        <w:rPr>
          <w:rFonts w:ascii="Times New Roman" w:hAnsi="Times New Roman"/>
          <w:b w:val="0"/>
          <w:i/>
          <w:sz w:val="24"/>
        </w:rPr>
        <w:t>[Insert Figure 1 about here]</w:t>
      </w:r>
    </w:p>
    <w:p>
      <w:pPr>
        <w:spacing w:after="120" w:before="0" w:line="480" w:lineRule="exact"/>
        <w:jc w:val="left"/>
      </w:pPr>
      <w:r>
        <w:rPr>
          <w:rFonts w:ascii="Times New Roman" w:hAnsi="Times New Roman"/>
          <w:b w:val="0"/>
          <w:i w:val="0"/>
          <w:sz w:val="24"/>
        </w:rPr>
        <w:t>Most overtime was short. Over half of overtime completions fell in the 16:30 to 17:30 window, just after the day-shift handover; the distribution tailed off through the evening and was sparse past 22:00 (Supplementary Figure S1).</w:t>
      </w:r>
    </w:p>
    <w:p>
      <w:pPr>
        <w:spacing w:before="240" w:after="120" w:line="480" w:lineRule="exact"/>
        <w:jc w:val="left"/>
      </w:pPr>
      <w:r>
        <w:rPr>
          <w:rFonts w:ascii="Times New Roman" w:hAnsi="Times New Roman"/>
          <w:b/>
          <w:sz w:val="24"/>
        </w:rPr>
        <w:t>Contributing factors (RQ2)</w:t>
      </w:r>
    </w:p>
    <w:p>
      <w:pPr>
        <w:spacing w:after="120" w:before="0" w:line="480" w:lineRule="exact"/>
        <w:jc w:val="left"/>
      </w:pPr>
      <w:r>
        <w:rPr>
          <w:rFonts w:ascii="Times New Roman" w:hAnsi="Times New Roman"/>
          <w:i/>
          <w:sz w:val="24"/>
        </w:rPr>
        <w:t>Planning accuracy.</w:t>
      </w:r>
      <w:r>
        <w:rPr>
          <w:rFonts w:ascii="Times New Roman" w:hAnsi="Times New Roman"/>
          <w:b w:val="0"/>
          <w:i w:val="0"/>
          <w:sz w:val="24"/>
        </w:rPr>
        <w:t xml:space="preserve"> Of all cases (not only those with overtime), 45.7% ran longer than planned and 54.3% ran shorter. The mean overrun was 22.6 minutes (median 14) and the mean underrun was 21.2 minutes (median 12). Overruns and underruns were similar in both size and frequency, so the planning system showed no systematic bias: bookings were not consistently too tight or too generous, and no fixed padding factor would correct the schedule. The problem was variability. Two cases booked for the same duration could finish well apart, and that spread, rather than a tendency to under-book, is what pushes a list past its boundary.</w:t>
      </w:r>
    </w:p>
    <w:p>
      <w:pPr>
        <w:spacing w:after="120" w:before="0" w:line="480" w:lineRule="exact"/>
        <w:jc w:val="left"/>
      </w:pPr>
      <w:r>
        <w:rPr>
          <w:rFonts w:ascii="Times New Roman" w:hAnsi="Times New Roman"/>
          <w:b w:val="0"/>
          <w:i w:val="0"/>
          <w:sz w:val="24"/>
        </w:rPr>
        <w:t>We quantified this spread with the coefficient of variation (CV = standard deviation / mean), which places cases of different lengths on a comparable scale. Short cases were proportionally the most variable (CV 0.54 for procedures under 30 minutes), because a few extra minutes is a large fraction of a brief booking. Mid-length cases were steadier (CV about 0.35 for 61 to 180 minutes), and the longest cases fell in between (CV 0.42 for over 180 minutes). The CV of the planning error was higher still: it reached 1.84 in the over-180-minute bucket, meaning the spread of the booking error was nearly twice its own average. In practical terms, the schedule was least able to predict when the longest cases would finish. And those are exactly the cases — complex cardiac and oncology procedures — that cluster in the rooms with the highest overtime. The rooms hardest to plan were also the ones that most often ran late.</w:t>
      </w:r>
    </w:p>
    <w:p>
      <w:pPr>
        <w:spacing w:after="120" w:before="0" w:line="480" w:lineRule="exact"/>
        <w:jc w:val="left"/>
      </w:pPr>
      <w:r>
        <w:rPr>
          <w:rFonts w:ascii="Times New Roman" w:hAnsi="Times New Roman"/>
          <w:i/>
          <w:sz w:val="24"/>
        </w:rPr>
        <w:t>Urgent-elective interaction.</w:t>
      </w:r>
      <w:r>
        <w:rPr>
          <w:rFonts w:ascii="Times New Roman" w:hAnsi="Times New Roman"/>
          <w:b w:val="0"/>
          <w:i w:val="0"/>
          <w:sz w:val="24"/>
        </w:rPr>
        <w:t xml:space="preserve"> Urgent cases accounted for 14.6% of the volume (11,616 of 79,352) and ran past the shift boundary at more than twice the elective rate (18.2% versus 8.3%, Table 2A), with heavier tails (P95 69 versus 29 minutes). Because elective cases outnumbered urgent cases nearly six to one, the absolute volume of overtime minutes was still dominated by the elective programme.</w:t>
      </w:r>
    </w:p>
    <w:p>
      <w:pPr>
        <w:spacing w:after="120" w:before="0" w:line="480" w:lineRule="exact"/>
        <w:jc w:val="left"/>
      </w:pPr>
      <w:r>
        <w:rPr>
          <w:rFonts w:ascii="Times New Roman" w:hAnsi="Times New Roman"/>
          <w:b w:val="0"/>
          <w:i w:val="0"/>
          <w:sz w:val="24"/>
        </w:rPr>
        <w:t>To assess whether urgent cases disrupt the elective programme, we counted days on which an urgent case occupied a room during a time window when an elective case had been planned in the same room. Such overlap occurred on 858 of 1,247 observation days (68.8%, Table 2B). On days with overlap, elective cases started later than on days without — a median difference of approximately 30 minutes, reaching 60 minutes in early 2022 before narrowing. OR11 absorbed the highest overlap burden, with 475 events affecting 15.2% of its elective cases.</w:t>
      </w:r>
    </w:p>
    <w:p>
      <w:pPr>
        <w:spacing w:after="120" w:before="0" w:line="480" w:lineRule="exact"/>
        <w:jc w:val="left"/>
      </w:pPr>
      <w:r>
        <w:rPr>
          <w:rFonts w:ascii="Times New Roman" w:hAnsi="Times New Roman"/>
          <w:b/>
          <w:sz w:val="24"/>
        </w:rPr>
        <w:t>Table 2A. Volume and overtime by urgency.</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pPr>
              <w:spacing w:line="260" w:lineRule="exact" w:after="0"/>
            </w:pPr>
            <w:r/>
            <w:r>
              <w:rPr>
                <w:rFonts w:ascii="Times New Roman" w:hAnsi="Times New Roman"/>
                <w:b/>
                <w:i w:val="0"/>
                <w:sz w:val="22"/>
              </w:rPr>
              <w:t>Urgency</w:t>
            </w:r>
          </w:p>
        </w:tc>
        <w:tc>
          <w:tcPr>
            <w:tcW w:type="dxa" w:w="1344"/>
          </w:tcPr>
          <w:p>
            <w:pPr>
              <w:spacing w:line="260" w:lineRule="exact" w:after="0"/>
            </w:pPr>
            <w:r/>
            <w:r>
              <w:rPr>
                <w:rFonts w:ascii="Times New Roman" w:hAnsi="Times New Roman"/>
                <w:b/>
                <w:i w:val="0"/>
                <w:sz w:val="22"/>
              </w:rPr>
              <w:t>n</w:t>
            </w:r>
          </w:p>
        </w:tc>
        <w:tc>
          <w:tcPr>
            <w:tcW w:type="dxa" w:w="1344"/>
          </w:tcPr>
          <w:p>
            <w:pPr>
              <w:spacing w:line="260" w:lineRule="exact" w:after="0"/>
            </w:pPr>
            <w:r/>
            <w:r>
              <w:rPr>
                <w:rFonts w:ascii="Times New Roman" w:hAnsi="Times New Roman"/>
                <w:b/>
                <w:i w:val="0"/>
                <w:sz w:val="22"/>
              </w:rPr>
              <w:t>Share</w:t>
            </w:r>
          </w:p>
        </w:tc>
        <w:tc>
          <w:tcPr>
            <w:tcW w:type="dxa" w:w="1344"/>
          </w:tcPr>
          <w:p>
            <w:pPr>
              <w:spacing w:line="260" w:lineRule="exact" w:after="0"/>
            </w:pPr>
            <w:r/>
            <w:r>
              <w:rPr>
                <w:rFonts w:ascii="Times New Roman" w:hAnsi="Times New Roman"/>
                <w:b/>
                <w:i w:val="0"/>
                <w:sz w:val="22"/>
              </w:rPr>
              <w:t>After-hours n</w:t>
            </w:r>
          </w:p>
        </w:tc>
        <w:tc>
          <w:tcPr>
            <w:tcW w:type="dxa" w:w="1344"/>
          </w:tcPr>
          <w:p>
            <w:pPr>
              <w:spacing w:line="260" w:lineRule="exact" w:after="0"/>
            </w:pPr>
            <w:r/>
            <w:r>
              <w:rPr>
                <w:rFonts w:ascii="Times New Roman" w:hAnsi="Times New Roman"/>
                <w:b/>
                <w:i w:val="0"/>
                <w:sz w:val="22"/>
              </w:rPr>
              <w:t>After-hours rate</w:t>
            </w:r>
          </w:p>
        </w:tc>
        <w:tc>
          <w:tcPr>
            <w:tcW w:type="dxa" w:w="1344"/>
          </w:tcPr>
          <w:p>
            <w:pPr>
              <w:spacing w:line="260" w:lineRule="exact" w:after="0"/>
            </w:pPr>
            <w:r/>
            <w:r>
              <w:rPr>
                <w:rFonts w:ascii="Times New Roman" w:hAnsi="Times New Roman"/>
                <w:b/>
                <w:i w:val="0"/>
                <w:sz w:val="22"/>
              </w:rPr>
              <w:t>Mean OT (min)</w:t>
            </w:r>
          </w:p>
        </w:tc>
        <w:tc>
          <w:tcPr>
            <w:tcW w:type="dxa" w:w="1344"/>
          </w:tcPr>
          <w:p>
            <w:pPr>
              <w:spacing w:line="260" w:lineRule="exact" w:after="0"/>
            </w:pPr>
            <w:r/>
            <w:r>
              <w:rPr>
                <w:rFonts w:ascii="Times New Roman" w:hAnsi="Times New Roman"/>
                <w:b/>
                <w:i w:val="0"/>
                <w:sz w:val="22"/>
              </w:rPr>
              <w:t>P95 OT (min)</w:t>
            </w:r>
          </w:p>
        </w:tc>
      </w:tr>
      <w:tr>
        <w:tc>
          <w:tcPr>
            <w:tcW w:type="dxa" w:w="1344"/>
          </w:tcPr>
          <w:p>
            <w:pPr>
              <w:spacing w:line="260" w:lineRule="exact" w:after="0"/>
            </w:pPr>
            <w:r/>
            <w:r>
              <w:rPr>
                <w:rFonts w:ascii="Times New Roman" w:hAnsi="Times New Roman"/>
                <w:b w:val="0"/>
                <w:i w:val="0"/>
                <w:sz w:val="22"/>
              </w:rPr>
              <w:t>Elective</w:t>
            </w:r>
          </w:p>
        </w:tc>
        <w:tc>
          <w:tcPr>
            <w:tcW w:type="dxa" w:w="1344"/>
          </w:tcPr>
          <w:p>
            <w:pPr>
              <w:spacing w:line="260" w:lineRule="exact" w:after="0"/>
            </w:pPr>
            <w:r/>
            <w:r>
              <w:rPr>
                <w:rFonts w:ascii="Times New Roman" w:hAnsi="Times New Roman"/>
                <w:b w:val="0"/>
                <w:i w:val="0"/>
                <w:sz w:val="22"/>
              </w:rPr>
              <w:t>67,736</w:t>
            </w:r>
          </w:p>
        </w:tc>
        <w:tc>
          <w:tcPr>
            <w:tcW w:type="dxa" w:w="1344"/>
          </w:tcPr>
          <w:p>
            <w:pPr>
              <w:spacing w:line="260" w:lineRule="exact" w:after="0"/>
            </w:pPr>
            <w:r/>
            <w:r>
              <w:rPr>
                <w:rFonts w:ascii="Times New Roman" w:hAnsi="Times New Roman"/>
                <w:b w:val="0"/>
                <w:i w:val="0"/>
                <w:sz w:val="22"/>
              </w:rPr>
              <w:t>85.4%</w:t>
            </w:r>
          </w:p>
        </w:tc>
        <w:tc>
          <w:tcPr>
            <w:tcW w:type="dxa" w:w="1344"/>
          </w:tcPr>
          <w:p>
            <w:pPr>
              <w:spacing w:line="260" w:lineRule="exact" w:after="0"/>
            </w:pPr>
            <w:r/>
            <w:r>
              <w:rPr>
                <w:rFonts w:ascii="Times New Roman" w:hAnsi="Times New Roman"/>
                <w:b w:val="0"/>
                <w:i w:val="0"/>
                <w:sz w:val="22"/>
              </w:rPr>
              <w:t>5,620</w:t>
            </w:r>
          </w:p>
        </w:tc>
        <w:tc>
          <w:tcPr>
            <w:tcW w:type="dxa" w:w="1344"/>
          </w:tcPr>
          <w:p>
            <w:pPr>
              <w:spacing w:line="260" w:lineRule="exact" w:after="0"/>
            </w:pPr>
            <w:r/>
            <w:r>
              <w:rPr>
                <w:rFonts w:ascii="Times New Roman" w:hAnsi="Times New Roman"/>
                <w:b w:val="0"/>
                <w:i w:val="0"/>
                <w:sz w:val="22"/>
              </w:rPr>
              <w:t>8.3%</w:t>
            </w:r>
          </w:p>
        </w:tc>
        <w:tc>
          <w:tcPr>
            <w:tcW w:type="dxa" w:w="1344"/>
          </w:tcPr>
          <w:p>
            <w:pPr>
              <w:spacing w:line="260" w:lineRule="exact" w:after="0"/>
            </w:pPr>
            <w:r/>
            <w:r>
              <w:rPr>
                <w:rFonts w:ascii="Times New Roman" w:hAnsi="Times New Roman"/>
                <w:b w:val="0"/>
                <w:i w:val="0"/>
                <w:sz w:val="22"/>
              </w:rPr>
              <w:t>5</w:t>
            </w:r>
          </w:p>
        </w:tc>
        <w:tc>
          <w:tcPr>
            <w:tcW w:type="dxa" w:w="1344"/>
          </w:tcPr>
          <w:p>
            <w:pPr>
              <w:spacing w:line="260" w:lineRule="exact" w:after="0"/>
            </w:pPr>
            <w:r/>
            <w:r>
              <w:rPr>
                <w:rFonts w:ascii="Times New Roman" w:hAnsi="Times New Roman"/>
                <w:b w:val="0"/>
                <w:i w:val="0"/>
                <w:sz w:val="22"/>
              </w:rPr>
              <w:t>29</w:t>
            </w:r>
          </w:p>
        </w:tc>
      </w:tr>
      <w:tr>
        <w:tc>
          <w:tcPr>
            <w:tcW w:type="dxa" w:w="1344"/>
          </w:tcPr>
          <w:p>
            <w:pPr>
              <w:spacing w:line="260" w:lineRule="exact" w:after="0"/>
            </w:pPr>
            <w:r/>
            <w:r>
              <w:rPr>
                <w:rFonts w:ascii="Times New Roman" w:hAnsi="Times New Roman"/>
                <w:b w:val="0"/>
                <w:i w:val="0"/>
                <w:sz w:val="22"/>
              </w:rPr>
              <w:t>Non-elective (urgent)</w:t>
            </w:r>
          </w:p>
        </w:tc>
        <w:tc>
          <w:tcPr>
            <w:tcW w:type="dxa" w:w="1344"/>
          </w:tcPr>
          <w:p>
            <w:pPr>
              <w:spacing w:line="260" w:lineRule="exact" w:after="0"/>
            </w:pPr>
            <w:r/>
            <w:r>
              <w:rPr>
                <w:rFonts w:ascii="Times New Roman" w:hAnsi="Times New Roman"/>
                <w:b w:val="0"/>
                <w:i w:val="0"/>
                <w:sz w:val="22"/>
              </w:rPr>
              <w:t>11,616</w:t>
            </w:r>
          </w:p>
        </w:tc>
        <w:tc>
          <w:tcPr>
            <w:tcW w:type="dxa" w:w="1344"/>
          </w:tcPr>
          <w:p>
            <w:pPr>
              <w:spacing w:line="260" w:lineRule="exact" w:after="0"/>
            </w:pPr>
            <w:r/>
            <w:r>
              <w:rPr>
                <w:rFonts w:ascii="Times New Roman" w:hAnsi="Times New Roman"/>
                <w:b w:val="0"/>
                <w:i w:val="0"/>
                <w:sz w:val="22"/>
              </w:rPr>
              <w:t>14.6%</w:t>
            </w:r>
          </w:p>
        </w:tc>
        <w:tc>
          <w:tcPr>
            <w:tcW w:type="dxa" w:w="1344"/>
          </w:tcPr>
          <w:p>
            <w:pPr>
              <w:spacing w:line="260" w:lineRule="exact" w:after="0"/>
            </w:pPr>
            <w:r/>
            <w:r>
              <w:rPr>
                <w:rFonts w:ascii="Times New Roman" w:hAnsi="Times New Roman"/>
                <w:b w:val="0"/>
                <w:i w:val="0"/>
                <w:sz w:val="22"/>
              </w:rPr>
              <w:t>2,109</w:t>
            </w:r>
          </w:p>
        </w:tc>
        <w:tc>
          <w:tcPr>
            <w:tcW w:type="dxa" w:w="1344"/>
          </w:tcPr>
          <w:p>
            <w:pPr>
              <w:spacing w:line="260" w:lineRule="exact" w:after="0"/>
            </w:pPr>
            <w:r/>
            <w:r>
              <w:rPr>
                <w:rFonts w:ascii="Times New Roman" w:hAnsi="Times New Roman"/>
                <w:b w:val="0"/>
                <w:i w:val="0"/>
                <w:sz w:val="22"/>
              </w:rPr>
              <w:t>18.2%</w:t>
            </w:r>
          </w:p>
        </w:tc>
        <w:tc>
          <w:tcPr>
            <w:tcW w:type="dxa" w:w="1344"/>
          </w:tcPr>
          <w:p>
            <w:pPr>
              <w:spacing w:line="260" w:lineRule="exact" w:after="0"/>
            </w:pPr>
            <w:r/>
            <w:r>
              <w:rPr>
                <w:rFonts w:ascii="Times New Roman" w:hAnsi="Times New Roman"/>
                <w:b w:val="0"/>
                <w:i w:val="0"/>
                <w:sz w:val="22"/>
              </w:rPr>
              <w:t>10.7</w:t>
            </w:r>
          </w:p>
        </w:tc>
        <w:tc>
          <w:tcPr>
            <w:tcW w:type="dxa" w:w="1344"/>
          </w:tcPr>
          <w:p>
            <w:pPr>
              <w:spacing w:line="260" w:lineRule="exact" w:after="0"/>
            </w:pPr>
            <w:r/>
            <w:r>
              <w:rPr>
                <w:rFonts w:ascii="Times New Roman" w:hAnsi="Times New Roman"/>
                <w:b w:val="0"/>
                <w:i w:val="0"/>
                <w:sz w:val="22"/>
              </w:rPr>
              <w:t>69</w:t>
            </w:r>
          </w:p>
        </w:tc>
      </w:tr>
      <w:tr>
        <w:tc>
          <w:tcPr>
            <w:tcW w:type="dxa" w:w="1344"/>
          </w:tcPr>
          <w:p>
            <w:pPr>
              <w:spacing w:line="260" w:lineRule="exact" w:after="0"/>
            </w:pPr>
            <w:r/>
            <w:r>
              <w:rPr>
                <w:rFonts w:ascii="Times New Roman" w:hAnsi="Times New Roman"/>
                <w:b/>
                <w:sz w:val="22"/>
              </w:rPr>
              <w:t>Total</w:t>
            </w:r>
          </w:p>
        </w:tc>
        <w:tc>
          <w:tcPr>
            <w:tcW w:type="dxa" w:w="1344"/>
          </w:tcPr>
          <w:p>
            <w:pPr>
              <w:spacing w:line="260" w:lineRule="exact" w:after="0"/>
            </w:pPr>
            <w:r/>
            <w:r>
              <w:rPr>
                <w:rFonts w:ascii="Times New Roman" w:hAnsi="Times New Roman"/>
                <w:b/>
                <w:sz w:val="22"/>
              </w:rPr>
              <w:t>79,352</w:t>
            </w:r>
          </w:p>
        </w:tc>
        <w:tc>
          <w:tcPr>
            <w:tcW w:type="dxa" w:w="1344"/>
          </w:tcPr>
          <w:p>
            <w:pPr>
              <w:spacing w:line="260" w:lineRule="exact" w:after="0"/>
            </w:pPr>
            <w:r/>
            <w:r>
              <w:rPr>
                <w:rFonts w:ascii="Times New Roman" w:hAnsi="Times New Roman"/>
                <w:b/>
                <w:sz w:val="22"/>
              </w:rPr>
              <w:t>100%</w:t>
            </w:r>
          </w:p>
        </w:tc>
        <w:tc>
          <w:tcPr>
            <w:tcW w:type="dxa" w:w="1344"/>
          </w:tcPr>
          <w:p>
            <w:pPr>
              <w:spacing w:line="260" w:lineRule="exact" w:after="0"/>
            </w:pPr>
            <w:r/>
            <w:r>
              <w:rPr>
                <w:rFonts w:ascii="Times New Roman" w:hAnsi="Times New Roman"/>
                <w:b/>
                <w:sz w:val="22"/>
              </w:rPr>
              <w:t>7,729</w:t>
            </w:r>
          </w:p>
        </w:tc>
        <w:tc>
          <w:tcPr>
            <w:tcW w:type="dxa" w:w="1344"/>
          </w:tcPr>
          <w:p>
            <w:pPr>
              <w:spacing w:line="260" w:lineRule="exact" w:after="0"/>
            </w:pPr>
            <w:r/>
            <w:r>
              <w:rPr>
                <w:rFonts w:ascii="Times New Roman" w:hAnsi="Times New Roman"/>
                <w:b/>
                <w:sz w:val="22"/>
              </w:rPr>
              <w:t>9.7%</w:t>
            </w:r>
          </w:p>
        </w:tc>
        <w:tc>
          <w:tcPr>
            <w:tcW w:type="dxa" w:w="1344"/>
          </w:tcPr>
          <w:p>
            <w:pPr>
              <w:spacing w:line="260" w:lineRule="exact" w:after="0"/>
            </w:pPr>
            <w:r/>
            <w:r>
              <w:rPr>
                <w:rFonts w:ascii="Times New Roman" w:hAnsi="Times New Roman"/>
                <w:b w:val="0"/>
                <w:i w:val="0"/>
                <w:sz w:val="22"/>
              </w:rPr>
              <w:t>–</w:t>
            </w:r>
          </w:p>
        </w:tc>
        <w:tc>
          <w:tcPr>
            <w:tcW w:type="dxa" w:w="1344"/>
          </w:tcPr>
          <w:p>
            <w:pPr>
              <w:spacing w:line="260" w:lineRule="exact" w:after="0"/>
            </w:pPr>
            <w:r/>
            <w:r>
              <w:rPr>
                <w:rFonts w:ascii="Times New Roman" w:hAnsi="Times New Roman"/>
                <w:b w:val="0"/>
                <w:i w:val="0"/>
                <w:sz w:val="22"/>
              </w:rPr>
              <w:t>–</w:t>
            </w:r>
          </w:p>
        </w:tc>
      </w:tr>
    </w:tbl>
    <w:p>
      <w:pPr>
        <w:spacing w:line="120" w:lineRule="exact"/>
      </w:pPr>
    </w:p>
    <w:p>
      <w:pPr>
        <w:spacing w:after="120" w:before="0" w:line="480" w:lineRule="exact"/>
        <w:jc w:val="left"/>
      </w:pPr>
      <w:r>
        <w:rPr>
          <w:rFonts w:ascii="Times New Roman" w:hAnsi="Times New Roman"/>
          <w:b/>
          <w:sz w:val="24"/>
        </w:rPr>
        <w:t>Table 2B. Urgent–elective overlap in the same room.</w:t>
      </w:r>
    </w:p>
    <w:tbl>
      <w:tblPr>
        <w:tblStyle w:val="TableGrid"/>
        <w:tblW w:type="auto" w:w="0"/>
        <w:tblLook w:firstColumn="1" w:firstRow="1" w:lastColumn="0" w:lastRow="0" w:noHBand="0" w:noVBand="1" w:val="04A0"/>
      </w:tblPr>
      <w:tblGrid>
        <w:gridCol w:w="4703"/>
        <w:gridCol w:w="4703"/>
      </w:tblGrid>
      <w:tr>
        <w:tc>
          <w:tcPr>
            <w:tcW w:type="dxa" w:w="4703"/>
          </w:tcPr>
          <w:p>
            <w:pPr>
              <w:spacing w:line="260" w:lineRule="exact" w:after="0"/>
            </w:pPr>
            <w:r/>
            <w:r>
              <w:rPr>
                <w:rFonts w:ascii="Times New Roman" w:hAnsi="Times New Roman"/>
                <w:b/>
                <w:i w:val="0"/>
                <w:sz w:val="22"/>
              </w:rPr>
              <w:t>Metric</w:t>
            </w:r>
          </w:p>
        </w:tc>
        <w:tc>
          <w:tcPr>
            <w:tcW w:type="dxa" w:w="4703"/>
          </w:tcPr>
          <w:p>
            <w:pPr>
              <w:spacing w:line="260" w:lineRule="exact" w:after="0"/>
            </w:pPr>
            <w:r/>
            <w:r>
              <w:rPr>
                <w:rFonts w:ascii="Times New Roman" w:hAnsi="Times New Roman"/>
                <w:b/>
                <w:i w:val="0"/>
                <w:sz w:val="22"/>
              </w:rPr>
              <w:t>Value</w:t>
            </w:r>
          </w:p>
        </w:tc>
      </w:tr>
      <w:tr>
        <w:tc>
          <w:tcPr>
            <w:tcW w:type="dxa" w:w="4703"/>
          </w:tcPr>
          <w:p>
            <w:pPr>
              <w:spacing w:line="260" w:lineRule="exact" w:after="0"/>
            </w:pPr>
            <w:r/>
            <w:r>
              <w:rPr>
                <w:rFonts w:ascii="Times New Roman" w:hAnsi="Times New Roman"/>
                <w:b w:val="0"/>
                <w:i w:val="0"/>
                <w:sz w:val="22"/>
              </w:rPr>
              <w:t>Days with at least one urgent–elective overlap</w:t>
            </w:r>
          </w:p>
        </w:tc>
        <w:tc>
          <w:tcPr>
            <w:tcW w:type="dxa" w:w="4703"/>
          </w:tcPr>
          <w:p>
            <w:pPr>
              <w:spacing w:line="260" w:lineRule="exact" w:after="0"/>
            </w:pPr>
            <w:r/>
            <w:r>
              <w:rPr>
                <w:rFonts w:ascii="Times New Roman" w:hAnsi="Times New Roman"/>
                <w:b w:val="0"/>
                <w:i w:val="0"/>
                <w:sz w:val="22"/>
              </w:rPr>
              <w:t>858 of 1,247 (68.8%)</w:t>
            </w:r>
          </w:p>
        </w:tc>
      </w:tr>
      <w:tr>
        <w:tc>
          <w:tcPr>
            <w:tcW w:type="dxa" w:w="4703"/>
          </w:tcPr>
          <w:p>
            <w:pPr>
              <w:spacing w:line="260" w:lineRule="exact" w:after="0"/>
            </w:pPr>
            <w:r/>
            <w:r>
              <w:rPr>
                <w:rFonts w:ascii="Times New Roman" w:hAnsi="Times New Roman"/>
                <w:b w:val="0"/>
                <w:i w:val="0"/>
                <w:sz w:val="22"/>
              </w:rPr>
              <w:t>Highest-burden room (OR11)</w:t>
            </w:r>
          </w:p>
        </w:tc>
        <w:tc>
          <w:tcPr>
            <w:tcW w:type="dxa" w:w="4703"/>
          </w:tcPr>
          <w:p>
            <w:pPr>
              <w:spacing w:line="260" w:lineRule="exact" w:after="0"/>
            </w:pPr>
            <w:r/>
            <w:r>
              <w:rPr>
                <w:rFonts w:ascii="Times New Roman" w:hAnsi="Times New Roman"/>
                <w:b w:val="0"/>
                <w:i w:val="0"/>
                <w:sz w:val="22"/>
              </w:rPr>
              <w:t>475 events; 15.2% of OR11 elective cases</w:t>
            </w:r>
          </w:p>
        </w:tc>
      </w:tr>
      <w:tr>
        <w:tc>
          <w:tcPr>
            <w:tcW w:type="dxa" w:w="4703"/>
          </w:tcPr>
          <w:p>
            <w:pPr>
              <w:spacing w:line="260" w:lineRule="exact" w:after="0"/>
            </w:pPr>
            <w:r/>
            <w:r>
              <w:rPr>
                <w:rFonts w:ascii="Times New Roman" w:hAnsi="Times New Roman"/>
                <w:b w:val="0"/>
                <w:i w:val="0"/>
                <w:sz w:val="22"/>
              </w:rPr>
              <w:t>Median start delay at OR11 (no overlap)</w:t>
            </w:r>
          </w:p>
        </w:tc>
        <w:tc>
          <w:tcPr>
            <w:tcW w:type="dxa" w:w="4703"/>
          </w:tcPr>
          <w:p>
            <w:pPr>
              <w:spacing w:line="260" w:lineRule="exact" w:after="0"/>
            </w:pPr>
            <w:r/>
            <w:r>
              <w:rPr>
                <w:rFonts w:ascii="Times New Roman" w:hAnsi="Times New Roman"/>
                <w:b w:val="0"/>
                <w:i w:val="0"/>
                <w:sz w:val="22"/>
              </w:rPr>
              <w:t>28 min</w:t>
            </w:r>
          </w:p>
        </w:tc>
      </w:tr>
      <w:tr>
        <w:tc>
          <w:tcPr>
            <w:tcW w:type="dxa" w:w="4703"/>
          </w:tcPr>
          <w:p>
            <w:pPr>
              <w:spacing w:line="260" w:lineRule="exact" w:after="0"/>
            </w:pPr>
            <w:r/>
            <w:r>
              <w:rPr>
                <w:rFonts w:ascii="Times New Roman" w:hAnsi="Times New Roman"/>
                <w:b w:val="0"/>
                <w:i w:val="0"/>
                <w:sz w:val="22"/>
              </w:rPr>
              <w:t>Median start delay at OR11 (overlap)</w:t>
            </w:r>
          </w:p>
        </w:tc>
        <w:tc>
          <w:tcPr>
            <w:tcW w:type="dxa" w:w="4703"/>
          </w:tcPr>
          <w:p>
            <w:pPr>
              <w:spacing w:line="260" w:lineRule="exact" w:after="0"/>
            </w:pPr>
            <w:r/>
            <w:r>
              <w:rPr>
                <w:rFonts w:ascii="Times New Roman" w:hAnsi="Times New Roman"/>
                <w:b w:val="0"/>
                <w:i w:val="0"/>
                <w:sz w:val="22"/>
              </w:rPr>
              <w:t>60 min</w:t>
            </w:r>
          </w:p>
        </w:tc>
      </w:tr>
    </w:tbl>
    <w:p>
      <w:pPr>
        <w:spacing w:line="120" w:lineRule="exact"/>
      </w:pPr>
    </w:p>
    <w:p>
      <w:pPr>
        <w:spacing w:after="120" w:before="0" w:line="480" w:lineRule="exact"/>
        <w:jc w:val="left"/>
      </w:pPr>
      <w:r>
        <w:rPr>
          <w:rFonts w:ascii="Times New Roman" w:hAnsi="Times New Roman"/>
          <w:i/>
          <w:sz w:val="24"/>
        </w:rPr>
        <w:t>Start-time punctuality.</w:t>
      </w:r>
      <w:r>
        <w:rPr>
          <w:rFonts w:ascii="Times New Roman" w:hAnsi="Times New Roman"/>
          <w:b w:val="0"/>
          <w:i w:val="0"/>
          <w:sz w:val="24"/>
        </w:rPr>
        <w:t xml:space="preserve"> Two thirds of cases (67.4%) started later than planned. Among late starters, the mean delay was 74.6 minutes and the median 28. But late starts did not predict overtime at the room level (Spearman rho = −0.29, p = 0.24). If anything, the relationship ran backwards: OR10 had the best on-time record of all 18 rooms (46.1% late) yet the worst overtime (32.9%); OR14 started late 78.7% of the time yet had the lowest overtime (3.5%); OR11 had the highest late-start rate (82.4%) with only a mid-range overtime rate (11.7%). Pandit et al. reported the same disconnect across more than 7,000 operating lists (R-squared 0.04 to 0.08 between start and finish times).</w:t>
      </w:r>
      <w:r>
        <w:rPr>
          <w:rFonts w:ascii="Times New Roman" w:hAnsi="Times New Roman"/>
          <w:sz w:val="24"/>
          <w:vertAlign w:val="superscript"/>
        </w:rPr>
        <w:t>23</w:t>
      </w:r>
      <w:r>
        <w:rPr>
          <w:rFonts w:ascii="Times New Roman" w:hAnsi="Times New Roman"/>
          <w:b w:val="0"/>
          <w:i w:val="0"/>
          <w:sz w:val="24"/>
        </w:rPr>
        <w:t xml:space="preserve"> Starting on time, in short, did not tell us which rooms would run late.</w:t>
      </w:r>
    </w:p>
    <w:p>
      <w:pPr>
        <w:spacing w:after="120" w:before="0" w:line="480" w:lineRule="exact"/>
        <w:jc w:val="left"/>
      </w:pPr>
      <w:r>
        <w:rPr>
          <w:rFonts w:ascii="Times New Roman" w:hAnsi="Times New Roman"/>
          <w:i/>
          <w:sz w:val="24"/>
        </w:rPr>
        <w:t>Inter-case idle time.</w:t>
      </w:r>
      <w:r>
        <w:rPr>
          <w:rFonts w:ascii="Times New Roman" w:hAnsi="Times New Roman"/>
          <w:b w:val="0"/>
          <w:i w:val="0"/>
          <w:sz w:val="24"/>
        </w:rPr>
        <w:t xml:space="preserve"> Median inter-case idle time was 8 minutes across all rooms (mean 9.9).</w:t>
      </w:r>
      <w:r>
        <w:rPr>
          <w:rFonts w:ascii="Times New Roman" w:hAnsi="Times New Roman"/>
          <w:sz w:val="24"/>
          <w:vertAlign w:val="superscript"/>
        </w:rPr>
        <w:t>22</w:t>
      </w:r>
      <w:r>
        <w:rPr>
          <w:rFonts w:ascii="Times New Roman" w:hAnsi="Times New Roman"/>
          <w:b w:val="0"/>
          <w:i w:val="0"/>
          <w:sz w:val="24"/>
        </w:rPr>
        <w:t xml:space="preserve"> Mean idle time and overtime rate were strongly correlated at the room level (Spearman rho = 0.89, p &lt; 0.001) — but OR10 drove most of that relationship. OR10 had both the highest idle time (22.6 minutes) and the highest overtime, and once it was excluded the correlation fell apart. The longer gaps between cases in OR10 likely reflect preparation demands between complex cardiac procedures, not inefficient turnovers. We did not treat inter-case idle time as an independent contributor to overtime.</w:t>
      </w:r>
    </w:p>
    <w:p>
      <w:pPr>
        <w:spacing w:after="120" w:before="0" w:line="480" w:lineRule="exact"/>
        <w:jc w:val="left"/>
      </w:pPr>
      <w:r>
        <w:rPr>
          <w:rFonts w:ascii="Times New Roman" w:hAnsi="Times New Roman"/>
          <w:i/>
          <w:sz w:val="24"/>
        </w:rPr>
        <w:t>Room swaps.</w:t>
      </w:r>
      <w:r>
        <w:rPr>
          <w:rFonts w:ascii="Times New Roman" w:hAnsi="Times New Roman"/>
          <w:b w:val="0"/>
          <w:i w:val="0"/>
          <w:sz w:val="24"/>
        </w:rPr>
        <w:t xml:space="preserve"> Only 519 cases (0.7%) were moved to a different room than originally planned. These swapped cases did run overtime more often (14.8% versus 9.7%), but the direction of causation is unclear: swaps may cause overtime, or overtime pressure may trigger swaps.</w:t>
      </w:r>
    </w:p>
    <w:p>
      <w:pPr>
        <w:spacing w:before="320" w:after="120" w:line="480" w:lineRule="exact"/>
        <w:jc w:val="left"/>
      </w:pPr>
      <w:r>
        <w:rPr>
          <w:rFonts w:ascii="Times New Roman" w:hAnsi="Times New Roman"/>
          <w:b/>
          <w:sz w:val="24"/>
        </w:rPr>
        <w:t>DISCUSSION</w:t>
      </w:r>
    </w:p>
    <w:p>
      <w:pPr>
        <w:spacing w:after="120" w:before="0" w:line="480" w:lineRule="exact"/>
        <w:jc w:val="left"/>
      </w:pPr>
      <w:r>
        <w:rPr>
          <w:rFonts w:ascii="Times New Roman" w:hAnsi="Times New Roman"/>
          <w:b w:val="0"/>
          <w:i w:val="0"/>
          <w:sz w:val="24"/>
        </w:rPr>
        <w:t>Overtime at this hospital was not a diffuse, hospital-wide phenomenon. The aggregate rate of 9.7% masked a near ten-fold spread across rooms (3.5 to 32.9%). Case-mix complexity and routine urgent-elective overlap tracked with the room-level pattern; start-time punctuality and inter-case idle time did not.</w:t>
      </w:r>
    </w:p>
    <w:p>
      <w:pPr>
        <w:spacing w:before="240" w:after="120" w:line="480" w:lineRule="exact"/>
        <w:jc w:val="left"/>
      </w:pPr>
      <w:r>
        <w:rPr>
          <w:rFonts w:ascii="Times New Roman" w:hAnsi="Times New Roman"/>
          <w:b/>
          <w:sz w:val="24"/>
        </w:rPr>
        <w:t>Concentration, not prevalence</w:t>
      </w:r>
    </w:p>
    <w:p>
      <w:pPr>
        <w:spacing w:after="120" w:before="0" w:line="480" w:lineRule="exact"/>
        <w:jc w:val="left"/>
      </w:pPr>
      <w:r>
        <w:rPr>
          <w:rFonts w:ascii="Times New Roman" w:hAnsi="Times New Roman"/>
          <w:b w:val="0"/>
          <w:i w:val="0"/>
          <w:sz w:val="24"/>
        </w:rPr>
        <w:t>A 9.7% hospital-wide overtime rate is unremarkable on its own, but the distribution behind it is uneven: OR10 ran overtime in roughly one of every three cases, while OR14 ran 3.5%. A hospital-wide target such as "reduce overtime by 10%" will not reach the problem unless decomposed by room. Zhang, Dunstan and Pandit made the same point: aggregate metrics hide room-level operational reality.</w:t>
      </w:r>
      <w:r>
        <w:rPr>
          <w:rFonts w:ascii="Times New Roman" w:hAnsi="Times New Roman"/>
          <w:sz w:val="24"/>
          <w:vertAlign w:val="superscript"/>
        </w:rPr>
        <w:t>16</w:t>
      </w:r>
      <w:r>
        <w:rPr>
          <w:rFonts w:ascii="Times New Roman" w:hAnsi="Times New Roman"/>
          <w:b w:val="0"/>
          <w:i w:val="0"/>
          <w:sz w:val="24"/>
        </w:rPr>
        <w:t xml:space="preserve"> Charlesworth and Pandit showed more broadly that standard theatre metrics, including start-time compliance and utilisation, are unreliable in isolation because they ignore list composition and scheduling uncertainty.</w:t>
      </w:r>
      <w:r>
        <w:rPr>
          <w:rFonts w:ascii="Times New Roman" w:hAnsi="Times New Roman"/>
          <w:sz w:val="24"/>
          <w:vertAlign w:val="superscript"/>
        </w:rPr>
        <w:t>29</w:t>
      </w:r>
      <w:r>
        <w:rPr>
          <w:rFonts w:ascii="Times New Roman" w:hAnsi="Times New Roman"/>
          <w:b w:val="0"/>
          <w:i w:val="0"/>
          <w:sz w:val="24"/>
        </w:rPr>
        <w:t xml:space="preserve"> Valid room-level metrics are a prerequisite for quality improvement.</w:t>
      </w:r>
      <w:r>
        <w:rPr>
          <w:rFonts w:ascii="Times New Roman" w:hAnsi="Times New Roman"/>
          <w:sz w:val="24"/>
          <w:vertAlign w:val="superscript"/>
        </w:rPr>
        <w:t>24</w:t>
      </w:r>
    </w:p>
    <w:p>
      <w:pPr>
        <w:spacing w:before="240" w:after="120" w:line="480" w:lineRule="exact"/>
        <w:jc w:val="left"/>
      </w:pPr>
      <w:r>
        <w:rPr>
          <w:rFonts w:ascii="Times New Roman" w:hAnsi="Times New Roman"/>
          <w:b/>
          <w:sz w:val="24"/>
        </w:rPr>
        <w:t>Factors associated with overtime</w:t>
      </w:r>
    </w:p>
    <w:p>
      <w:pPr>
        <w:spacing w:after="120" w:before="0" w:line="480" w:lineRule="exact"/>
        <w:jc w:val="left"/>
      </w:pPr>
      <w:r>
        <w:rPr>
          <w:rFonts w:ascii="Times New Roman" w:hAnsi="Times New Roman"/>
          <w:b w:val="0"/>
          <w:i w:val="0"/>
          <w:sz w:val="24"/>
        </w:rPr>
        <w:t>The procedures with the largest planning deviations and the highest planned durations — complex cardiac and oncology work — clustered in the rooms with the most overtime. Case-mix complexity, not scheduling inefficiency alone, likely accounts for much of the room-level variation. Wachtel and Dexter showed how tardiness grows as duration uncertainty accumulates through a day's list,</w:t>
      </w:r>
      <w:r>
        <w:rPr>
          <w:rFonts w:ascii="Times New Roman" w:hAnsi="Times New Roman"/>
          <w:sz w:val="24"/>
          <w:vertAlign w:val="superscript"/>
        </w:rPr>
        <w:t>26</w:t>
      </w:r>
      <w:r>
        <w:rPr>
          <w:rFonts w:ascii="Times New Roman" w:hAnsi="Times New Roman"/>
          <w:b w:val="0"/>
          <w:i w:val="0"/>
          <w:sz w:val="24"/>
        </w:rPr>
        <w:t xml:space="preserve"> and Fugener et al. documented systematic biases in surgeons' duration estimates that compound from one case to the next.</w:t>
      </w:r>
      <w:r>
        <w:rPr>
          <w:rFonts w:ascii="Times New Roman" w:hAnsi="Times New Roman"/>
          <w:sz w:val="24"/>
          <w:vertAlign w:val="superscript"/>
        </w:rPr>
        <w:t>27</w:t>
      </w:r>
      <w:r>
        <w:rPr>
          <w:rFonts w:ascii="Times New Roman" w:hAnsi="Times New Roman"/>
          <w:b w:val="0"/>
          <w:i w:val="0"/>
          <w:sz w:val="24"/>
        </w:rPr>
        <w:t xml:space="preserve"> These accounts fit the room-level pattern we see, though our data cannot test the cumulative-delay mechanism directly.</w:t>
      </w:r>
    </w:p>
    <w:p>
      <w:pPr>
        <w:spacing w:after="120" w:before="0" w:line="480" w:lineRule="exact"/>
        <w:jc w:val="left"/>
      </w:pPr>
      <w:r>
        <w:rPr>
          <w:rFonts w:ascii="Times New Roman" w:hAnsi="Times New Roman"/>
          <w:b w:val="0"/>
          <w:i w:val="0"/>
          <w:sz w:val="24"/>
        </w:rPr>
        <w:t>Urgent cases intruded on elective lists on more than two thirds of observation days, pushing elective start times back by a median of roughly 30 minutes. The hospital already runs dedicated urgent rooms, yet the overlap persists — which suggests that current capacity absorbs the average urgent load but not the peaks. Protecting the elective programme may require scheduling buffers or capacity reallocation rather than reactive rescheduling alone. Parmar et al. proposed a graphical method for spotting when emergency capacity falls short, using the pattern of delays and utilisation, which could inform such decisions.</w:t>
      </w:r>
      <w:r>
        <w:rPr>
          <w:rFonts w:ascii="Times New Roman" w:hAnsi="Times New Roman"/>
          <w:sz w:val="24"/>
          <w:vertAlign w:val="superscript"/>
        </w:rPr>
        <w:t>30</w:t>
      </w:r>
    </w:p>
    <w:p>
      <w:pPr>
        <w:spacing w:after="120" w:before="0" w:line="480" w:lineRule="exact"/>
        <w:jc w:val="left"/>
      </w:pPr>
      <w:r>
        <w:rPr>
          <w:rFonts w:ascii="Times New Roman" w:hAnsi="Times New Roman"/>
          <w:b w:val="0"/>
          <w:i w:val="0"/>
          <w:sz w:val="24"/>
        </w:rPr>
        <w:t>A common assumption is that first-case-on-time-start (FCOTS) drives end-of-day performance, with each minute of tardiness carrying a marginal cost.</w:t>
      </w:r>
      <w:r>
        <w:rPr>
          <w:rFonts w:ascii="Times New Roman" w:hAnsi="Times New Roman"/>
          <w:sz w:val="24"/>
          <w:vertAlign w:val="superscript"/>
        </w:rPr>
        <w:t>25</w:t>
      </w:r>
      <w:r>
        <w:rPr>
          <w:rFonts w:ascii="Times New Roman" w:hAnsi="Times New Roman"/>
          <w:b w:val="0"/>
          <w:i w:val="0"/>
          <w:sz w:val="24"/>
        </w:rPr>
        <w:t xml:space="preserve"> We tested a broader version of this idea using the per-room late-start rate across all scheduled cases, not only first cases. The correlation was absent (Spearman rho = −0.29, p = 0.24), and the individual rooms tell the same story: OR10 started on time more often than any other room yet ran the most overtime; OR14 was one of the least punctual yet had the least. Pandit et al. found the same disconnect across over 7,000 operating lists.</w:t>
      </w:r>
      <w:r>
        <w:rPr>
          <w:rFonts w:ascii="Times New Roman" w:hAnsi="Times New Roman"/>
          <w:sz w:val="24"/>
          <w:vertAlign w:val="superscript"/>
        </w:rPr>
        <w:t>23</w:t>
      </w:r>
      <w:r>
        <w:rPr>
          <w:rFonts w:ascii="Times New Roman" w:hAnsi="Times New Roman"/>
          <w:b w:val="0"/>
          <w:i w:val="0"/>
          <w:sz w:val="24"/>
        </w:rPr>
        <w:t xml:space="preserve"> We do not dismiss FCOTS as a discipline marker, but in this dataset it does not predict where overtime builds up.</w:t>
      </w:r>
    </w:p>
    <w:p>
      <w:pPr>
        <w:spacing w:before="240" w:after="120" w:line="480" w:lineRule="exact"/>
        <w:jc w:val="left"/>
      </w:pPr>
      <w:r>
        <w:rPr>
          <w:rFonts w:ascii="Times New Roman" w:hAnsi="Times New Roman"/>
          <w:b/>
          <w:sz w:val="24"/>
        </w:rPr>
        <w:t>Implications</w:t>
      </w:r>
    </w:p>
    <w:p>
      <w:pPr>
        <w:spacing w:after="120" w:before="0" w:line="480" w:lineRule="exact"/>
        <w:jc w:val="left"/>
      </w:pPr>
      <w:r>
        <w:rPr>
          <w:rFonts w:ascii="Times New Roman" w:hAnsi="Times New Roman"/>
          <w:i/>
          <w:sz w:val="24"/>
        </w:rPr>
        <w:t>Operational implication.</w:t>
      </w:r>
      <w:r>
        <w:rPr>
          <w:rFonts w:ascii="Times New Roman" w:hAnsi="Times New Roman"/>
          <w:b w:val="0"/>
          <w:i w:val="0"/>
          <w:sz w:val="24"/>
        </w:rPr>
        <w:t xml:space="preserve"> Room-level monitoring should take precedence over hospital-wide overtime targets, and scheduling should treat urgent-case flow as a routine planning input rather than an exception.</w:t>
      </w:r>
    </w:p>
    <w:p>
      <w:pPr>
        <w:spacing w:after="120" w:before="0" w:line="480" w:lineRule="exact"/>
        <w:jc w:val="left"/>
      </w:pPr>
      <w:r>
        <w:rPr>
          <w:rFonts w:ascii="Times New Roman" w:hAnsi="Times New Roman"/>
          <w:i/>
          <w:sz w:val="24"/>
        </w:rPr>
        <w:t>Clinical implication.</w:t>
      </w:r>
      <w:r>
        <w:rPr>
          <w:rFonts w:ascii="Times New Roman" w:hAnsi="Times New Roman"/>
          <w:b w:val="0"/>
          <w:i w:val="0"/>
          <w:sz w:val="24"/>
        </w:rPr>
        <w:t xml:space="preserve"> The overtime we document produces the same exposure — work continuing past the staffing step-down — that other studies have tied to staff fatigue, after-hours mortality, and complications.</w:t>
      </w:r>
      <w:r>
        <w:rPr>
          <w:rFonts w:ascii="Times New Roman" w:hAnsi="Times New Roman"/>
          <w:sz w:val="24"/>
          <w:vertAlign w:val="superscript"/>
        </w:rPr>
        <w:t>2–13</w:t>
      </w:r>
      <w:r>
        <w:rPr>
          <w:rFonts w:ascii="Times New Roman" w:hAnsi="Times New Roman"/>
          <w:b w:val="0"/>
          <w:i w:val="0"/>
          <w:sz w:val="24"/>
        </w:rPr>
        <w:t xml:space="preserve"> Whether those harms are present at this hospital is something administrative data alone cannot answer. The next step is to link room-level overtime directly to patient and staff outcomes.</w:t>
      </w:r>
    </w:p>
    <w:p>
      <w:pPr>
        <w:spacing w:before="240" w:after="120" w:line="480" w:lineRule="exact"/>
        <w:jc w:val="left"/>
      </w:pPr>
      <w:r>
        <w:rPr>
          <w:rFonts w:ascii="Times New Roman" w:hAnsi="Times New Roman"/>
          <w:b/>
          <w:sz w:val="24"/>
        </w:rPr>
        <w:t>Limitations</w:t>
      </w:r>
    </w:p>
    <w:p>
      <w:pPr>
        <w:spacing w:after="120" w:before="0" w:line="480" w:lineRule="exact"/>
        <w:jc w:val="left"/>
      </w:pPr>
      <w:r>
        <w:rPr>
          <w:rFonts w:ascii="Times New Roman" w:hAnsi="Times New Roman"/>
          <w:b w:val="0"/>
          <w:i w:val="0"/>
          <w:sz w:val="24"/>
        </w:rPr>
        <w:t>Several limitations apply. This is a single-site analysis; whether the concentration pattern generalises to hospitals with different staffing models is an open question. The administrative data give us room-in and room-out times but nothing about what happens inside the case. We do not measure patient or staff outcomes — the harm argument rests on published literature, not on complications or burnout scores from this cohort. OR10 handles complex cardiac surgery, and its high overtime may partly reflect irreducible procedural duration rather than anything a scheduler can fix; we describe the pattern but cannot adjust for it without procedure-level risk scores. Finally, the link between after-hours surgery and patient harm rests on observational studies with widely varying effect sizes (adjusted odds ratios from 1.16</w:t>
      </w:r>
      <w:r>
        <w:rPr>
          <w:rFonts w:ascii="Times New Roman" w:hAnsi="Times New Roman"/>
          <w:sz w:val="24"/>
          <w:vertAlign w:val="superscript"/>
        </w:rPr>
        <w:t>7</w:t>
      </w:r>
      <w:r>
        <w:rPr>
          <w:rFonts w:ascii="Times New Roman" w:hAnsi="Times New Roman"/>
          <w:b w:val="0"/>
          <w:i w:val="0"/>
          <w:sz w:val="24"/>
        </w:rPr>
        <w:t xml:space="preserve"> to 3.58</w:t>
      </w:r>
      <w:r>
        <w:rPr>
          <w:rFonts w:ascii="Times New Roman" w:hAnsi="Times New Roman"/>
          <w:sz w:val="24"/>
          <w:vertAlign w:val="superscript"/>
        </w:rPr>
        <w:t>8</w:t>
      </w:r>
      <w:r>
        <w:rPr>
          <w:rFonts w:ascii="Times New Roman" w:hAnsi="Times New Roman"/>
          <w:b w:val="0"/>
          <w:i w:val="0"/>
          <w:sz w:val="24"/>
        </w:rPr>
        <w:t>) and residual-confounding concerns.</w:t>
      </w:r>
      <w:r>
        <w:rPr>
          <w:rFonts w:ascii="Times New Roman" w:hAnsi="Times New Roman"/>
          <w:sz w:val="24"/>
          <w:vertAlign w:val="superscript"/>
        </w:rPr>
        <w:t>9</w:t>
      </w:r>
      <w:r>
        <w:rPr>
          <w:rFonts w:ascii="Times New Roman" w:hAnsi="Times New Roman"/>
          <w:b w:val="0"/>
          <w:i w:val="0"/>
          <w:sz w:val="24"/>
        </w:rPr>
        <w:t xml:space="preserve"> Readers should weigh the mortality evidence with that uncertainty in mind.</w:t>
      </w:r>
    </w:p>
    <w:p>
      <w:pPr>
        <w:spacing w:before="320" w:after="120" w:line="480" w:lineRule="exact"/>
        <w:jc w:val="left"/>
      </w:pPr>
      <w:r>
        <w:rPr>
          <w:rFonts w:ascii="Times New Roman" w:hAnsi="Times New Roman"/>
          <w:b/>
          <w:sz w:val="24"/>
        </w:rPr>
        <w:t>CONCLUSION</w:t>
      </w:r>
    </w:p>
    <w:p>
      <w:pPr>
        <w:spacing w:after="120" w:before="0" w:line="480" w:lineRule="exact"/>
        <w:jc w:val="left"/>
      </w:pPr>
      <w:r>
        <w:rPr>
          <w:rFonts w:ascii="Times New Roman" w:hAnsi="Times New Roman"/>
          <w:b w:val="0"/>
          <w:i w:val="0"/>
          <w:sz w:val="24"/>
        </w:rPr>
        <w:t>At this tertiary hospital, operating-room overtime concentrated in a small number of rooms. The factors most strongly tied to room-level overtime were case-mix complexity and unplanned urgent-case disruption of the elective programme; start-time punctuality and inter-case idle time played no discernible role. These findings argue for room-level rather than hospital-level overtime monitoring and for scheduling that treats urgent-case flow as a routine input.</w:t>
      </w:r>
    </w:p>
    <w:p>
      <w:pPr>
        <w:spacing w:before="320" w:after="120" w:line="480" w:lineRule="exact"/>
        <w:jc w:val="left"/>
      </w:pPr>
      <w:r>
        <w:rPr>
          <w:rFonts w:ascii="Times New Roman" w:hAnsi="Times New Roman"/>
          <w:b/>
          <w:sz w:val="24"/>
        </w:rPr>
        <w:t>ACKNOWLEDGEMENTS</w:t>
      </w:r>
    </w:p>
    <w:p>
      <w:pPr>
        <w:spacing w:after="120" w:before="120" w:line="480" w:lineRule="exact"/>
        <w:jc w:val="left"/>
      </w:pPr>
      <w:r>
        <w:rPr>
          <w:rFonts w:ascii="Times New Roman" w:hAnsi="Times New Roman"/>
          <w:b w:val="0"/>
          <w:i/>
          <w:sz w:val="24"/>
        </w:rPr>
        <w:t>[To be completed]</w:t>
      </w:r>
    </w:p>
    <w:p>
      <w:pPr>
        <w:spacing w:before="320" w:after="120" w:line="480" w:lineRule="exact"/>
        <w:jc w:val="left"/>
      </w:pPr>
      <w:r>
        <w:rPr>
          <w:rFonts w:ascii="Times New Roman" w:hAnsi="Times New Roman"/>
          <w:b/>
          <w:sz w:val="24"/>
        </w:rPr>
        <w:t>COMPETING INTERESTS</w:t>
      </w:r>
    </w:p>
    <w:p>
      <w:pPr>
        <w:spacing w:after="120" w:before="0" w:line="480" w:lineRule="exact"/>
        <w:jc w:val="left"/>
      </w:pPr>
      <w:r>
        <w:rPr>
          <w:rFonts w:ascii="Times New Roman" w:hAnsi="Times New Roman"/>
          <w:b w:val="0"/>
          <w:i w:val="0"/>
          <w:sz w:val="24"/>
        </w:rPr>
        <w:t>None declared.</w:t>
      </w:r>
    </w:p>
    <w:p>
      <w:pPr>
        <w:spacing w:before="320" w:after="120" w:line="480" w:lineRule="exact"/>
        <w:jc w:val="left"/>
      </w:pPr>
      <w:r>
        <w:rPr>
          <w:rFonts w:ascii="Times New Roman" w:hAnsi="Times New Roman"/>
          <w:b/>
          <w:sz w:val="24"/>
        </w:rPr>
        <w:t>FUNDING</w:t>
      </w:r>
    </w:p>
    <w:p>
      <w:pPr>
        <w:spacing w:after="120" w:before="120" w:line="480" w:lineRule="exact"/>
        <w:jc w:val="left"/>
      </w:pPr>
      <w:r>
        <w:rPr>
          <w:rFonts w:ascii="Times New Roman" w:hAnsi="Times New Roman"/>
          <w:b w:val="0"/>
          <w:i/>
          <w:sz w:val="24"/>
        </w:rPr>
        <w:t>[To be completed]</w:t>
      </w:r>
    </w:p>
    <w:p>
      <w:pPr>
        <w:spacing w:before="320" w:after="120" w:line="480" w:lineRule="exact"/>
        <w:jc w:val="left"/>
      </w:pPr>
      <w:r>
        <w:rPr>
          <w:rFonts w:ascii="Times New Roman" w:hAnsi="Times New Roman"/>
          <w:b/>
          <w:sz w:val="24"/>
        </w:rPr>
        <w:t>DATA AVAILABILITY</w:t>
      </w:r>
    </w:p>
    <w:p>
      <w:pPr>
        <w:spacing w:after="120" w:before="0" w:line="480" w:lineRule="exact"/>
        <w:jc w:val="left"/>
      </w:pPr>
      <w:r>
        <w:rPr>
          <w:rFonts w:ascii="Times New Roman" w:hAnsi="Times New Roman"/>
          <w:b w:val="0"/>
          <w:i w:val="0"/>
          <w:sz w:val="24"/>
        </w:rPr>
        <w:t>The dataset contains de-identified administrative hospital data. Requests for access should be directed to the hospital's research office.</w:t>
      </w:r>
    </w:p>
    <w:p>
      <w:pPr>
        <w:spacing w:before="320" w:after="120" w:line="480" w:lineRule="exact"/>
        <w:jc w:val="left"/>
      </w:pPr>
      <w:r>
        <w:rPr>
          <w:rFonts w:ascii="Times New Roman" w:hAnsi="Times New Roman"/>
          <w:b/>
          <w:sz w:val="24"/>
        </w:rPr>
        <w:t>REFERENCES</w:t>
      </w:r>
    </w:p>
    <w:p>
      <w:pPr>
        <w:spacing w:after="60" w:before="0" w:line="480" w:lineRule="exact"/>
        <w:jc w:val="left"/>
      </w:pPr>
      <w:r>
        <w:rPr>
          <w:rFonts w:ascii="Times New Roman" w:hAnsi="Times New Roman"/>
          <w:b w:val="0"/>
          <w:i w:val="0"/>
          <w:sz w:val="24"/>
        </w:rPr>
        <w:t xml:space="preserve">1. Wachtel RE, Dexter F. Review of behavioral operations experimental studies of newsvendor problems for operating room management. </w:t>
      </w:r>
      <w:r>
        <w:rPr>
          <w:rFonts w:ascii="Times New Roman" w:hAnsi="Times New Roman"/>
          <w:i/>
          <w:sz w:val="24"/>
        </w:rPr>
        <w:t>Anesth Analg</w:t>
      </w:r>
      <w:r>
        <w:rPr>
          <w:rFonts w:ascii="Times New Roman" w:hAnsi="Times New Roman"/>
          <w:b w:val="0"/>
          <w:i w:val="0"/>
          <w:sz w:val="24"/>
        </w:rPr>
        <w:t xml:space="preserve"> 2010;110(6):1698-1710.</w:t>
      </w:r>
    </w:p>
    <w:p>
      <w:pPr>
        <w:spacing w:after="60" w:before="0" w:line="480" w:lineRule="exact"/>
        <w:jc w:val="left"/>
      </w:pPr>
      <w:r>
        <w:rPr>
          <w:rFonts w:ascii="Times New Roman" w:hAnsi="Times New Roman"/>
          <w:b w:val="0"/>
          <w:i w:val="0"/>
          <w:sz w:val="24"/>
        </w:rPr>
        <w:t xml:space="preserve">2. Griffiths P, Dall'Ora C, Simon M, et al. Nurses' shift length and overtime working in 12 European countries: the association with perceived quality of care and patient safety. </w:t>
      </w:r>
      <w:r>
        <w:rPr>
          <w:rFonts w:ascii="Times New Roman" w:hAnsi="Times New Roman"/>
          <w:i/>
          <w:sz w:val="24"/>
        </w:rPr>
        <w:t>Med Care</w:t>
      </w:r>
      <w:r>
        <w:rPr>
          <w:rFonts w:ascii="Times New Roman" w:hAnsi="Times New Roman"/>
          <w:b w:val="0"/>
          <w:i w:val="0"/>
          <w:sz w:val="24"/>
        </w:rPr>
        <w:t xml:space="preserve"> 2014;52(11):975-81.</w:t>
      </w:r>
    </w:p>
    <w:p>
      <w:pPr>
        <w:spacing w:after="60" w:before="0" w:line="480" w:lineRule="exact"/>
        <w:jc w:val="left"/>
      </w:pPr>
      <w:r>
        <w:rPr>
          <w:rFonts w:ascii="Times New Roman" w:hAnsi="Times New Roman"/>
          <w:b w:val="0"/>
          <w:i w:val="0"/>
          <w:sz w:val="24"/>
        </w:rPr>
        <w:t xml:space="preserve">3. Dall'Ora C, Griffiths P, Ball J, et al. Association of 12 h shifts and nurses' job satisfaction, burnout and intention to leave: findings from a cross-sectional study of 12 European countries. </w:t>
      </w:r>
      <w:r>
        <w:rPr>
          <w:rFonts w:ascii="Times New Roman" w:hAnsi="Times New Roman"/>
          <w:i/>
          <w:sz w:val="24"/>
        </w:rPr>
        <w:t>BMJ Open</w:t>
      </w:r>
      <w:r>
        <w:rPr>
          <w:rFonts w:ascii="Times New Roman" w:hAnsi="Times New Roman"/>
          <w:b w:val="0"/>
          <w:i w:val="0"/>
          <w:sz w:val="24"/>
        </w:rPr>
        <w:t xml:space="preserve"> 2015;5(9):e008331.</w:t>
      </w:r>
    </w:p>
    <w:p>
      <w:pPr>
        <w:spacing w:after="60" w:before="0" w:line="480" w:lineRule="exact"/>
        <w:jc w:val="left"/>
      </w:pPr>
      <w:r>
        <w:rPr>
          <w:rFonts w:ascii="Times New Roman" w:hAnsi="Times New Roman"/>
          <w:b w:val="0"/>
          <w:i w:val="0"/>
          <w:sz w:val="24"/>
        </w:rPr>
        <w:t xml:space="preserve">4. Bae S-H. Nurse staffing, work hours, mandatory overtime, and turnover in acute care hospitals affect nurse job satisfaction, intent to leave, and burnout: a cross-sectional study. </w:t>
      </w:r>
      <w:r>
        <w:rPr>
          <w:rFonts w:ascii="Times New Roman" w:hAnsi="Times New Roman"/>
          <w:i/>
          <w:sz w:val="24"/>
        </w:rPr>
        <w:t>Int J Public Health</w:t>
      </w:r>
      <w:r>
        <w:rPr>
          <w:rFonts w:ascii="Times New Roman" w:hAnsi="Times New Roman"/>
          <w:b w:val="0"/>
          <w:i w:val="0"/>
          <w:sz w:val="24"/>
        </w:rPr>
        <w:t xml:space="preserve"> 2024;69:1607068.</w:t>
      </w:r>
    </w:p>
    <w:p>
      <w:pPr>
        <w:spacing w:after="60" w:before="0" w:line="480" w:lineRule="exact"/>
        <w:jc w:val="left"/>
      </w:pPr>
      <w:r>
        <w:rPr>
          <w:rFonts w:ascii="Times New Roman" w:hAnsi="Times New Roman"/>
          <w:b w:val="0"/>
          <w:i w:val="0"/>
          <w:sz w:val="24"/>
        </w:rPr>
        <w:t xml:space="preserve">5. Dall'Ora C, Ball J, Recio-Saucedo A, Griffiths P. Characteristics of shift work and their impact on employee performance and wellbeing: a literature review. </w:t>
      </w:r>
      <w:r>
        <w:rPr>
          <w:rFonts w:ascii="Times New Roman" w:hAnsi="Times New Roman"/>
          <w:i/>
          <w:sz w:val="24"/>
        </w:rPr>
        <w:t>Int J Nurs Stud</w:t>
      </w:r>
      <w:r>
        <w:rPr>
          <w:rFonts w:ascii="Times New Roman" w:hAnsi="Times New Roman"/>
          <w:b w:val="0"/>
          <w:i w:val="0"/>
          <w:sz w:val="24"/>
        </w:rPr>
        <w:t xml:space="preserve"> 2016;57:12-27.</w:t>
      </w:r>
    </w:p>
    <w:p>
      <w:pPr>
        <w:spacing w:after="60" w:before="0" w:line="480" w:lineRule="exact"/>
        <w:jc w:val="left"/>
      </w:pPr>
      <w:r>
        <w:rPr>
          <w:rFonts w:ascii="Times New Roman" w:hAnsi="Times New Roman"/>
          <w:b w:val="0"/>
          <w:i w:val="0"/>
          <w:sz w:val="24"/>
        </w:rPr>
        <w:t xml:space="preserve">6. Dall'Ora C, Ball J, Reinius M, Griffiths P. Burnout in nursing: a theoretical review. </w:t>
      </w:r>
      <w:r>
        <w:rPr>
          <w:rFonts w:ascii="Times New Roman" w:hAnsi="Times New Roman"/>
          <w:i/>
          <w:sz w:val="24"/>
        </w:rPr>
        <w:t>Hum Resour Health</w:t>
      </w:r>
      <w:r>
        <w:rPr>
          <w:rFonts w:ascii="Times New Roman" w:hAnsi="Times New Roman"/>
          <w:b w:val="0"/>
          <w:i w:val="0"/>
          <w:sz w:val="24"/>
        </w:rPr>
        <w:t xml:space="preserve"> 2020;18:41.</w:t>
      </w:r>
    </w:p>
    <w:p>
      <w:pPr>
        <w:spacing w:after="60" w:before="0" w:line="480" w:lineRule="exact"/>
        <w:jc w:val="left"/>
      </w:pPr>
      <w:r>
        <w:rPr>
          <w:rFonts w:ascii="Times New Roman" w:hAnsi="Times New Roman"/>
          <w:b w:val="0"/>
          <w:i w:val="0"/>
          <w:sz w:val="24"/>
        </w:rPr>
        <w:t xml:space="preserve">7. Cortegiani A, Ippolito M, Misseri G, et al. Association between night/after-hours surgery and mortality: a systematic review and meta-analysis. </w:t>
      </w:r>
      <w:r>
        <w:rPr>
          <w:rFonts w:ascii="Times New Roman" w:hAnsi="Times New Roman"/>
          <w:i/>
          <w:sz w:val="24"/>
        </w:rPr>
        <w:t>Br J Anaesth</w:t>
      </w:r>
      <w:r>
        <w:rPr>
          <w:rFonts w:ascii="Times New Roman" w:hAnsi="Times New Roman"/>
          <w:b w:val="0"/>
          <w:i w:val="0"/>
          <w:sz w:val="24"/>
        </w:rPr>
        <w:t xml:space="preserve"> 2020;124(5):623-37.</w:t>
      </w:r>
    </w:p>
    <w:p>
      <w:pPr>
        <w:spacing w:after="60" w:before="0" w:line="480" w:lineRule="exact"/>
        <w:jc w:val="left"/>
      </w:pPr>
      <w:r>
        <w:rPr>
          <w:rFonts w:ascii="Times New Roman" w:hAnsi="Times New Roman"/>
          <w:b w:val="0"/>
          <w:i w:val="0"/>
          <w:sz w:val="24"/>
        </w:rPr>
        <w:t xml:space="preserve">8. Oh T-K, Song I-A. Outcomes of after-hours surgeries performed under general anaesthesia: a South Korean nationwide cohort study. </w:t>
      </w:r>
      <w:r>
        <w:rPr>
          <w:rFonts w:ascii="Times New Roman" w:hAnsi="Times New Roman"/>
          <w:i/>
          <w:sz w:val="24"/>
        </w:rPr>
        <w:t>Anaesthesia</w:t>
      </w:r>
      <w:r>
        <w:rPr>
          <w:rFonts w:ascii="Times New Roman" w:hAnsi="Times New Roman"/>
          <w:b w:val="0"/>
          <w:i w:val="0"/>
          <w:sz w:val="24"/>
        </w:rPr>
        <w:t xml:space="preserve"> 2025. DOI: 10.1111/anae.16559.</w:t>
      </w:r>
    </w:p>
    <w:p>
      <w:pPr>
        <w:spacing w:after="60" w:before="0" w:line="480" w:lineRule="exact"/>
        <w:jc w:val="left"/>
      </w:pPr>
      <w:r>
        <w:rPr>
          <w:rFonts w:ascii="Times New Roman" w:hAnsi="Times New Roman"/>
          <w:b w:val="0"/>
          <w:i w:val="0"/>
          <w:sz w:val="24"/>
        </w:rPr>
        <w:t xml:space="preserve">9. Sakurai T. Assessing the influence of after-hours surgery: concerns with the confounders and conclusion. </w:t>
      </w:r>
      <w:r>
        <w:rPr>
          <w:rFonts w:ascii="Times New Roman" w:hAnsi="Times New Roman"/>
          <w:i/>
          <w:sz w:val="24"/>
        </w:rPr>
        <w:t>Anaesthesia</w:t>
      </w:r>
      <w:r>
        <w:rPr>
          <w:rFonts w:ascii="Times New Roman" w:hAnsi="Times New Roman"/>
          <w:b w:val="0"/>
          <w:i w:val="0"/>
          <w:sz w:val="24"/>
        </w:rPr>
        <w:t xml:space="preserve"> 2025. DOI: 10.1111/anae.16591.</w:t>
      </w:r>
    </w:p>
    <w:p>
      <w:pPr>
        <w:spacing w:after="60" w:before="0" w:line="480" w:lineRule="exact"/>
        <w:jc w:val="left"/>
      </w:pPr>
      <w:r>
        <w:rPr>
          <w:rFonts w:ascii="Times New Roman" w:hAnsi="Times New Roman"/>
          <w:b w:val="0"/>
          <w:i w:val="0"/>
          <w:sz w:val="24"/>
        </w:rPr>
        <w:t xml:space="preserve">10. Saager L, Hesler BD, You J, et al. Intraoperative transitions of anesthesia care and postoperative adverse outcomes. </w:t>
      </w:r>
      <w:r>
        <w:rPr>
          <w:rFonts w:ascii="Times New Roman" w:hAnsi="Times New Roman"/>
          <w:i/>
          <w:sz w:val="24"/>
        </w:rPr>
        <w:t>Anesthesiology</w:t>
      </w:r>
      <w:r>
        <w:rPr>
          <w:rFonts w:ascii="Times New Roman" w:hAnsi="Times New Roman"/>
          <w:b w:val="0"/>
          <w:i w:val="0"/>
          <w:sz w:val="24"/>
        </w:rPr>
        <w:t xml:space="preserve"> 2014;121(4):695-706.</w:t>
      </w:r>
    </w:p>
    <w:p>
      <w:pPr>
        <w:spacing w:after="60" w:before="0" w:line="480" w:lineRule="exact"/>
        <w:jc w:val="left"/>
      </w:pPr>
      <w:r>
        <w:rPr>
          <w:rFonts w:ascii="Times New Roman" w:hAnsi="Times New Roman"/>
          <w:b w:val="0"/>
          <w:i w:val="0"/>
          <w:sz w:val="24"/>
        </w:rPr>
        <w:t>11. Health Services Safety Investigations Body (HSSIB). The impact of staff fatigue on patient safety. Investigation report. London: HSSIB, 2025.</w:t>
      </w:r>
    </w:p>
    <w:p>
      <w:pPr>
        <w:spacing w:after="60" w:before="0" w:line="480" w:lineRule="exact"/>
        <w:jc w:val="left"/>
      </w:pPr>
      <w:r>
        <w:rPr>
          <w:rFonts w:ascii="Times New Roman" w:hAnsi="Times New Roman"/>
          <w:b w:val="0"/>
          <w:i w:val="0"/>
          <w:sz w:val="24"/>
        </w:rPr>
        <w:t xml:space="preserve">12. Pittman P, Tiunn H-L, et al. Increased utilization of overtime and agency nurses and patient safety. </w:t>
      </w:r>
      <w:r>
        <w:rPr>
          <w:rFonts w:ascii="Times New Roman" w:hAnsi="Times New Roman"/>
          <w:i/>
          <w:sz w:val="24"/>
        </w:rPr>
        <w:t>JAMA Netw Open</w:t>
      </w:r>
      <w:r>
        <w:rPr>
          <w:rFonts w:ascii="Times New Roman" w:hAnsi="Times New Roman"/>
          <w:b w:val="0"/>
          <w:i w:val="0"/>
          <w:sz w:val="24"/>
        </w:rPr>
        <w:t xml:space="preserve"> 2025. PMID: 40172888.</w:t>
      </w:r>
    </w:p>
    <w:p>
      <w:pPr>
        <w:spacing w:after="60" w:before="0" w:line="480" w:lineRule="exact"/>
        <w:jc w:val="left"/>
      </w:pPr>
      <w:r>
        <w:rPr>
          <w:rFonts w:ascii="Times New Roman" w:hAnsi="Times New Roman"/>
          <w:b w:val="0"/>
          <w:i w:val="0"/>
          <w:sz w:val="24"/>
        </w:rPr>
        <w:t xml:space="preserve">13. Althoff FC, Wachtendorf LJ, Rostin P, et al. Effects of night surgery on postoperative mortality and morbidity: a multicentre cohort study. </w:t>
      </w:r>
      <w:r>
        <w:rPr>
          <w:rFonts w:ascii="Times New Roman" w:hAnsi="Times New Roman"/>
          <w:i/>
          <w:sz w:val="24"/>
        </w:rPr>
        <w:t>BMJ Qual Saf</w:t>
      </w:r>
      <w:r>
        <w:rPr>
          <w:rFonts w:ascii="Times New Roman" w:hAnsi="Times New Roman"/>
          <w:b w:val="0"/>
          <w:i w:val="0"/>
          <w:sz w:val="24"/>
        </w:rPr>
        <w:t xml:space="preserve"> 2021;30(8):678-688.</w:t>
      </w:r>
    </w:p>
    <w:p>
      <w:pPr>
        <w:spacing w:after="60" w:before="0" w:line="480" w:lineRule="exact"/>
        <w:jc w:val="left"/>
      </w:pPr>
      <w:r>
        <w:rPr>
          <w:rFonts w:ascii="Times New Roman" w:hAnsi="Times New Roman"/>
          <w:b w:val="0"/>
          <w:i w:val="0"/>
          <w:sz w:val="24"/>
        </w:rPr>
        <w:t xml:space="preserve">14. Joseph A, Khoshkenar A, Taaffe KM, et al. Minor flow disruptions, traffic-related factors and their effect on major flow disruptions in the operating room. </w:t>
      </w:r>
      <w:r>
        <w:rPr>
          <w:rFonts w:ascii="Times New Roman" w:hAnsi="Times New Roman"/>
          <w:i/>
          <w:sz w:val="24"/>
        </w:rPr>
        <w:t>BMJ Qual Saf</w:t>
      </w:r>
      <w:r>
        <w:rPr>
          <w:rFonts w:ascii="Times New Roman" w:hAnsi="Times New Roman"/>
          <w:b w:val="0"/>
          <w:i w:val="0"/>
          <w:sz w:val="24"/>
        </w:rPr>
        <w:t xml:space="preserve"> 2019;28(4):276-83.</w:t>
      </w:r>
    </w:p>
    <w:p>
      <w:pPr>
        <w:spacing w:after="60" w:before="0" w:line="480" w:lineRule="exact"/>
        <w:jc w:val="left"/>
      </w:pPr>
      <w:r>
        <w:rPr>
          <w:rFonts w:ascii="Times New Roman" w:hAnsi="Times New Roman"/>
          <w:b w:val="0"/>
          <w:i w:val="0"/>
          <w:sz w:val="24"/>
        </w:rPr>
        <w:t xml:space="preserve">15. Koch A, Burns J, Catchpole K, Weigl M. Associations of workflow disruptions in the operating room with surgical outcomes: a systematic review and narrative synthesis. </w:t>
      </w:r>
      <w:r>
        <w:rPr>
          <w:rFonts w:ascii="Times New Roman" w:hAnsi="Times New Roman"/>
          <w:i/>
          <w:sz w:val="24"/>
        </w:rPr>
        <w:t>BMJ Qual Saf</w:t>
      </w:r>
      <w:r>
        <w:rPr>
          <w:rFonts w:ascii="Times New Roman" w:hAnsi="Times New Roman"/>
          <w:b w:val="0"/>
          <w:i w:val="0"/>
          <w:sz w:val="24"/>
        </w:rPr>
        <w:t xml:space="preserve"> 2020;29(12):1033-1045.</w:t>
      </w:r>
    </w:p>
    <w:p>
      <w:pPr>
        <w:spacing w:after="60" w:before="0" w:line="480" w:lineRule="exact"/>
        <w:jc w:val="left"/>
      </w:pPr>
      <w:r>
        <w:rPr>
          <w:rFonts w:ascii="Times New Roman" w:hAnsi="Times New Roman"/>
          <w:b w:val="0"/>
          <w:i w:val="0"/>
          <w:sz w:val="24"/>
        </w:rPr>
        <w:t xml:space="preserve">16. Zhang C, Dunstan C, Pandit JJ. A tutorial on "capped utilisation" as a metric and key performance target in NHS England's Model Hospital operating theatres database: caution for international healthcare systems. </w:t>
      </w:r>
      <w:r>
        <w:rPr>
          <w:rFonts w:ascii="Times New Roman" w:hAnsi="Times New Roman"/>
          <w:i/>
          <w:sz w:val="24"/>
        </w:rPr>
        <w:t>Anesthesiol Perioper Sci</w:t>
      </w:r>
      <w:r>
        <w:rPr>
          <w:rFonts w:ascii="Times New Roman" w:hAnsi="Times New Roman"/>
          <w:b w:val="0"/>
          <w:i w:val="0"/>
          <w:sz w:val="24"/>
        </w:rPr>
        <w:t xml:space="preserve"> 2024. DOI: 10.1007/s44254-024-00073-3.</w:t>
      </w:r>
    </w:p>
    <w:p>
      <w:pPr>
        <w:spacing w:after="60" w:before="0" w:line="480" w:lineRule="exact"/>
        <w:jc w:val="left"/>
      </w:pPr>
      <w:r>
        <w:rPr>
          <w:rFonts w:ascii="Times New Roman" w:hAnsi="Times New Roman"/>
          <w:b w:val="0"/>
          <w:i w:val="0"/>
          <w:sz w:val="24"/>
        </w:rPr>
        <w:t xml:space="preserve">17. Macario A. Are your hospital operating rooms "efficient"? A scoring system with eight performance indicators. </w:t>
      </w:r>
      <w:r>
        <w:rPr>
          <w:rFonts w:ascii="Times New Roman" w:hAnsi="Times New Roman"/>
          <w:i/>
          <w:sz w:val="24"/>
        </w:rPr>
        <w:t>Anesthesiology</w:t>
      </w:r>
      <w:r>
        <w:rPr>
          <w:rFonts w:ascii="Times New Roman" w:hAnsi="Times New Roman"/>
          <w:b w:val="0"/>
          <w:i w:val="0"/>
          <w:sz w:val="24"/>
        </w:rPr>
        <w:t xml:space="preserve"> 2006;105(2):237-40.</w:t>
      </w:r>
    </w:p>
    <w:p>
      <w:pPr>
        <w:spacing w:after="60" w:before="0" w:line="480" w:lineRule="exact"/>
        <w:jc w:val="left"/>
      </w:pPr>
      <w:r>
        <w:rPr>
          <w:rFonts w:ascii="Times New Roman" w:hAnsi="Times New Roman"/>
          <w:b w:val="0"/>
          <w:i w:val="0"/>
          <w:sz w:val="24"/>
        </w:rPr>
        <w:t xml:space="preserve">18. Bauer M, Diemer M, Merkel M, et al. Glossary of perioperative process times and indicators. </w:t>
      </w:r>
      <w:r>
        <w:rPr>
          <w:rFonts w:ascii="Times New Roman" w:hAnsi="Times New Roman"/>
          <w:i/>
          <w:sz w:val="24"/>
        </w:rPr>
        <w:t>Anaesthesist</w:t>
      </w:r>
      <w:r>
        <w:rPr>
          <w:rFonts w:ascii="Times New Roman" w:hAnsi="Times New Roman"/>
          <w:b w:val="0"/>
          <w:i w:val="0"/>
          <w:sz w:val="24"/>
        </w:rPr>
        <w:t xml:space="preserve"> 2020;69(Suppl 1):S5-17.</w:t>
      </w:r>
    </w:p>
    <w:p>
      <w:pPr>
        <w:spacing w:after="60" w:before="0" w:line="480" w:lineRule="exact"/>
        <w:jc w:val="left"/>
      </w:pPr>
      <w:r>
        <w:rPr>
          <w:rFonts w:ascii="Times New Roman" w:hAnsi="Times New Roman"/>
          <w:b w:val="0"/>
          <w:i w:val="0"/>
          <w:sz w:val="24"/>
        </w:rPr>
        <w:t xml:space="preserve">19. Schouten AEM, Flipse SM, van Nieuwenhuizen KE, et al. Operating room performance optimization metrics: a systematic review. </w:t>
      </w:r>
      <w:r>
        <w:rPr>
          <w:rFonts w:ascii="Times New Roman" w:hAnsi="Times New Roman"/>
          <w:i/>
          <w:sz w:val="24"/>
        </w:rPr>
        <w:t>J Med Syst</w:t>
      </w:r>
      <w:r>
        <w:rPr>
          <w:rFonts w:ascii="Times New Roman" w:hAnsi="Times New Roman"/>
          <w:b w:val="0"/>
          <w:i w:val="0"/>
          <w:sz w:val="24"/>
        </w:rPr>
        <w:t xml:space="preserve"> 2023;47(1):19.</w:t>
      </w:r>
    </w:p>
    <w:p>
      <w:pPr>
        <w:spacing w:after="60" w:before="0" w:line="480" w:lineRule="exact"/>
        <w:jc w:val="left"/>
      </w:pPr>
      <w:r>
        <w:rPr>
          <w:rFonts w:ascii="Times New Roman" w:hAnsi="Times New Roman"/>
          <w:b w:val="0"/>
          <w:i w:val="0"/>
          <w:sz w:val="24"/>
        </w:rPr>
        <w:t xml:space="preserve">20. Strum DP, May JH, Vargas LG. Modeling the uncertainty of surgical procedure times: comparison of log-normal and normal models. </w:t>
      </w:r>
      <w:r>
        <w:rPr>
          <w:rFonts w:ascii="Times New Roman" w:hAnsi="Times New Roman"/>
          <w:i/>
          <w:sz w:val="24"/>
        </w:rPr>
        <w:t>Anesthesiology</w:t>
      </w:r>
      <w:r>
        <w:rPr>
          <w:rFonts w:ascii="Times New Roman" w:hAnsi="Times New Roman"/>
          <w:b w:val="0"/>
          <w:i w:val="0"/>
          <w:sz w:val="24"/>
        </w:rPr>
        <w:t xml:space="preserve"> 2000;92(4):1160-7.</w:t>
      </w:r>
    </w:p>
    <w:p>
      <w:pPr>
        <w:spacing w:after="60" w:before="0" w:line="480" w:lineRule="exact"/>
        <w:jc w:val="left"/>
      </w:pPr>
      <w:r>
        <w:rPr>
          <w:rFonts w:ascii="Times New Roman" w:hAnsi="Times New Roman"/>
          <w:b w:val="0"/>
          <w:i w:val="0"/>
          <w:sz w:val="24"/>
        </w:rPr>
        <w:t xml:space="preserve">21. Eijkemans MJ, van Houdenhoven M, Nguyen T, et al. Predicting the unpredictable: a new prediction model for operating room times using individual surgeon-specific historical data. </w:t>
      </w:r>
      <w:r>
        <w:rPr>
          <w:rFonts w:ascii="Times New Roman" w:hAnsi="Times New Roman"/>
          <w:i/>
          <w:sz w:val="24"/>
        </w:rPr>
        <w:t>Anesthesiology</w:t>
      </w:r>
      <w:r>
        <w:rPr>
          <w:rFonts w:ascii="Times New Roman" w:hAnsi="Times New Roman"/>
          <w:b w:val="0"/>
          <w:i w:val="0"/>
          <w:sz w:val="24"/>
        </w:rPr>
        <w:t xml:space="preserve"> 2010;112(1):41-9.</w:t>
      </w:r>
    </w:p>
    <w:p>
      <w:pPr>
        <w:spacing w:after="60" w:before="0" w:line="480" w:lineRule="exact"/>
        <w:jc w:val="left"/>
      </w:pPr>
      <w:r>
        <w:rPr>
          <w:rFonts w:ascii="Times New Roman" w:hAnsi="Times New Roman"/>
          <w:b w:val="0"/>
          <w:i w:val="0"/>
          <w:sz w:val="24"/>
        </w:rPr>
        <w:t xml:space="preserve">22. MacMillan L, et al. What affects operating room turnover time? A systematic review and mapping of the evidence. </w:t>
      </w:r>
      <w:r>
        <w:rPr>
          <w:rFonts w:ascii="Times New Roman" w:hAnsi="Times New Roman"/>
          <w:i/>
          <w:sz w:val="24"/>
        </w:rPr>
        <w:t>Surgery</w:t>
      </w:r>
      <w:r>
        <w:rPr>
          <w:rFonts w:ascii="Times New Roman" w:hAnsi="Times New Roman"/>
          <w:b w:val="0"/>
          <w:i w:val="0"/>
          <w:sz w:val="24"/>
        </w:rPr>
        <w:t xml:space="preserve"> 2025. PMID: 40054053.</w:t>
      </w:r>
    </w:p>
    <w:p>
      <w:pPr>
        <w:spacing w:after="60" w:before="0" w:line="480" w:lineRule="exact"/>
        <w:jc w:val="left"/>
      </w:pPr>
      <w:r>
        <w:rPr>
          <w:rFonts w:ascii="Times New Roman" w:hAnsi="Times New Roman"/>
          <w:b w:val="0"/>
          <w:i w:val="0"/>
          <w:sz w:val="24"/>
        </w:rPr>
        <w:t xml:space="preserve">23. Pandit JJ, Abbott T, Pandit M, et al. Is "starting on time" useful (or useless) as a surrogate measure for "surgical theatre efficiency"? </w:t>
      </w:r>
      <w:r>
        <w:rPr>
          <w:rFonts w:ascii="Times New Roman" w:hAnsi="Times New Roman"/>
          <w:i/>
          <w:sz w:val="24"/>
        </w:rPr>
        <w:t>Anaesthesia</w:t>
      </w:r>
      <w:r>
        <w:rPr>
          <w:rFonts w:ascii="Times New Roman" w:hAnsi="Times New Roman"/>
          <w:b w:val="0"/>
          <w:i w:val="0"/>
          <w:sz w:val="24"/>
        </w:rPr>
        <w:t xml:space="preserve"> 2012;67(8):823-32.</w:t>
      </w:r>
    </w:p>
    <w:p>
      <w:pPr>
        <w:spacing w:after="60" w:before="0" w:line="480" w:lineRule="exact"/>
        <w:jc w:val="left"/>
      </w:pPr>
      <w:r>
        <w:rPr>
          <w:rFonts w:ascii="Times New Roman" w:hAnsi="Times New Roman"/>
          <w:b w:val="0"/>
          <w:i w:val="0"/>
          <w:sz w:val="24"/>
        </w:rPr>
        <w:t xml:space="preserve">24. Zhang C, Pandit JJ. Getting operating theatre metrics right to underpin quality improvement. </w:t>
      </w:r>
      <w:r>
        <w:rPr>
          <w:rFonts w:ascii="Times New Roman" w:hAnsi="Times New Roman"/>
          <w:i/>
          <w:sz w:val="24"/>
        </w:rPr>
        <w:t>Br J Anaesth</w:t>
      </w:r>
      <w:r>
        <w:rPr>
          <w:rFonts w:ascii="Times New Roman" w:hAnsi="Times New Roman"/>
          <w:b w:val="0"/>
          <w:i w:val="0"/>
          <w:sz w:val="24"/>
        </w:rPr>
        <w:t xml:space="preserve"> 2023;131(1):130-4.</w:t>
      </w:r>
    </w:p>
    <w:p>
      <w:pPr>
        <w:spacing w:after="60" w:before="0" w:line="480" w:lineRule="exact"/>
        <w:jc w:val="left"/>
      </w:pPr>
      <w:r>
        <w:rPr>
          <w:rFonts w:ascii="Times New Roman" w:hAnsi="Times New Roman"/>
          <w:b w:val="0"/>
          <w:i w:val="0"/>
          <w:sz w:val="24"/>
        </w:rPr>
        <w:t xml:space="preserve">25. Dexter F, Epstein RH. Typical savings from each minute reduction in tardy first case of the day starts. </w:t>
      </w:r>
      <w:r>
        <w:rPr>
          <w:rFonts w:ascii="Times New Roman" w:hAnsi="Times New Roman"/>
          <w:i/>
          <w:sz w:val="24"/>
        </w:rPr>
        <w:t>Anesth Analg</w:t>
      </w:r>
      <w:r>
        <w:rPr>
          <w:rFonts w:ascii="Times New Roman" w:hAnsi="Times New Roman"/>
          <w:b w:val="0"/>
          <w:i w:val="0"/>
          <w:sz w:val="24"/>
        </w:rPr>
        <w:t xml:space="preserve"> 2009;108(4):1262-7.</w:t>
      </w:r>
    </w:p>
    <w:p>
      <w:pPr>
        <w:spacing w:after="60" w:before="0" w:line="480" w:lineRule="exact"/>
        <w:jc w:val="left"/>
      </w:pPr>
      <w:r>
        <w:rPr>
          <w:rFonts w:ascii="Times New Roman" w:hAnsi="Times New Roman"/>
          <w:b w:val="0"/>
          <w:i w:val="0"/>
          <w:sz w:val="24"/>
        </w:rPr>
        <w:t xml:space="preserve">26. Wachtel RE, Dexter F. Influence of the operating room schedule on tardiness from scheduled start times. </w:t>
      </w:r>
      <w:r>
        <w:rPr>
          <w:rFonts w:ascii="Times New Roman" w:hAnsi="Times New Roman"/>
          <w:i/>
          <w:sz w:val="24"/>
        </w:rPr>
        <w:t>Anesth Analg</w:t>
      </w:r>
      <w:r>
        <w:rPr>
          <w:rFonts w:ascii="Times New Roman" w:hAnsi="Times New Roman"/>
          <w:b w:val="0"/>
          <w:i w:val="0"/>
          <w:sz w:val="24"/>
        </w:rPr>
        <w:t xml:space="preserve"> 2009;108(6):1889-1901.</w:t>
      </w:r>
    </w:p>
    <w:p>
      <w:pPr>
        <w:spacing w:after="60" w:before="0" w:line="480" w:lineRule="exact"/>
        <w:jc w:val="left"/>
      </w:pPr>
      <w:r>
        <w:rPr>
          <w:rFonts w:ascii="Times New Roman" w:hAnsi="Times New Roman"/>
          <w:b w:val="0"/>
          <w:i w:val="0"/>
          <w:sz w:val="24"/>
        </w:rPr>
        <w:t xml:space="preserve">27. Fugener A, Schiffels S, Kolisch R. Overutilization and underutilization of operating rooms: insights from behavioral health care operations management. </w:t>
      </w:r>
      <w:r>
        <w:rPr>
          <w:rFonts w:ascii="Times New Roman" w:hAnsi="Times New Roman"/>
          <w:i/>
          <w:sz w:val="24"/>
        </w:rPr>
        <w:t>Health Care Manag Sci</w:t>
      </w:r>
      <w:r>
        <w:rPr>
          <w:rFonts w:ascii="Times New Roman" w:hAnsi="Times New Roman"/>
          <w:b w:val="0"/>
          <w:i w:val="0"/>
          <w:sz w:val="24"/>
        </w:rPr>
        <w:t xml:space="preserve"> 2017;20(1):115-28.</w:t>
      </w:r>
    </w:p>
    <w:p>
      <w:pPr>
        <w:spacing w:after="60" w:before="0" w:line="480" w:lineRule="exact"/>
        <w:jc w:val="left"/>
      </w:pPr>
      <w:r>
        <w:rPr>
          <w:rFonts w:ascii="Times New Roman" w:hAnsi="Times New Roman"/>
          <w:b w:val="0"/>
          <w:i w:val="0"/>
          <w:sz w:val="24"/>
        </w:rPr>
        <w:t xml:space="preserve">28. Meewisse AJG, Gribnau A, Thiessen SE, et al. Effect of time of day on outcomes in elective surgery: a systematic review. </w:t>
      </w:r>
      <w:r>
        <w:rPr>
          <w:rFonts w:ascii="Times New Roman" w:hAnsi="Times New Roman"/>
          <w:i/>
          <w:sz w:val="24"/>
        </w:rPr>
        <w:t>Anaesthesia</w:t>
      </w:r>
      <w:r>
        <w:rPr>
          <w:rFonts w:ascii="Times New Roman" w:hAnsi="Times New Roman"/>
          <w:b w:val="0"/>
          <w:i w:val="0"/>
          <w:sz w:val="24"/>
        </w:rPr>
        <w:t xml:space="preserve"> 2024;79(12):1325-34. DOI: 10.1111/anae.16395.</w:t>
      </w:r>
    </w:p>
    <w:p>
      <w:pPr>
        <w:spacing w:after="60" w:before="0" w:line="480" w:lineRule="exact"/>
        <w:jc w:val="left"/>
      </w:pPr>
      <w:r>
        <w:rPr>
          <w:rFonts w:ascii="Times New Roman" w:hAnsi="Times New Roman"/>
          <w:b w:val="0"/>
          <w:i w:val="0"/>
          <w:sz w:val="24"/>
        </w:rPr>
        <w:t xml:space="preserve">29. Charlesworth M, Pandit JJ. Rational performance metrics for operating theatres, principles of efficiency, and how to achieve it. </w:t>
      </w:r>
      <w:r>
        <w:rPr>
          <w:rFonts w:ascii="Times New Roman" w:hAnsi="Times New Roman"/>
          <w:i/>
          <w:sz w:val="24"/>
        </w:rPr>
        <w:t>Br J Surg</w:t>
      </w:r>
      <w:r>
        <w:rPr>
          <w:rFonts w:ascii="Times New Roman" w:hAnsi="Times New Roman"/>
          <w:b w:val="0"/>
          <w:i w:val="0"/>
          <w:sz w:val="24"/>
        </w:rPr>
        <w:t xml:space="preserve"> 2020;107(2):e63-9. PMID: 31903597.</w:t>
      </w:r>
    </w:p>
    <w:p>
      <w:pPr>
        <w:spacing w:after="60" w:before="0" w:line="480" w:lineRule="exact"/>
        <w:jc w:val="left"/>
      </w:pPr>
      <w:r>
        <w:rPr>
          <w:rFonts w:ascii="Times New Roman" w:hAnsi="Times New Roman"/>
          <w:b w:val="0"/>
          <w:i w:val="0"/>
          <w:sz w:val="24"/>
        </w:rPr>
        <w:t xml:space="preserve">30. Parmar D, Woodman M, Pandit JJ. A graphical assessment of emergency surgical list efficiency to determine operating theatre capacity needs. </w:t>
      </w:r>
      <w:r>
        <w:rPr>
          <w:rFonts w:ascii="Times New Roman" w:hAnsi="Times New Roman"/>
          <w:i/>
          <w:sz w:val="24"/>
        </w:rPr>
        <w:t>Br J Anaesth</w:t>
      </w:r>
      <w:r>
        <w:rPr>
          <w:rFonts w:ascii="Times New Roman" w:hAnsi="Times New Roman"/>
          <w:b w:val="0"/>
          <w:i w:val="0"/>
          <w:sz w:val="24"/>
        </w:rPr>
        <w:t xml:space="preserve"> 2022;128(3):574-83. PMID: 34865827.</w:t>
      </w:r>
    </w:p>
    <w:p>
      <w:pPr>
        <w:spacing w:before="320" w:after="120" w:line="480" w:lineRule="exact"/>
        <w:jc w:val="left"/>
      </w:pPr>
      <w:r>
        <w:rPr>
          <w:rFonts w:ascii="Times New Roman" w:hAnsi="Times New Roman"/>
          <w:b/>
          <w:sz w:val="24"/>
        </w:rPr>
        <w:t>FIGURE LEGENDS</w:t>
      </w:r>
    </w:p>
    <w:p>
      <w:pPr>
        <w:spacing w:after="120" w:before="0" w:line="480" w:lineRule="exact"/>
        <w:jc w:val="left"/>
      </w:pPr>
      <w:r>
        <w:rPr>
          <w:rFonts w:ascii="Times New Roman" w:hAnsi="Times New Roman"/>
          <w:b/>
          <w:sz w:val="24"/>
        </w:rPr>
        <w:t>Figure 1.</w:t>
      </w:r>
      <w:r>
        <w:rPr>
          <w:rFonts w:ascii="Times New Roman" w:hAnsi="Times New Roman"/>
          <w:b w:val="0"/>
          <w:i w:val="0"/>
          <w:sz w:val="24"/>
        </w:rPr>
        <w:t xml:space="preserve"> Room-level overtime concentration. Panel A: percentage of cases with overtime per operating room, ranked from lowest to highest. Panel B: mean overtime duration per room (minutes), with the hospital average marked for reference. Overall: 7,729 of 79,352 cases (9.7%), mean 60.3 min, median 39 min, P95 197 min.</w:t>
      </w:r>
    </w:p>
    <w:p>
      <w:pPr>
        <w:spacing w:before="320" w:after="120" w:line="480" w:lineRule="exact"/>
        <w:jc w:val="left"/>
      </w:pPr>
      <w:r>
        <w:rPr>
          <w:rFonts w:ascii="Times New Roman" w:hAnsi="Times New Roman"/>
          <w:b/>
          <w:sz w:val="24"/>
        </w:rPr>
        <w:t>SUPPLEMENTARY TABLES</w:t>
      </w:r>
    </w:p>
    <w:p>
      <w:pPr>
        <w:spacing w:after="120" w:before="0" w:line="480" w:lineRule="exact"/>
        <w:jc w:val="left"/>
      </w:pPr>
      <w:r>
        <w:rPr>
          <w:rFonts w:ascii="Times New Roman" w:hAnsi="Times New Roman"/>
          <w:b/>
          <w:sz w:val="24"/>
        </w:rPr>
        <w:t>Supplementary Table S1. Summary of cited literature.</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pPr>
              <w:spacing w:line="260" w:lineRule="exact" w:after="0"/>
            </w:pPr>
            <w:r/>
            <w:r>
              <w:rPr>
                <w:rFonts w:ascii="Times New Roman" w:hAnsi="Times New Roman"/>
                <w:b/>
                <w:i w:val="0"/>
                <w:sz w:val="22"/>
              </w:rPr>
              <w:t>Ref</w:t>
            </w:r>
          </w:p>
        </w:tc>
        <w:tc>
          <w:tcPr>
            <w:tcW w:type="dxa" w:w="1568"/>
          </w:tcPr>
          <w:p>
            <w:pPr>
              <w:spacing w:line="260" w:lineRule="exact" w:after="0"/>
            </w:pPr>
            <w:r/>
            <w:r>
              <w:rPr>
                <w:rFonts w:ascii="Times New Roman" w:hAnsi="Times New Roman"/>
                <w:b/>
                <w:i w:val="0"/>
                <w:sz w:val="22"/>
              </w:rPr>
              <w:t>First author (year)</w:t>
            </w:r>
          </w:p>
        </w:tc>
        <w:tc>
          <w:tcPr>
            <w:tcW w:type="dxa" w:w="1568"/>
          </w:tcPr>
          <w:p>
            <w:pPr>
              <w:spacing w:line="260" w:lineRule="exact" w:after="0"/>
            </w:pPr>
            <w:r/>
            <w:r>
              <w:rPr>
                <w:rFonts w:ascii="Times New Roman" w:hAnsi="Times New Roman"/>
                <w:b/>
                <w:i w:val="0"/>
                <w:sz w:val="22"/>
              </w:rPr>
              <w:t>Design</w:t>
            </w:r>
          </w:p>
        </w:tc>
        <w:tc>
          <w:tcPr>
            <w:tcW w:type="dxa" w:w="1568"/>
          </w:tcPr>
          <w:p>
            <w:pPr>
              <w:spacing w:line="260" w:lineRule="exact" w:after="0"/>
            </w:pPr>
            <w:r/>
            <w:r>
              <w:rPr>
                <w:rFonts w:ascii="Times New Roman" w:hAnsi="Times New Roman"/>
                <w:b/>
                <w:i w:val="0"/>
                <w:sz w:val="22"/>
              </w:rPr>
              <w:t>Sample / scope</w:t>
            </w:r>
          </w:p>
        </w:tc>
        <w:tc>
          <w:tcPr>
            <w:tcW w:type="dxa" w:w="1568"/>
          </w:tcPr>
          <w:p>
            <w:pPr>
              <w:spacing w:line="260" w:lineRule="exact" w:after="0"/>
            </w:pPr>
            <w:r/>
            <w:r>
              <w:rPr>
                <w:rFonts w:ascii="Times New Roman" w:hAnsi="Times New Roman"/>
                <w:b/>
                <w:i w:val="0"/>
                <w:sz w:val="22"/>
              </w:rPr>
              <w:t>Key finding</w:t>
            </w:r>
          </w:p>
        </w:tc>
        <w:tc>
          <w:tcPr>
            <w:tcW w:type="dxa" w:w="1568"/>
          </w:tcPr>
          <w:p>
            <w:pPr>
              <w:spacing w:line="260" w:lineRule="exact" w:after="0"/>
            </w:pPr>
            <w:r/>
            <w:r>
              <w:rPr>
                <w:rFonts w:ascii="Times New Roman" w:hAnsi="Times New Roman"/>
                <w:b/>
                <w:i w:val="0"/>
                <w:sz w:val="22"/>
              </w:rPr>
              <w:t>Role in this paper</w:t>
            </w:r>
          </w:p>
        </w:tc>
      </w:tr>
      <w:tr>
        <w:tc>
          <w:tcPr>
            <w:tcW w:type="dxa" w:w="1568"/>
          </w:tcPr>
          <w:p>
            <w:pPr>
              <w:spacing w:line="260" w:lineRule="exact" w:after="0"/>
            </w:pPr>
            <w:r/>
            <w:r>
              <w:rPr>
                <w:rFonts w:ascii="Times New Roman" w:hAnsi="Times New Roman"/>
                <w:b w:val="0"/>
                <w:i w:val="0"/>
                <w:sz w:val="22"/>
              </w:rPr>
              <w:t>1</w:t>
            </w:r>
          </w:p>
        </w:tc>
        <w:tc>
          <w:tcPr>
            <w:tcW w:type="dxa" w:w="1568"/>
          </w:tcPr>
          <w:p>
            <w:pPr>
              <w:spacing w:line="260" w:lineRule="exact" w:after="0"/>
            </w:pPr>
            <w:r/>
            <w:r>
              <w:rPr>
                <w:rFonts w:ascii="Times New Roman" w:hAnsi="Times New Roman"/>
                <w:b w:val="0"/>
                <w:i w:val="0"/>
                <w:sz w:val="22"/>
              </w:rPr>
              <w:t>Wachtel (2010)</w:t>
            </w:r>
          </w:p>
        </w:tc>
        <w:tc>
          <w:tcPr>
            <w:tcW w:type="dxa" w:w="1568"/>
          </w:tcPr>
          <w:p>
            <w:pPr>
              <w:spacing w:line="260" w:lineRule="exact" w:after="0"/>
            </w:pPr>
            <w:r/>
            <w:r>
              <w:rPr>
                <w:rFonts w:ascii="Times New Roman" w:hAnsi="Times New Roman"/>
                <w:b w:val="0"/>
                <w:i w:val="0"/>
                <w:sz w:val="22"/>
              </w:rPr>
              <w:t>Literature review</w:t>
            </w:r>
          </w:p>
        </w:tc>
        <w:tc>
          <w:tcPr>
            <w:tcW w:type="dxa" w:w="1568"/>
          </w:tcPr>
          <w:p>
            <w:pPr>
              <w:spacing w:line="260" w:lineRule="exact" w:after="0"/>
            </w:pPr>
            <w:r/>
            <w:r>
              <w:rPr>
                <w:rFonts w:ascii="Times New Roman" w:hAnsi="Times New Roman"/>
                <w:b w:val="0"/>
                <w:i w:val="0"/>
                <w:sz w:val="22"/>
              </w:rPr>
              <w:t>Newsvendor experiments for OR management</w:t>
            </w:r>
          </w:p>
        </w:tc>
        <w:tc>
          <w:tcPr>
            <w:tcW w:type="dxa" w:w="1568"/>
          </w:tcPr>
          <w:p>
            <w:pPr>
              <w:spacing w:line="260" w:lineRule="exact" w:after="0"/>
            </w:pPr>
            <w:r/>
            <w:r>
              <w:rPr>
                <w:rFonts w:ascii="Times New Roman" w:hAnsi="Times New Roman"/>
                <w:b w:val="0"/>
                <w:i w:val="0"/>
                <w:sz w:val="22"/>
              </w:rPr>
              <w:t>Overutilized time costs approximately twice as much as underutilized time</w:t>
            </w:r>
          </w:p>
        </w:tc>
        <w:tc>
          <w:tcPr>
            <w:tcW w:type="dxa" w:w="1568"/>
          </w:tcPr>
          <w:p>
            <w:pPr>
              <w:spacing w:line="260" w:lineRule="exact" w:after="0"/>
            </w:pPr>
            <w:r/>
            <w:r>
              <w:rPr>
                <w:rFonts w:ascii="Times New Roman" w:hAnsi="Times New Roman"/>
                <w:b w:val="0"/>
                <w:i w:val="0"/>
                <w:sz w:val="22"/>
              </w:rPr>
              <w:t>Establishes cost asymmetry of overtime</w:t>
            </w:r>
          </w:p>
        </w:tc>
      </w:tr>
      <w:tr>
        <w:tc>
          <w:tcPr>
            <w:tcW w:type="dxa" w:w="1568"/>
          </w:tcPr>
          <w:p>
            <w:pPr>
              <w:spacing w:line="260" w:lineRule="exact" w:after="0"/>
            </w:pPr>
            <w:r/>
            <w:r>
              <w:rPr>
                <w:rFonts w:ascii="Times New Roman" w:hAnsi="Times New Roman"/>
                <w:b w:val="0"/>
                <w:i w:val="0"/>
                <w:sz w:val="22"/>
              </w:rPr>
              <w:t>2</w:t>
            </w:r>
          </w:p>
        </w:tc>
        <w:tc>
          <w:tcPr>
            <w:tcW w:type="dxa" w:w="1568"/>
          </w:tcPr>
          <w:p>
            <w:pPr>
              <w:spacing w:line="260" w:lineRule="exact" w:after="0"/>
            </w:pPr>
            <w:r/>
            <w:r>
              <w:rPr>
                <w:rFonts w:ascii="Times New Roman" w:hAnsi="Times New Roman"/>
                <w:b w:val="0"/>
                <w:i w:val="0"/>
                <w:sz w:val="22"/>
              </w:rPr>
              <w:t>Griffiths (2014)</w:t>
            </w:r>
          </w:p>
        </w:tc>
        <w:tc>
          <w:tcPr>
            <w:tcW w:type="dxa" w:w="1568"/>
          </w:tcPr>
          <w:p>
            <w:pPr>
              <w:spacing w:line="260" w:lineRule="exact" w:after="0"/>
            </w:pPr>
            <w:r/>
            <w:r>
              <w:rPr>
                <w:rFonts w:ascii="Times New Roman" w:hAnsi="Times New Roman"/>
                <w:b w:val="0"/>
                <w:i w:val="0"/>
                <w:sz w:val="22"/>
              </w:rPr>
              <w:t>Cross-sectional survey</w:t>
            </w:r>
          </w:p>
        </w:tc>
        <w:tc>
          <w:tcPr>
            <w:tcW w:type="dxa" w:w="1568"/>
          </w:tcPr>
          <w:p>
            <w:pPr>
              <w:spacing w:line="260" w:lineRule="exact" w:after="0"/>
            </w:pPr>
            <w:r/>
            <w:r>
              <w:rPr>
                <w:rFonts w:ascii="Times New Roman" w:hAnsi="Times New Roman"/>
                <w:b w:val="0"/>
                <w:i w:val="0"/>
                <w:sz w:val="22"/>
              </w:rPr>
              <w:t>33,659 nurses, 12 European countries</w:t>
            </w:r>
          </w:p>
        </w:tc>
        <w:tc>
          <w:tcPr>
            <w:tcW w:type="dxa" w:w="1568"/>
          </w:tcPr>
          <w:p>
            <w:pPr>
              <w:spacing w:line="260" w:lineRule="exact" w:after="0"/>
            </w:pPr>
            <w:r/>
            <w:r>
              <w:rPr>
                <w:rFonts w:ascii="Times New Roman" w:hAnsi="Times New Roman"/>
                <w:b w:val="0"/>
                <w:i w:val="0"/>
                <w:sz w:val="22"/>
              </w:rPr>
              <w:t>Overtime and long shifts associated with poorer perceived quality of care and higher patient safety risk</w:t>
            </w:r>
          </w:p>
        </w:tc>
        <w:tc>
          <w:tcPr>
            <w:tcW w:type="dxa" w:w="1568"/>
          </w:tcPr>
          <w:p>
            <w:pPr>
              <w:spacing w:line="260" w:lineRule="exact" w:after="0"/>
            </w:pPr>
            <w:r/>
            <w:r>
              <w:rPr>
                <w:rFonts w:ascii="Times New Roman" w:hAnsi="Times New Roman"/>
                <w:b w:val="0"/>
                <w:i w:val="0"/>
                <w:sz w:val="22"/>
              </w:rPr>
              <w:t>Staff-harm evidence</w:t>
            </w:r>
          </w:p>
        </w:tc>
      </w:tr>
      <w:tr>
        <w:tc>
          <w:tcPr>
            <w:tcW w:type="dxa" w:w="1568"/>
          </w:tcPr>
          <w:p>
            <w:pPr>
              <w:spacing w:line="260" w:lineRule="exact" w:after="0"/>
            </w:pPr>
            <w:r/>
            <w:r>
              <w:rPr>
                <w:rFonts w:ascii="Times New Roman" w:hAnsi="Times New Roman"/>
                <w:b w:val="0"/>
                <w:i w:val="0"/>
                <w:sz w:val="22"/>
              </w:rPr>
              <w:t>3</w:t>
            </w:r>
          </w:p>
        </w:tc>
        <w:tc>
          <w:tcPr>
            <w:tcW w:type="dxa" w:w="1568"/>
          </w:tcPr>
          <w:p>
            <w:pPr>
              <w:spacing w:line="260" w:lineRule="exact" w:after="0"/>
            </w:pPr>
            <w:r/>
            <w:r>
              <w:rPr>
                <w:rFonts w:ascii="Times New Roman" w:hAnsi="Times New Roman"/>
                <w:b w:val="0"/>
                <w:i w:val="0"/>
                <w:sz w:val="22"/>
              </w:rPr>
              <w:t>Dall'Ora (2015)</w:t>
            </w:r>
          </w:p>
        </w:tc>
        <w:tc>
          <w:tcPr>
            <w:tcW w:type="dxa" w:w="1568"/>
          </w:tcPr>
          <w:p>
            <w:pPr>
              <w:spacing w:line="260" w:lineRule="exact" w:after="0"/>
            </w:pPr>
            <w:r/>
            <w:r>
              <w:rPr>
                <w:rFonts w:ascii="Times New Roman" w:hAnsi="Times New Roman"/>
                <w:b w:val="0"/>
                <w:i w:val="0"/>
                <w:sz w:val="22"/>
              </w:rPr>
              <w:t>Cross-sectional survey</w:t>
            </w:r>
          </w:p>
        </w:tc>
        <w:tc>
          <w:tcPr>
            <w:tcW w:type="dxa" w:w="1568"/>
          </w:tcPr>
          <w:p>
            <w:pPr>
              <w:spacing w:line="260" w:lineRule="exact" w:after="0"/>
            </w:pPr>
            <w:r/>
            <w:r>
              <w:rPr>
                <w:rFonts w:ascii="Times New Roman" w:hAnsi="Times New Roman"/>
                <w:b w:val="0"/>
                <w:i w:val="0"/>
                <w:sz w:val="22"/>
              </w:rPr>
              <w:t>Same RN4CAST dataset as ref 2</w:t>
            </w:r>
          </w:p>
        </w:tc>
        <w:tc>
          <w:tcPr>
            <w:tcW w:type="dxa" w:w="1568"/>
          </w:tcPr>
          <w:p>
            <w:pPr>
              <w:spacing w:line="260" w:lineRule="exact" w:after="0"/>
            </w:pPr>
            <w:r/>
            <w:r>
              <w:rPr>
                <w:rFonts w:ascii="Times New Roman" w:hAnsi="Times New Roman"/>
                <w:b w:val="0"/>
                <w:i w:val="0"/>
                <w:sz w:val="22"/>
              </w:rPr>
              <w:t>12-hour shifts associated with burnout (OR 1.26) and intent to leave (OR 1.13)</w:t>
            </w:r>
          </w:p>
        </w:tc>
        <w:tc>
          <w:tcPr>
            <w:tcW w:type="dxa" w:w="1568"/>
          </w:tcPr>
          <w:p>
            <w:pPr>
              <w:spacing w:line="260" w:lineRule="exact" w:after="0"/>
            </w:pPr>
            <w:r/>
            <w:r>
              <w:rPr>
                <w:rFonts w:ascii="Times New Roman" w:hAnsi="Times New Roman"/>
                <w:b w:val="0"/>
                <w:i w:val="0"/>
                <w:sz w:val="22"/>
              </w:rPr>
              <w:t>Staff-harm evidence</w:t>
            </w:r>
          </w:p>
        </w:tc>
      </w:tr>
      <w:tr>
        <w:tc>
          <w:tcPr>
            <w:tcW w:type="dxa" w:w="1568"/>
          </w:tcPr>
          <w:p>
            <w:pPr>
              <w:spacing w:line="260" w:lineRule="exact" w:after="0"/>
            </w:pPr>
            <w:r/>
            <w:r>
              <w:rPr>
                <w:rFonts w:ascii="Times New Roman" w:hAnsi="Times New Roman"/>
                <w:b w:val="0"/>
                <w:i w:val="0"/>
                <w:sz w:val="22"/>
              </w:rPr>
              <w:t>4</w:t>
            </w:r>
          </w:p>
        </w:tc>
        <w:tc>
          <w:tcPr>
            <w:tcW w:type="dxa" w:w="1568"/>
          </w:tcPr>
          <w:p>
            <w:pPr>
              <w:spacing w:line="260" w:lineRule="exact" w:after="0"/>
            </w:pPr>
            <w:r/>
            <w:r>
              <w:rPr>
                <w:rFonts w:ascii="Times New Roman" w:hAnsi="Times New Roman"/>
                <w:b w:val="0"/>
                <w:i w:val="0"/>
                <w:sz w:val="22"/>
              </w:rPr>
              <w:t>Bae (2024)</w:t>
            </w:r>
          </w:p>
        </w:tc>
        <w:tc>
          <w:tcPr>
            <w:tcW w:type="dxa" w:w="1568"/>
          </w:tcPr>
          <w:p>
            <w:pPr>
              <w:spacing w:line="260" w:lineRule="exact" w:after="0"/>
            </w:pPr>
            <w:r/>
            <w:r>
              <w:rPr>
                <w:rFonts w:ascii="Times New Roman" w:hAnsi="Times New Roman"/>
                <w:b w:val="0"/>
                <w:i w:val="0"/>
                <w:sz w:val="22"/>
              </w:rPr>
              <w:t>Cross-sectional survey</w:t>
            </w:r>
          </w:p>
        </w:tc>
        <w:tc>
          <w:tcPr>
            <w:tcW w:type="dxa" w:w="1568"/>
          </w:tcPr>
          <w:p>
            <w:pPr>
              <w:spacing w:line="260" w:lineRule="exact" w:after="0"/>
            </w:pPr>
            <w:r/>
            <w:r>
              <w:rPr>
                <w:rFonts w:ascii="Times New Roman" w:hAnsi="Times New Roman"/>
                <w:b w:val="0"/>
                <w:i w:val="0"/>
                <w:sz w:val="22"/>
              </w:rPr>
              <w:t>264 nurses, South Korean acute care hospitals</w:t>
            </w:r>
          </w:p>
        </w:tc>
        <w:tc>
          <w:tcPr>
            <w:tcW w:type="dxa" w:w="1568"/>
          </w:tcPr>
          <w:p>
            <w:pPr>
              <w:spacing w:line="260" w:lineRule="exact" w:after="0"/>
            </w:pPr>
            <w:r/>
            <w:r>
              <w:rPr>
                <w:rFonts w:ascii="Times New Roman" w:hAnsi="Times New Roman"/>
                <w:b w:val="0"/>
                <w:i w:val="0"/>
                <w:sz w:val="22"/>
              </w:rPr>
              <w:t>Mandatory overtime associated with intent to leave</w:t>
            </w:r>
          </w:p>
        </w:tc>
        <w:tc>
          <w:tcPr>
            <w:tcW w:type="dxa" w:w="1568"/>
          </w:tcPr>
          <w:p>
            <w:pPr>
              <w:spacing w:line="260" w:lineRule="exact" w:after="0"/>
            </w:pPr>
            <w:r/>
            <w:r>
              <w:rPr>
                <w:rFonts w:ascii="Times New Roman" w:hAnsi="Times New Roman"/>
                <w:b w:val="0"/>
                <w:i w:val="0"/>
                <w:sz w:val="22"/>
              </w:rPr>
              <w:t>Staff-harm evidence</w:t>
            </w:r>
          </w:p>
        </w:tc>
      </w:tr>
      <w:tr>
        <w:tc>
          <w:tcPr>
            <w:tcW w:type="dxa" w:w="1568"/>
          </w:tcPr>
          <w:p>
            <w:pPr>
              <w:spacing w:line="260" w:lineRule="exact" w:after="0"/>
            </w:pPr>
            <w:r/>
            <w:r>
              <w:rPr>
                <w:rFonts w:ascii="Times New Roman" w:hAnsi="Times New Roman"/>
                <w:b w:val="0"/>
                <w:i w:val="0"/>
                <w:sz w:val="22"/>
              </w:rPr>
              <w:t>5</w:t>
            </w:r>
          </w:p>
        </w:tc>
        <w:tc>
          <w:tcPr>
            <w:tcW w:type="dxa" w:w="1568"/>
          </w:tcPr>
          <w:p>
            <w:pPr>
              <w:spacing w:line="260" w:lineRule="exact" w:after="0"/>
            </w:pPr>
            <w:r/>
            <w:r>
              <w:rPr>
                <w:rFonts w:ascii="Times New Roman" w:hAnsi="Times New Roman"/>
                <w:b w:val="0"/>
                <w:i w:val="0"/>
                <w:sz w:val="22"/>
              </w:rPr>
              <w:t>Dall'Ora (2016)</w:t>
            </w:r>
          </w:p>
        </w:tc>
        <w:tc>
          <w:tcPr>
            <w:tcW w:type="dxa" w:w="1568"/>
          </w:tcPr>
          <w:p>
            <w:pPr>
              <w:spacing w:line="260" w:lineRule="exact" w:after="0"/>
            </w:pPr>
            <w:r/>
            <w:r>
              <w:rPr>
                <w:rFonts w:ascii="Times New Roman" w:hAnsi="Times New Roman"/>
                <w:b w:val="0"/>
                <w:i w:val="0"/>
                <w:sz w:val="22"/>
              </w:rPr>
              <w:t>Literature review</w:t>
            </w:r>
          </w:p>
        </w:tc>
        <w:tc>
          <w:tcPr>
            <w:tcW w:type="dxa" w:w="1568"/>
          </w:tcPr>
          <w:p>
            <w:pPr>
              <w:spacing w:line="260" w:lineRule="exact" w:after="0"/>
            </w:pPr>
            <w:r/>
            <w:r>
              <w:rPr>
                <w:rFonts w:ascii="Times New Roman" w:hAnsi="Times New Roman"/>
                <w:b w:val="0"/>
                <w:i w:val="0"/>
                <w:sz w:val="22"/>
              </w:rPr>
              <w:t>13 studies on shift characteristics</w:t>
            </w:r>
          </w:p>
        </w:tc>
        <w:tc>
          <w:tcPr>
            <w:tcW w:type="dxa" w:w="1568"/>
          </w:tcPr>
          <w:p>
            <w:pPr>
              <w:spacing w:line="260" w:lineRule="exact" w:after="0"/>
            </w:pPr>
            <w:r/>
            <w:r>
              <w:rPr>
                <w:rFonts w:ascii="Times New Roman" w:hAnsi="Times New Roman"/>
                <w:b w:val="0"/>
                <w:i w:val="0"/>
                <w:sz w:val="22"/>
              </w:rPr>
              <w:t>Both long shifts and overtime associated with worse performance and well-being</w:t>
            </w:r>
          </w:p>
        </w:tc>
        <w:tc>
          <w:tcPr>
            <w:tcW w:type="dxa" w:w="1568"/>
          </w:tcPr>
          <w:p>
            <w:pPr>
              <w:spacing w:line="260" w:lineRule="exact" w:after="0"/>
            </w:pPr>
            <w:r/>
            <w:r>
              <w:rPr>
                <w:rFonts w:ascii="Times New Roman" w:hAnsi="Times New Roman"/>
                <w:b w:val="0"/>
                <w:i w:val="0"/>
                <w:sz w:val="22"/>
              </w:rPr>
              <w:t>Staff-harm evidence</w:t>
            </w:r>
          </w:p>
        </w:tc>
      </w:tr>
      <w:tr>
        <w:tc>
          <w:tcPr>
            <w:tcW w:type="dxa" w:w="1568"/>
          </w:tcPr>
          <w:p>
            <w:pPr>
              <w:spacing w:line="260" w:lineRule="exact" w:after="0"/>
            </w:pPr>
            <w:r/>
            <w:r>
              <w:rPr>
                <w:rFonts w:ascii="Times New Roman" w:hAnsi="Times New Roman"/>
                <w:b w:val="0"/>
                <w:i w:val="0"/>
                <w:sz w:val="22"/>
              </w:rPr>
              <w:t>6</w:t>
            </w:r>
          </w:p>
        </w:tc>
        <w:tc>
          <w:tcPr>
            <w:tcW w:type="dxa" w:w="1568"/>
          </w:tcPr>
          <w:p>
            <w:pPr>
              <w:spacing w:line="260" w:lineRule="exact" w:after="0"/>
            </w:pPr>
            <w:r/>
            <w:r>
              <w:rPr>
                <w:rFonts w:ascii="Times New Roman" w:hAnsi="Times New Roman"/>
                <w:b w:val="0"/>
                <w:i w:val="0"/>
                <w:sz w:val="22"/>
              </w:rPr>
              <w:t>Dall'Ora (2020)</w:t>
            </w:r>
          </w:p>
        </w:tc>
        <w:tc>
          <w:tcPr>
            <w:tcW w:type="dxa" w:w="1568"/>
          </w:tcPr>
          <w:p>
            <w:pPr>
              <w:spacing w:line="260" w:lineRule="exact" w:after="0"/>
            </w:pPr>
            <w:r/>
            <w:r>
              <w:rPr>
                <w:rFonts w:ascii="Times New Roman" w:hAnsi="Times New Roman"/>
                <w:b w:val="0"/>
                <w:i w:val="0"/>
                <w:sz w:val="22"/>
              </w:rPr>
              <w:t>Theoretical review</w:t>
            </w:r>
          </w:p>
        </w:tc>
        <w:tc>
          <w:tcPr>
            <w:tcW w:type="dxa" w:w="1568"/>
          </w:tcPr>
          <w:p>
            <w:pPr>
              <w:spacing w:line="260" w:lineRule="exact" w:after="0"/>
            </w:pPr>
            <w:r/>
            <w:r>
              <w:rPr>
                <w:rFonts w:ascii="Times New Roman" w:hAnsi="Times New Roman"/>
                <w:b w:val="0"/>
                <w:i w:val="0"/>
                <w:sz w:val="22"/>
              </w:rPr>
              <w:t>Burnout models in nursing</w:t>
            </w:r>
          </w:p>
        </w:tc>
        <w:tc>
          <w:tcPr>
            <w:tcW w:type="dxa" w:w="1568"/>
          </w:tcPr>
          <w:p>
            <w:pPr>
              <w:spacing w:line="260" w:lineRule="exact" w:after="0"/>
            </w:pPr>
            <w:r/>
            <w:r>
              <w:rPr>
                <w:rFonts w:ascii="Times New Roman" w:hAnsi="Times New Roman"/>
                <w:b w:val="0"/>
                <w:i w:val="0"/>
                <w:sz w:val="22"/>
              </w:rPr>
              <w:t>High workload combined with low decision latitude is an established burnout predictor</w:t>
            </w:r>
          </w:p>
        </w:tc>
        <w:tc>
          <w:tcPr>
            <w:tcW w:type="dxa" w:w="1568"/>
          </w:tcPr>
          <w:p>
            <w:pPr>
              <w:spacing w:line="260" w:lineRule="exact" w:after="0"/>
            </w:pPr>
            <w:r/>
            <w:r>
              <w:rPr>
                <w:rFonts w:ascii="Times New Roman" w:hAnsi="Times New Roman"/>
                <w:b w:val="0"/>
                <w:i w:val="0"/>
                <w:sz w:val="22"/>
              </w:rPr>
              <w:t>Burnout mechanism</w:t>
            </w:r>
          </w:p>
        </w:tc>
      </w:tr>
      <w:tr>
        <w:tc>
          <w:tcPr>
            <w:tcW w:type="dxa" w:w="1568"/>
          </w:tcPr>
          <w:p>
            <w:pPr>
              <w:spacing w:line="260" w:lineRule="exact" w:after="0"/>
            </w:pPr>
            <w:r/>
            <w:r>
              <w:rPr>
                <w:rFonts w:ascii="Times New Roman" w:hAnsi="Times New Roman"/>
                <w:b w:val="0"/>
                <w:i w:val="0"/>
                <w:sz w:val="22"/>
              </w:rPr>
              <w:t>7</w:t>
            </w:r>
          </w:p>
        </w:tc>
        <w:tc>
          <w:tcPr>
            <w:tcW w:type="dxa" w:w="1568"/>
          </w:tcPr>
          <w:p>
            <w:pPr>
              <w:spacing w:line="260" w:lineRule="exact" w:after="0"/>
            </w:pPr>
            <w:r/>
            <w:r>
              <w:rPr>
                <w:rFonts w:ascii="Times New Roman" w:hAnsi="Times New Roman"/>
                <w:b w:val="0"/>
                <w:i w:val="0"/>
                <w:sz w:val="22"/>
              </w:rPr>
              <w:t>Cortegiani (2020)</w:t>
            </w:r>
          </w:p>
        </w:tc>
        <w:tc>
          <w:tcPr>
            <w:tcW w:type="dxa" w:w="1568"/>
          </w:tcPr>
          <w:p>
            <w:pPr>
              <w:spacing w:line="260" w:lineRule="exact" w:after="0"/>
            </w:pPr>
            <w:r/>
            <w:r>
              <w:rPr>
                <w:rFonts w:ascii="Times New Roman" w:hAnsi="Times New Roman"/>
                <w:b w:val="0"/>
                <w:i w:val="0"/>
                <w:sz w:val="22"/>
              </w:rPr>
              <w:t>Systematic review and meta-analysis</w:t>
            </w:r>
          </w:p>
        </w:tc>
        <w:tc>
          <w:tcPr>
            <w:tcW w:type="dxa" w:w="1568"/>
          </w:tcPr>
          <w:p>
            <w:pPr>
              <w:spacing w:line="260" w:lineRule="exact" w:after="0"/>
            </w:pPr>
            <w:r/>
            <w:r>
              <w:rPr>
                <w:rFonts w:ascii="Times New Roman" w:hAnsi="Times New Roman"/>
                <w:b w:val="0"/>
                <w:i w:val="0"/>
                <w:sz w:val="22"/>
              </w:rPr>
              <w:t>13 studies, after-hours vs daytime surgery</w:t>
            </w:r>
          </w:p>
        </w:tc>
        <w:tc>
          <w:tcPr>
            <w:tcW w:type="dxa" w:w="1568"/>
          </w:tcPr>
          <w:p>
            <w:pPr>
              <w:spacing w:line="260" w:lineRule="exact" w:after="0"/>
            </w:pPr>
            <w:r/>
            <w:r>
              <w:rPr>
                <w:rFonts w:ascii="Times New Roman" w:hAnsi="Times New Roman"/>
                <w:b w:val="0"/>
                <w:i w:val="0"/>
                <w:sz w:val="22"/>
              </w:rPr>
              <w:t>After-hours surgery associated with higher mortality (adjusted OR 1.16, 95% CI 1.06–1.28); low-certainty evidence</w:t>
            </w:r>
          </w:p>
        </w:tc>
        <w:tc>
          <w:tcPr>
            <w:tcW w:type="dxa" w:w="1568"/>
          </w:tcPr>
          <w:p>
            <w:pPr>
              <w:spacing w:line="260" w:lineRule="exact" w:after="0"/>
            </w:pPr>
            <w:r/>
            <w:r>
              <w:rPr>
                <w:rFonts w:ascii="Times New Roman" w:hAnsi="Times New Roman"/>
                <w:b w:val="0"/>
                <w:i w:val="0"/>
                <w:sz w:val="22"/>
              </w:rPr>
              <w:t>Patient-harm evidence, primary mortality estimate</w:t>
            </w:r>
          </w:p>
        </w:tc>
      </w:tr>
      <w:tr>
        <w:tc>
          <w:tcPr>
            <w:tcW w:type="dxa" w:w="1568"/>
          </w:tcPr>
          <w:p>
            <w:pPr>
              <w:spacing w:line="260" w:lineRule="exact" w:after="0"/>
            </w:pPr>
            <w:r/>
            <w:r>
              <w:rPr>
                <w:rFonts w:ascii="Times New Roman" w:hAnsi="Times New Roman"/>
                <w:b w:val="0"/>
                <w:i w:val="0"/>
                <w:sz w:val="22"/>
              </w:rPr>
              <w:t>8</w:t>
            </w:r>
          </w:p>
        </w:tc>
        <w:tc>
          <w:tcPr>
            <w:tcW w:type="dxa" w:w="1568"/>
          </w:tcPr>
          <w:p>
            <w:pPr>
              <w:spacing w:line="260" w:lineRule="exact" w:after="0"/>
            </w:pPr>
            <w:r/>
            <w:r>
              <w:rPr>
                <w:rFonts w:ascii="Times New Roman" w:hAnsi="Times New Roman"/>
                <w:b w:val="0"/>
                <w:i w:val="0"/>
                <w:sz w:val="22"/>
              </w:rPr>
              <w:t>Oh (2025)</w:t>
            </w:r>
          </w:p>
        </w:tc>
        <w:tc>
          <w:tcPr>
            <w:tcW w:type="dxa" w:w="1568"/>
          </w:tcPr>
          <w:p>
            <w:pPr>
              <w:spacing w:line="260" w:lineRule="exact" w:after="0"/>
            </w:pPr>
            <w:r/>
            <w:r>
              <w:rPr>
                <w:rFonts w:ascii="Times New Roman" w:hAnsi="Times New Roman"/>
                <w:b w:val="0"/>
                <w:i w:val="0"/>
                <w:sz w:val="22"/>
              </w:rPr>
              <w:t>Retrospective cohort</w:t>
            </w:r>
          </w:p>
        </w:tc>
        <w:tc>
          <w:tcPr>
            <w:tcW w:type="dxa" w:w="1568"/>
          </w:tcPr>
          <w:p>
            <w:pPr>
              <w:spacing w:line="260" w:lineRule="exact" w:after="0"/>
            </w:pPr>
            <w:r/>
            <w:r>
              <w:rPr>
                <w:rFonts w:ascii="Times New Roman" w:hAnsi="Times New Roman"/>
                <w:b w:val="0"/>
                <w:i w:val="0"/>
                <w:sz w:val="22"/>
              </w:rPr>
              <w:t>281,717 propensity-matched patients, South Korea</w:t>
            </w:r>
          </w:p>
        </w:tc>
        <w:tc>
          <w:tcPr>
            <w:tcW w:type="dxa" w:w="1568"/>
          </w:tcPr>
          <w:p>
            <w:pPr>
              <w:spacing w:line="260" w:lineRule="exact" w:after="0"/>
            </w:pPr>
            <w:r/>
            <w:r>
              <w:rPr>
                <w:rFonts w:ascii="Times New Roman" w:hAnsi="Times New Roman"/>
                <w:b w:val="0"/>
                <w:i w:val="0"/>
                <w:sz w:val="22"/>
              </w:rPr>
              <w:t>After-hours surgery associated with mortality (OR 3.58)</w:t>
            </w:r>
          </w:p>
        </w:tc>
        <w:tc>
          <w:tcPr>
            <w:tcW w:type="dxa" w:w="1568"/>
          </w:tcPr>
          <w:p>
            <w:pPr>
              <w:spacing w:line="260" w:lineRule="exact" w:after="0"/>
            </w:pPr>
            <w:r/>
            <w:r>
              <w:rPr>
                <w:rFonts w:ascii="Times New Roman" w:hAnsi="Times New Roman"/>
                <w:b w:val="0"/>
                <w:i w:val="0"/>
                <w:sz w:val="22"/>
              </w:rPr>
              <w:t>Patient-harm evidence, upper-bound estimate</w:t>
            </w:r>
          </w:p>
        </w:tc>
      </w:tr>
      <w:tr>
        <w:tc>
          <w:tcPr>
            <w:tcW w:type="dxa" w:w="1568"/>
          </w:tcPr>
          <w:p>
            <w:pPr>
              <w:spacing w:line="260" w:lineRule="exact" w:after="0"/>
            </w:pPr>
            <w:r/>
            <w:r>
              <w:rPr>
                <w:rFonts w:ascii="Times New Roman" w:hAnsi="Times New Roman"/>
                <w:b w:val="0"/>
                <w:i w:val="0"/>
                <w:sz w:val="22"/>
              </w:rPr>
              <w:t>9</w:t>
            </w:r>
          </w:p>
        </w:tc>
        <w:tc>
          <w:tcPr>
            <w:tcW w:type="dxa" w:w="1568"/>
          </w:tcPr>
          <w:p>
            <w:pPr>
              <w:spacing w:line="260" w:lineRule="exact" w:after="0"/>
            </w:pPr>
            <w:r/>
            <w:r>
              <w:rPr>
                <w:rFonts w:ascii="Times New Roman" w:hAnsi="Times New Roman"/>
                <w:b w:val="0"/>
                <w:i w:val="0"/>
                <w:sz w:val="22"/>
              </w:rPr>
              <w:t>Sakurai (2025)</w:t>
            </w:r>
          </w:p>
        </w:tc>
        <w:tc>
          <w:tcPr>
            <w:tcW w:type="dxa" w:w="1568"/>
          </w:tcPr>
          <w:p>
            <w:pPr>
              <w:spacing w:line="260" w:lineRule="exact" w:after="0"/>
            </w:pPr>
            <w:r/>
            <w:r>
              <w:rPr>
                <w:rFonts w:ascii="Times New Roman" w:hAnsi="Times New Roman"/>
                <w:b w:val="0"/>
                <w:i w:val="0"/>
                <w:sz w:val="22"/>
              </w:rPr>
              <w:t>Correspondence / commentary</w:t>
            </w:r>
          </w:p>
        </w:tc>
        <w:tc>
          <w:tcPr>
            <w:tcW w:type="dxa" w:w="1568"/>
          </w:tcPr>
          <w:p>
            <w:pPr>
              <w:spacing w:line="260" w:lineRule="exact" w:after="0"/>
            </w:pPr>
            <w:r/>
            <w:r>
              <w:rPr>
                <w:rFonts w:ascii="Times New Roman" w:hAnsi="Times New Roman"/>
                <w:b w:val="0"/>
                <w:i w:val="0"/>
                <w:sz w:val="22"/>
              </w:rPr>
              <w:t>Response to ref 8</w:t>
            </w:r>
          </w:p>
        </w:tc>
        <w:tc>
          <w:tcPr>
            <w:tcW w:type="dxa" w:w="1568"/>
          </w:tcPr>
          <w:p>
            <w:pPr>
              <w:spacing w:line="260" w:lineRule="exact" w:after="0"/>
            </w:pPr>
            <w:r/>
            <w:r>
              <w:rPr>
                <w:rFonts w:ascii="Times New Roman" w:hAnsi="Times New Roman"/>
                <w:b w:val="0"/>
                <w:i w:val="0"/>
                <w:sz w:val="22"/>
              </w:rPr>
              <w:t>Challenges ref 8 on residual confounding grounds</w:t>
            </w:r>
          </w:p>
        </w:tc>
        <w:tc>
          <w:tcPr>
            <w:tcW w:type="dxa" w:w="1568"/>
          </w:tcPr>
          <w:p>
            <w:pPr>
              <w:spacing w:line="260" w:lineRule="exact" w:after="0"/>
            </w:pPr>
            <w:r/>
            <w:r>
              <w:rPr>
                <w:rFonts w:ascii="Times New Roman" w:hAnsi="Times New Roman"/>
                <w:b w:val="0"/>
                <w:i w:val="0"/>
                <w:sz w:val="22"/>
              </w:rPr>
              <w:t>Qualifies the mortality evidence</w:t>
            </w:r>
          </w:p>
        </w:tc>
      </w:tr>
      <w:tr>
        <w:tc>
          <w:tcPr>
            <w:tcW w:type="dxa" w:w="1568"/>
          </w:tcPr>
          <w:p>
            <w:pPr>
              <w:spacing w:line="260" w:lineRule="exact" w:after="0"/>
            </w:pPr>
            <w:r/>
            <w:r>
              <w:rPr>
                <w:rFonts w:ascii="Times New Roman" w:hAnsi="Times New Roman"/>
                <w:b w:val="0"/>
                <w:i w:val="0"/>
                <w:sz w:val="22"/>
              </w:rPr>
              <w:t>10</w:t>
            </w:r>
          </w:p>
        </w:tc>
        <w:tc>
          <w:tcPr>
            <w:tcW w:type="dxa" w:w="1568"/>
          </w:tcPr>
          <w:p>
            <w:pPr>
              <w:spacing w:line="260" w:lineRule="exact" w:after="0"/>
            </w:pPr>
            <w:r/>
            <w:r>
              <w:rPr>
                <w:rFonts w:ascii="Times New Roman" w:hAnsi="Times New Roman"/>
                <w:b w:val="0"/>
                <w:i w:val="0"/>
                <w:sz w:val="22"/>
              </w:rPr>
              <w:t>Saager (2014)</w:t>
            </w:r>
          </w:p>
        </w:tc>
        <w:tc>
          <w:tcPr>
            <w:tcW w:type="dxa" w:w="1568"/>
          </w:tcPr>
          <w:p>
            <w:pPr>
              <w:spacing w:line="260" w:lineRule="exact" w:after="0"/>
            </w:pPr>
            <w:r/>
            <w:r>
              <w:rPr>
                <w:rFonts w:ascii="Times New Roman" w:hAnsi="Times New Roman"/>
                <w:b w:val="0"/>
                <w:i w:val="0"/>
                <w:sz w:val="22"/>
              </w:rPr>
              <w:t>Retrospective cohort</w:t>
            </w:r>
          </w:p>
        </w:tc>
        <w:tc>
          <w:tcPr>
            <w:tcW w:type="dxa" w:w="1568"/>
          </w:tcPr>
          <w:p>
            <w:pPr>
              <w:spacing w:line="260" w:lineRule="exact" w:after="0"/>
            </w:pPr>
            <w:r/>
            <w:r>
              <w:rPr>
                <w:rFonts w:ascii="Times New Roman" w:hAnsi="Times New Roman"/>
                <w:b w:val="0"/>
                <w:i w:val="0"/>
                <w:sz w:val="22"/>
              </w:rPr>
              <w:t>927,307 cases, Cleveland Clinic</w:t>
            </w:r>
          </w:p>
        </w:tc>
        <w:tc>
          <w:tcPr>
            <w:tcW w:type="dxa" w:w="1568"/>
          </w:tcPr>
          <w:p>
            <w:pPr>
              <w:spacing w:line="260" w:lineRule="exact" w:after="0"/>
            </w:pPr>
            <w:r/>
            <w:r>
              <w:rPr>
                <w:rFonts w:ascii="Times New Roman" w:hAnsi="Times New Roman"/>
                <w:b w:val="0"/>
                <w:i w:val="0"/>
                <w:sz w:val="22"/>
              </w:rPr>
              <w:t>Each intraoperative anesthesia handover raises complication risk; incidence 8.8% at zero transitions to 21.2% at four or more</w:t>
            </w:r>
          </w:p>
        </w:tc>
        <w:tc>
          <w:tcPr>
            <w:tcW w:type="dxa" w:w="1568"/>
          </w:tcPr>
          <w:p>
            <w:pPr>
              <w:spacing w:line="260" w:lineRule="exact" w:after="0"/>
            </w:pPr>
            <w:r/>
            <w:r>
              <w:rPr>
                <w:rFonts w:ascii="Times New Roman" w:hAnsi="Times New Roman"/>
                <w:b w:val="0"/>
                <w:i w:val="0"/>
                <w:sz w:val="22"/>
              </w:rPr>
              <w:t>Handover-harm mechanism</w:t>
            </w:r>
          </w:p>
        </w:tc>
      </w:tr>
      <w:tr>
        <w:tc>
          <w:tcPr>
            <w:tcW w:type="dxa" w:w="1568"/>
          </w:tcPr>
          <w:p>
            <w:pPr>
              <w:spacing w:line="260" w:lineRule="exact" w:after="0"/>
            </w:pPr>
            <w:r/>
            <w:r>
              <w:rPr>
                <w:rFonts w:ascii="Times New Roman" w:hAnsi="Times New Roman"/>
                <w:b w:val="0"/>
                <w:i w:val="0"/>
                <w:sz w:val="22"/>
              </w:rPr>
              <w:t>11</w:t>
            </w:r>
          </w:p>
        </w:tc>
        <w:tc>
          <w:tcPr>
            <w:tcW w:type="dxa" w:w="1568"/>
          </w:tcPr>
          <w:p>
            <w:pPr>
              <w:spacing w:line="260" w:lineRule="exact" w:after="0"/>
            </w:pPr>
            <w:r/>
            <w:r>
              <w:rPr>
                <w:rFonts w:ascii="Times New Roman" w:hAnsi="Times New Roman"/>
                <w:b w:val="0"/>
                <w:i w:val="0"/>
                <w:sz w:val="22"/>
              </w:rPr>
              <w:t>HSSIB (2025)</w:t>
            </w:r>
          </w:p>
        </w:tc>
        <w:tc>
          <w:tcPr>
            <w:tcW w:type="dxa" w:w="1568"/>
          </w:tcPr>
          <w:p>
            <w:pPr>
              <w:spacing w:line="260" w:lineRule="exact" w:after="0"/>
            </w:pPr>
            <w:r/>
            <w:r>
              <w:rPr>
                <w:rFonts w:ascii="Times New Roman" w:hAnsi="Times New Roman"/>
                <w:b w:val="0"/>
                <w:i w:val="0"/>
                <w:sz w:val="22"/>
              </w:rPr>
              <w:t>National investigation report</w:t>
            </w:r>
          </w:p>
        </w:tc>
        <w:tc>
          <w:tcPr>
            <w:tcW w:type="dxa" w:w="1568"/>
          </w:tcPr>
          <w:p>
            <w:pPr>
              <w:spacing w:line="260" w:lineRule="exact" w:after="0"/>
            </w:pPr>
            <w:r/>
            <w:r>
              <w:rPr>
                <w:rFonts w:ascii="Times New Roman" w:hAnsi="Times New Roman"/>
                <w:b w:val="0"/>
                <w:i w:val="0"/>
                <w:sz w:val="22"/>
              </w:rPr>
              <w:t>UK healthcare staff survey</w:t>
            </w:r>
          </w:p>
        </w:tc>
        <w:tc>
          <w:tcPr>
            <w:tcW w:type="dxa" w:w="1568"/>
          </w:tcPr>
          <w:p>
            <w:pPr>
              <w:spacing w:line="260" w:lineRule="exact" w:after="0"/>
            </w:pPr>
            <w:r/>
            <w:r>
              <w:rPr>
                <w:rFonts w:ascii="Times New Roman" w:hAnsi="Times New Roman"/>
                <w:b w:val="0"/>
                <w:i w:val="0"/>
                <w:sz w:val="22"/>
              </w:rPr>
              <w:t>22% of doctors reported daily sleep deprivation; 35% said tiredness impaired their ability to treat patients</w:t>
            </w:r>
          </w:p>
        </w:tc>
        <w:tc>
          <w:tcPr>
            <w:tcW w:type="dxa" w:w="1568"/>
          </w:tcPr>
          <w:p>
            <w:pPr>
              <w:spacing w:line="260" w:lineRule="exact" w:after="0"/>
            </w:pPr>
            <w:r/>
            <w:r>
              <w:rPr>
                <w:rFonts w:ascii="Times New Roman" w:hAnsi="Times New Roman"/>
                <w:b w:val="0"/>
                <w:i w:val="0"/>
                <w:sz w:val="22"/>
              </w:rPr>
              <w:t>Fatigue-harm evidence</w:t>
            </w:r>
          </w:p>
        </w:tc>
      </w:tr>
      <w:tr>
        <w:tc>
          <w:tcPr>
            <w:tcW w:type="dxa" w:w="1568"/>
          </w:tcPr>
          <w:p>
            <w:pPr>
              <w:spacing w:line="260" w:lineRule="exact" w:after="0"/>
            </w:pPr>
            <w:r/>
            <w:r>
              <w:rPr>
                <w:rFonts w:ascii="Times New Roman" w:hAnsi="Times New Roman"/>
                <w:b w:val="0"/>
                <w:i w:val="0"/>
                <w:sz w:val="22"/>
              </w:rPr>
              <w:t>12</w:t>
            </w:r>
          </w:p>
        </w:tc>
        <w:tc>
          <w:tcPr>
            <w:tcW w:type="dxa" w:w="1568"/>
          </w:tcPr>
          <w:p>
            <w:pPr>
              <w:spacing w:line="260" w:lineRule="exact" w:after="0"/>
            </w:pPr>
            <w:r/>
            <w:r>
              <w:rPr>
                <w:rFonts w:ascii="Times New Roman" w:hAnsi="Times New Roman"/>
                <w:b w:val="0"/>
                <w:i w:val="0"/>
                <w:sz w:val="22"/>
              </w:rPr>
              <w:t>Pittman (2025)</w:t>
            </w:r>
          </w:p>
        </w:tc>
        <w:tc>
          <w:tcPr>
            <w:tcW w:type="dxa" w:w="1568"/>
          </w:tcPr>
          <w:p>
            <w:pPr>
              <w:spacing w:line="260" w:lineRule="exact" w:after="0"/>
            </w:pPr>
            <w:r/>
            <w:r>
              <w:rPr>
                <w:rFonts w:ascii="Times New Roman" w:hAnsi="Times New Roman"/>
                <w:b w:val="0"/>
                <w:i w:val="0"/>
                <w:sz w:val="22"/>
              </w:rPr>
              <w:t>Retrospective panel analysis</w:t>
            </w:r>
          </w:p>
        </w:tc>
        <w:tc>
          <w:tcPr>
            <w:tcW w:type="dxa" w:w="1568"/>
          </w:tcPr>
          <w:p>
            <w:pPr>
              <w:spacing w:line="260" w:lineRule="exact" w:after="0"/>
            </w:pPr>
            <w:r/>
            <w:r>
              <w:rPr>
                <w:rFonts w:ascii="Times New Roman" w:hAnsi="Times New Roman"/>
                <w:b w:val="0"/>
                <w:i w:val="0"/>
                <w:sz w:val="22"/>
              </w:rPr>
              <w:t>70 US hospitals</w:t>
            </w:r>
          </w:p>
        </w:tc>
        <w:tc>
          <w:tcPr>
            <w:tcW w:type="dxa" w:w="1568"/>
          </w:tcPr>
          <w:p>
            <w:pPr>
              <w:spacing w:line="260" w:lineRule="exact" w:after="0"/>
            </w:pPr>
            <w:r/>
            <w:r>
              <w:rPr>
                <w:rFonts w:ascii="Times New Roman" w:hAnsi="Times New Roman"/>
                <w:b w:val="0"/>
                <w:i w:val="0"/>
                <w:sz w:val="22"/>
              </w:rPr>
              <w:t>Overtime above a breakpoint threshold associated with 2.09% increase in pressure ulcers</w:t>
            </w:r>
          </w:p>
        </w:tc>
        <w:tc>
          <w:tcPr>
            <w:tcW w:type="dxa" w:w="1568"/>
          </w:tcPr>
          <w:p>
            <w:pPr>
              <w:spacing w:line="260" w:lineRule="exact" w:after="0"/>
            </w:pPr>
            <w:r/>
            <w:r>
              <w:rPr>
                <w:rFonts w:ascii="Times New Roman" w:hAnsi="Times New Roman"/>
                <w:b w:val="0"/>
                <w:i w:val="0"/>
                <w:sz w:val="22"/>
              </w:rPr>
              <w:t>Patient-harm evidence (nursing-specific)</w:t>
            </w:r>
          </w:p>
        </w:tc>
      </w:tr>
      <w:tr>
        <w:tc>
          <w:tcPr>
            <w:tcW w:type="dxa" w:w="1568"/>
          </w:tcPr>
          <w:p>
            <w:pPr>
              <w:spacing w:line="260" w:lineRule="exact" w:after="0"/>
            </w:pPr>
            <w:r/>
            <w:r>
              <w:rPr>
                <w:rFonts w:ascii="Times New Roman" w:hAnsi="Times New Roman"/>
                <w:b w:val="0"/>
                <w:i w:val="0"/>
                <w:sz w:val="22"/>
              </w:rPr>
              <w:t>13</w:t>
            </w:r>
          </w:p>
        </w:tc>
        <w:tc>
          <w:tcPr>
            <w:tcW w:type="dxa" w:w="1568"/>
          </w:tcPr>
          <w:p>
            <w:pPr>
              <w:spacing w:line="260" w:lineRule="exact" w:after="0"/>
            </w:pPr>
            <w:r/>
            <w:r>
              <w:rPr>
                <w:rFonts w:ascii="Times New Roman" w:hAnsi="Times New Roman"/>
                <w:b w:val="0"/>
                <w:i w:val="0"/>
                <w:sz w:val="22"/>
              </w:rPr>
              <w:t>Althoff (2021)</w:t>
            </w:r>
          </w:p>
        </w:tc>
        <w:tc>
          <w:tcPr>
            <w:tcW w:type="dxa" w:w="1568"/>
          </w:tcPr>
          <w:p>
            <w:pPr>
              <w:spacing w:line="260" w:lineRule="exact" w:after="0"/>
            </w:pPr>
            <w:r/>
            <w:r>
              <w:rPr>
                <w:rFonts w:ascii="Times New Roman" w:hAnsi="Times New Roman"/>
                <w:b w:val="0"/>
                <w:i w:val="0"/>
                <w:sz w:val="22"/>
              </w:rPr>
              <w:t>Retrospective multicenter cohort</w:t>
            </w:r>
          </w:p>
        </w:tc>
        <w:tc>
          <w:tcPr>
            <w:tcW w:type="dxa" w:w="1568"/>
          </w:tcPr>
          <w:p>
            <w:pPr>
              <w:spacing w:line="260" w:lineRule="exact" w:after="0"/>
            </w:pPr>
            <w:r/>
            <w:r>
              <w:rPr>
                <w:rFonts w:ascii="Times New Roman" w:hAnsi="Times New Roman"/>
                <w:b w:val="0"/>
                <w:i w:val="0"/>
                <w:sz w:val="22"/>
              </w:rPr>
              <w:t>350,000+ non-cardiac surgical cases</w:t>
            </w:r>
          </w:p>
        </w:tc>
        <w:tc>
          <w:tcPr>
            <w:tcW w:type="dxa" w:w="1568"/>
          </w:tcPr>
          <w:p>
            <w:pPr>
              <w:spacing w:line="260" w:lineRule="exact" w:after="0"/>
            </w:pPr>
            <w:r/>
            <w:r>
              <w:rPr>
                <w:rFonts w:ascii="Times New Roman" w:hAnsi="Times New Roman"/>
                <w:b w:val="0"/>
                <w:i w:val="0"/>
                <w:sz w:val="22"/>
              </w:rPr>
              <w:t>Night surgery associated with increased morbidity (adjusted OR 1.41), mediated by transfusion rates and handovers</w:t>
            </w:r>
          </w:p>
        </w:tc>
        <w:tc>
          <w:tcPr>
            <w:tcW w:type="dxa" w:w="1568"/>
          </w:tcPr>
          <w:p>
            <w:pPr>
              <w:spacing w:line="260" w:lineRule="exact" w:after="0"/>
            </w:pPr>
            <w:r/>
            <w:r>
              <w:rPr>
                <w:rFonts w:ascii="Times New Roman" w:hAnsi="Times New Roman"/>
                <w:b w:val="0"/>
                <w:i w:val="0"/>
                <w:sz w:val="22"/>
              </w:rPr>
              <w:t>Patient-harm evidence, morbidity</w:t>
            </w:r>
          </w:p>
        </w:tc>
      </w:tr>
      <w:tr>
        <w:tc>
          <w:tcPr>
            <w:tcW w:type="dxa" w:w="1568"/>
          </w:tcPr>
          <w:p>
            <w:pPr>
              <w:spacing w:line="260" w:lineRule="exact" w:after="0"/>
            </w:pPr>
            <w:r/>
            <w:r>
              <w:rPr>
                <w:rFonts w:ascii="Times New Roman" w:hAnsi="Times New Roman"/>
                <w:b w:val="0"/>
                <w:i w:val="0"/>
                <w:sz w:val="22"/>
              </w:rPr>
              <w:t>14</w:t>
            </w:r>
          </w:p>
        </w:tc>
        <w:tc>
          <w:tcPr>
            <w:tcW w:type="dxa" w:w="1568"/>
          </w:tcPr>
          <w:p>
            <w:pPr>
              <w:spacing w:line="260" w:lineRule="exact" w:after="0"/>
            </w:pPr>
            <w:r/>
            <w:r>
              <w:rPr>
                <w:rFonts w:ascii="Times New Roman" w:hAnsi="Times New Roman"/>
                <w:b w:val="0"/>
                <w:i w:val="0"/>
                <w:sz w:val="22"/>
              </w:rPr>
              <w:t>Joseph (2019)</w:t>
            </w:r>
          </w:p>
        </w:tc>
        <w:tc>
          <w:tcPr>
            <w:tcW w:type="dxa" w:w="1568"/>
          </w:tcPr>
          <w:p>
            <w:pPr>
              <w:spacing w:line="260" w:lineRule="exact" w:after="0"/>
            </w:pPr>
            <w:r/>
            <w:r>
              <w:rPr>
                <w:rFonts w:ascii="Times New Roman" w:hAnsi="Times New Roman"/>
                <w:b w:val="0"/>
                <w:i w:val="0"/>
                <w:sz w:val="22"/>
              </w:rPr>
              <w:t>Prospective observational</w:t>
            </w:r>
          </w:p>
        </w:tc>
        <w:tc>
          <w:tcPr>
            <w:tcW w:type="dxa" w:w="1568"/>
          </w:tcPr>
          <w:p>
            <w:pPr>
              <w:spacing w:line="260" w:lineRule="exact" w:after="0"/>
            </w:pPr>
            <w:r/>
            <w:r>
              <w:rPr>
                <w:rFonts w:ascii="Times New Roman" w:hAnsi="Times New Roman"/>
                <w:b w:val="0"/>
                <w:i w:val="0"/>
                <w:sz w:val="22"/>
              </w:rPr>
              <w:t>34 surgical cases, direct observation</w:t>
            </w:r>
          </w:p>
        </w:tc>
        <w:tc>
          <w:tcPr>
            <w:tcW w:type="dxa" w:w="1568"/>
          </w:tcPr>
          <w:p>
            <w:pPr>
              <w:spacing w:line="260" w:lineRule="exact" w:after="0"/>
            </w:pPr>
            <w:r/>
            <w:r>
              <w:rPr>
                <w:rFonts w:ascii="Times New Roman" w:hAnsi="Times New Roman"/>
                <w:b w:val="0"/>
                <w:i w:val="0"/>
                <w:sz w:val="22"/>
              </w:rPr>
              <w:t>Minor flow disruptions increase the odds of major flow disruptions</w:t>
            </w:r>
          </w:p>
        </w:tc>
        <w:tc>
          <w:tcPr>
            <w:tcW w:type="dxa" w:w="1568"/>
          </w:tcPr>
          <w:p>
            <w:pPr>
              <w:spacing w:line="260" w:lineRule="exact" w:after="0"/>
            </w:pPr>
            <w:r/>
            <w:r>
              <w:rPr>
                <w:rFonts w:ascii="Times New Roman" w:hAnsi="Times New Roman"/>
                <w:b w:val="0"/>
                <w:i w:val="0"/>
                <w:sz w:val="22"/>
              </w:rPr>
              <w:t>Disruption-cascade mechanism</w:t>
            </w:r>
          </w:p>
        </w:tc>
      </w:tr>
      <w:tr>
        <w:tc>
          <w:tcPr>
            <w:tcW w:type="dxa" w:w="1568"/>
          </w:tcPr>
          <w:p>
            <w:pPr>
              <w:spacing w:line="260" w:lineRule="exact" w:after="0"/>
            </w:pPr>
            <w:r/>
            <w:r>
              <w:rPr>
                <w:rFonts w:ascii="Times New Roman" w:hAnsi="Times New Roman"/>
                <w:b w:val="0"/>
                <w:i w:val="0"/>
                <w:sz w:val="22"/>
              </w:rPr>
              <w:t>15</w:t>
            </w:r>
          </w:p>
        </w:tc>
        <w:tc>
          <w:tcPr>
            <w:tcW w:type="dxa" w:w="1568"/>
          </w:tcPr>
          <w:p>
            <w:pPr>
              <w:spacing w:line="260" w:lineRule="exact" w:after="0"/>
            </w:pPr>
            <w:r/>
            <w:r>
              <w:rPr>
                <w:rFonts w:ascii="Times New Roman" w:hAnsi="Times New Roman"/>
                <w:b w:val="0"/>
                <w:i w:val="0"/>
                <w:sz w:val="22"/>
              </w:rPr>
              <w:t>Koch (2020)</w:t>
            </w:r>
          </w:p>
        </w:tc>
        <w:tc>
          <w:tcPr>
            <w:tcW w:type="dxa" w:w="1568"/>
          </w:tcPr>
          <w:p>
            <w:pPr>
              <w:spacing w:line="260" w:lineRule="exact" w:after="0"/>
            </w:pPr>
            <w:r/>
            <w:r>
              <w:rPr>
                <w:rFonts w:ascii="Times New Roman" w:hAnsi="Times New Roman"/>
                <w:b w:val="0"/>
                <w:i w:val="0"/>
                <w:sz w:val="22"/>
              </w:rPr>
              <w:t>Systematic review</w:t>
            </w:r>
          </w:p>
        </w:tc>
        <w:tc>
          <w:tcPr>
            <w:tcW w:type="dxa" w:w="1568"/>
          </w:tcPr>
          <w:p>
            <w:pPr>
              <w:spacing w:line="260" w:lineRule="exact" w:after="0"/>
            </w:pPr>
            <w:r/>
            <w:r>
              <w:rPr>
                <w:rFonts w:ascii="Times New Roman" w:hAnsi="Times New Roman"/>
                <w:b w:val="0"/>
                <w:i w:val="0"/>
                <w:sz w:val="22"/>
              </w:rPr>
              <w:t>29 studies on OR workflow disruptions</w:t>
            </w:r>
          </w:p>
        </w:tc>
        <w:tc>
          <w:tcPr>
            <w:tcW w:type="dxa" w:w="1568"/>
          </w:tcPr>
          <w:p>
            <w:pPr>
              <w:spacing w:line="260" w:lineRule="exact" w:after="0"/>
            </w:pPr>
            <w:r/>
            <w:r>
              <w:rPr>
                <w:rFonts w:ascii="Times New Roman" w:hAnsi="Times New Roman"/>
                <w:b w:val="0"/>
                <w:i w:val="0"/>
                <w:sz w:val="22"/>
              </w:rPr>
              <w:t>Workflow disruptions associated with longer operative times and poorer surgical outcomes</w:t>
            </w:r>
          </w:p>
        </w:tc>
        <w:tc>
          <w:tcPr>
            <w:tcW w:type="dxa" w:w="1568"/>
          </w:tcPr>
          <w:p>
            <w:pPr>
              <w:spacing w:line="260" w:lineRule="exact" w:after="0"/>
            </w:pPr>
            <w:r/>
            <w:r>
              <w:rPr>
                <w:rFonts w:ascii="Times New Roman" w:hAnsi="Times New Roman"/>
                <w:b w:val="0"/>
                <w:i w:val="0"/>
                <w:sz w:val="22"/>
              </w:rPr>
              <w:t>Disruption-cascade mechanism</w:t>
            </w:r>
          </w:p>
        </w:tc>
      </w:tr>
      <w:tr>
        <w:tc>
          <w:tcPr>
            <w:tcW w:type="dxa" w:w="1568"/>
          </w:tcPr>
          <w:p>
            <w:pPr>
              <w:spacing w:line="260" w:lineRule="exact" w:after="0"/>
            </w:pPr>
            <w:r/>
            <w:r>
              <w:rPr>
                <w:rFonts w:ascii="Times New Roman" w:hAnsi="Times New Roman"/>
                <w:b w:val="0"/>
                <w:i w:val="0"/>
                <w:sz w:val="22"/>
              </w:rPr>
              <w:t>16</w:t>
            </w:r>
          </w:p>
        </w:tc>
        <w:tc>
          <w:tcPr>
            <w:tcW w:type="dxa" w:w="1568"/>
          </w:tcPr>
          <w:p>
            <w:pPr>
              <w:spacing w:line="260" w:lineRule="exact" w:after="0"/>
            </w:pPr>
            <w:r/>
            <w:r>
              <w:rPr>
                <w:rFonts w:ascii="Times New Roman" w:hAnsi="Times New Roman"/>
                <w:b w:val="0"/>
                <w:i w:val="0"/>
                <w:sz w:val="22"/>
              </w:rPr>
              <w:t>Zhang (2024)</w:t>
            </w:r>
          </w:p>
        </w:tc>
        <w:tc>
          <w:tcPr>
            <w:tcW w:type="dxa" w:w="1568"/>
          </w:tcPr>
          <w:p>
            <w:pPr>
              <w:spacing w:line="260" w:lineRule="exact" w:after="0"/>
            </w:pPr>
            <w:r/>
            <w:r>
              <w:rPr>
                <w:rFonts w:ascii="Times New Roman" w:hAnsi="Times New Roman"/>
                <w:b w:val="0"/>
                <w:i w:val="0"/>
                <w:sz w:val="22"/>
              </w:rPr>
              <w:t>Tutorial / methodological commentary</w:t>
            </w:r>
          </w:p>
        </w:tc>
        <w:tc>
          <w:tcPr>
            <w:tcW w:type="dxa" w:w="1568"/>
          </w:tcPr>
          <w:p>
            <w:pPr>
              <w:spacing w:line="260" w:lineRule="exact" w:after="0"/>
            </w:pPr>
            <w:r/>
            <w:r>
              <w:rPr>
                <w:rFonts w:ascii="Times New Roman" w:hAnsi="Times New Roman"/>
                <w:b w:val="0"/>
                <w:i w:val="0"/>
                <w:sz w:val="22"/>
              </w:rPr>
              <w:t>NHS Model Hospital data</w:t>
            </w:r>
          </w:p>
        </w:tc>
        <w:tc>
          <w:tcPr>
            <w:tcW w:type="dxa" w:w="1568"/>
          </w:tcPr>
          <w:p>
            <w:pPr>
              <w:spacing w:line="260" w:lineRule="exact" w:after="0"/>
            </w:pPr>
            <w:r/>
            <w:r>
              <w:rPr>
                <w:rFonts w:ascii="Times New Roman" w:hAnsi="Times New Roman"/>
                <w:b w:val="0"/>
                <w:i w:val="0"/>
                <w:sz w:val="22"/>
              </w:rPr>
              <w:t>Aggregate utilisation metrics (capped utilisation) can hide room-level operational problems</w:t>
            </w:r>
          </w:p>
        </w:tc>
        <w:tc>
          <w:tcPr>
            <w:tcW w:type="dxa" w:w="1568"/>
          </w:tcPr>
          <w:p>
            <w:pPr>
              <w:spacing w:line="260" w:lineRule="exact" w:after="0"/>
            </w:pPr>
            <w:r/>
            <w:r>
              <w:rPr>
                <w:rFonts w:ascii="Times New Roman" w:hAnsi="Times New Roman"/>
                <w:b w:val="0"/>
                <w:i w:val="0"/>
                <w:sz w:val="22"/>
              </w:rPr>
              <w:t>Motivates room-level analysis</w:t>
            </w:r>
          </w:p>
        </w:tc>
      </w:tr>
      <w:tr>
        <w:tc>
          <w:tcPr>
            <w:tcW w:type="dxa" w:w="1568"/>
          </w:tcPr>
          <w:p>
            <w:pPr>
              <w:spacing w:line="260" w:lineRule="exact" w:after="0"/>
            </w:pPr>
            <w:r/>
            <w:r>
              <w:rPr>
                <w:rFonts w:ascii="Times New Roman" w:hAnsi="Times New Roman"/>
                <w:b w:val="0"/>
                <w:i w:val="0"/>
                <w:sz w:val="22"/>
              </w:rPr>
              <w:t>17</w:t>
            </w:r>
          </w:p>
        </w:tc>
        <w:tc>
          <w:tcPr>
            <w:tcW w:type="dxa" w:w="1568"/>
          </w:tcPr>
          <w:p>
            <w:pPr>
              <w:spacing w:line="260" w:lineRule="exact" w:after="0"/>
            </w:pPr>
            <w:r/>
            <w:r>
              <w:rPr>
                <w:rFonts w:ascii="Times New Roman" w:hAnsi="Times New Roman"/>
                <w:b w:val="0"/>
                <w:i w:val="0"/>
                <w:sz w:val="22"/>
              </w:rPr>
              <w:t>Macario (2006)</w:t>
            </w:r>
          </w:p>
        </w:tc>
        <w:tc>
          <w:tcPr>
            <w:tcW w:type="dxa" w:w="1568"/>
          </w:tcPr>
          <w:p>
            <w:pPr>
              <w:spacing w:line="260" w:lineRule="exact" w:after="0"/>
            </w:pPr>
            <w:r/>
            <w:r>
              <w:rPr>
                <w:rFonts w:ascii="Times New Roman" w:hAnsi="Times New Roman"/>
                <w:b w:val="0"/>
                <w:i w:val="0"/>
                <w:sz w:val="22"/>
              </w:rPr>
              <w:t>Expert opinion / scoring system</w:t>
            </w:r>
          </w:p>
        </w:tc>
        <w:tc>
          <w:tcPr>
            <w:tcW w:type="dxa" w:w="1568"/>
          </w:tcPr>
          <w:p>
            <w:pPr>
              <w:spacing w:line="260" w:lineRule="exact" w:after="0"/>
            </w:pPr>
            <w:r/>
            <w:r>
              <w:rPr>
                <w:rFonts w:ascii="Times New Roman" w:hAnsi="Times New Roman"/>
                <w:b w:val="0"/>
                <w:i w:val="0"/>
                <w:sz w:val="22"/>
              </w:rPr>
              <w:t>8 OR performance indicators</w:t>
            </w:r>
          </w:p>
        </w:tc>
        <w:tc>
          <w:tcPr>
            <w:tcW w:type="dxa" w:w="1568"/>
          </w:tcPr>
          <w:p>
            <w:pPr>
              <w:spacing w:line="260" w:lineRule="exact" w:after="0"/>
            </w:pPr>
            <w:r/>
            <w:r>
              <w:rPr>
                <w:rFonts w:ascii="Times New Roman" w:hAnsi="Times New Roman"/>
                <w:b w:val="0"/>
                <w:i w:val="0"/>
                <w:sz w:val="22"/>
              </w:rPr>
              <w:t>Proposes hospital-level efficiency indicators; does not address room-level variation</w:t>
            </w:r>
          </w:p>
        </w:tc>
        <w:tc>
          <w:tcPr>
            <w:tcW w:type="dxa" w:w="1568"/>
          </w:tcPr>
          <w:p>
            <w:pPr>
              <w:spacing w:line="260" w:lineRule="exact" w:after="0"/>
            </w:pPr>
            <w:r/>
            <w:r>
              <w:rPr>
                <w:rFonts w:ascii="Times New Roman" w:hAnsi="Times New Roman"/>
                <w:b w:val="0"/>
                <w:i w:val="0"/>
                <w:sz w:val="22"/>
              </w:rPr>
              <w:t>Motivates room-level analysis</w:t>
            </w:r>
          </w:p>
        </w:tc>
      </w:tr>
      <w:tr>
        <w:tc>
          <w:tcPr>
            <w:tcW w:type="dxa" w:w="1568"/>
          </w:tcPr>
          <w:p>
            <w:pPr>
              <w:spacing w:line="260" w:lineRule="exact" w:after="0"/>
            </w:pPr>
            <w:r/>
            <w:r>
              <w:rPr>
                <w:rFonts w:ascii="Times New Roman" w:hAnsi="Times New Roman"/>
                <w:b w:val="0"/>
                <w:i w:val="0"/>
                <w:sz w:val="22"/>
              </w:rPr>
              <w:t>18</w:t>
            </w:r>
          </w:p>
        </w:tc>
        <w:tc>
          <w:tcPr>
            <w:tcW w:type="dxa" w:w="1568"/>
          </w:tcPr>
          <w:p>
            <w:pPr>
              <w:spacing w:line="260" w:lineRule="exact" w:after="0"/>
            </w:pPr>
            <w:r/>
            <w:r>
              <w:rPr>
                <w:rFonts w:ascii="Times New Roman" w:hAnsi="Times New Roman"/>
                <w:b w:val="0"/>
                <w:i w:val="0"/>
                <w:sz w:val="22"/>
              </w:rPr>
              <w:t>Bauer (2020)</w:t>
            </w:r>
          </w:p>
        </w:tc>
        <w:tc>
          <w:tcPr>
            <w:tcW w:type="dxa" w:w="1568"/>
          </w:tcPr>
          <w:p>
            <w:pPr>
              <w:spacing w:line="260" w:lineRule="exact" w:after="0"/>
            </w:pPr>
            <w:r/>
            <w:r>
              <w:rPr>
                <w:rFonts w:ascii="Times New Roman" w:hAnsi="Times New Roman"/>
                <w:b w:val="0"/>
                <w:i w:val="0"/>
                <w:sz w:val="22"/>
              </w:rPr>
              <w:t>Glossary / consensus definitions</w:t>
            </w:r>
          </w:p>
        </w:tc>
        <w:tc>
          <w:tcPr>
            <w:tcW w:type="dxa" w:w="1568"/>
          </w:tcPr>
          <w:p>
            <w:pPr>
              <w:spacing w:line="260" w:lineRule="exact" w:after="0"/>
            </w:pPr>
            <w:r/>
            <w:r>
              <w:rPr>
                <w:rFonts w:ascii="Times New Roman" w:hAnsi="Times New Roman"/>
                <w:b w:val="0"/>
                <w:i w:val="0"/>
                <w:sz w:val="22"/>
              </w:rPr>
              <w:t>Perioperative process times</w:t>
            </w:r>
          </w:p>
        </w:tc>
        <w:tc>
          <w:tcPr>
            <w:tcW w:type="dxa" w:w="1568"/>
          </w:tcPr>
          <w:p>
            <w:pPr>
              <w:spacing w:line="260" w:lineRule="exact" w:after="0"/>
            </w:pPr>
            <w:r/>
            <w:r>
              <w:rPr>
                <w:rFonts w:ascii="Times New Roman" w:hAnsi="Times New Roman"/>
                <w:b w:val="0"/>
                <w:i w:val="0"/>
                <w:sz w:val="22"/>
              </w:rPr>
              <w:t>Standardised definitions of overtime, utilisation, and related perioperative time intervals</w:t>
            </w:r>
          </w:p>
        </w:tc>
        <w:tc>
          <w:tcPr>
            <w:tcW w:type="dxa" w:w="1568"/>
          </w:tcPr>
          <w:p>
            <w:pPr>
              <w:spacing w:line="260" w:lineRule="exact" w:after="0"/>
            </w:pPr>
            <w:r/>
            <w:r>
              <w:rPr>
                <w:rFonts w:ascii="Times New Roman" w:hAnsi="Times New Roman"/>
                <w:b w:val="0"/>
                <w:i w:val="0"/>
                <w:sz w:val="22"/>
              </w:rPr>
              <w:t>Provides the overtime definition used in this study</w:t>
            </w:r>
          </w:p>
        </w:tc>
      </w:tr>
      <w:tr>
        <w:tc>
          <w:tcPr>
            <w:tcW w:type="dxa" w:w="1568"/>
          </w:tcPr>
          <w:p>
            <w:pPr>
              <w:spacing w:line="260" w:lineRule="exact" w:after="0"/>
            </w:pPr>
            <w:r/>
            <w:r>
              <w:rPr>
                <w:rFonts w:ascii="Times New Roman" w:hAnsi="Times New Roman"/>
                <w:b w:val="0"/>
                <w:i w:val="0"/>
                <w:sz w:val="22"/>
              </w:rPr>
              <w:t>19</w:t>
            </w:r>
          </w:p>
        </w:tc>
        <w:tc>
          <w:tcPr>
            <w:tcW w:type="dxa" w:w="1568"/>
          </w:tcPr>
          <w:p>
            <w:pPr>
              <w:spacing w:line="260" w:lineRule="exact" w:after="0"/>
            </w:pPr>
            <w:r/>
            <w:r>
              <w:rPr>
                <w:rFonts w:ascii="Times New Roman" w:hAnsi="Times New Roman"/>
                <w:b w:val="0"/>
                <w:i w:val="0"/>
                <w:sz w:val="22"/>
              </w:rPr>
              <w:t>Schouten (2023)</w:t>
            </w:r>
          </w:p>
        </w:tc>
        <w:tc>
          <w:tcPr>
            <w:tcW w:type="dxa" w:w="1568"/>
          </w:tcPr>
          <w:p>
            <w:pPr>
              <w:spacing w:line="260" w:lineRule="exact" w:after="0"/>
            </w:pPr>
            <w:r/>
            <w:r>
              <w:rPr>
                <w:rFonts w:ascii="Times New Roman" w:hAnsi="Times New Roman"/>
                <w:b w:val="0"/>
                <w:i w:val="0"/>
                <w:sz w:val="22"/>
              </w:rPr>
              <w:t>Systematic review</w:t>
            </w:r>
          </w:p>
        </w:tc>
        <w:tc>
          <w:tcPr>
            <w:tcW w:type="dxa" w:w="1568"/>
          </w:tcPr>
          <w:p>
            <w:pPr>
              <w:spacing w:line="260" w:lineRule="exact" w:after="0"/>
            </w:pPr>
            <w:r/>
            <w:r>
              <w:rPr>
                <w:rFonts w:ascii="Times New Roman" w:hAnsi="Times New Roman"/>
                <w:b w:val="0"/>
                <w:i w:val="0"/>
                <w:sz w:val="22"/>
              </w:rPr>
              <w:t>52 studies on OR performance metrics</w:t>
            </w:r>
          </w:p>
        </w:tc>
        <w:tc>
          <w:tcPr>
            <w:tcW w:type="dxa" w:w="1568"/>
          </w:tcPr>
          <w:p>
            <w:pPr>
              <w:spacing w:line="260" w:lineRule="exact" w:after="0"/>
            </w:pPr>
            <w:r/>
            <w:r>
              <w:rPr>
                <w:rFonts w:ascii="Times New Roman" w:hAnsi="Times New Roman"/>
                <w:b w:val="0"/>
                <w:i w:val="0"/>
                <w:sz w:val="22"/>
              </w:rPr>
              <w:t>Catalogues OR performance metrics; notes lack of standardisation across studies</w:t>
            </w:r>
          </w:p>
        </w:tc>
        <w:tc>
          <w:tcPr>
            <w:tcW w:type="dxa" w:w="1568"/>
          </w:tcPr>
          <w:p>
            <w:pPr>
              <w:spacing w:line="260" w:lineRule="exact" w:after="0"/>
            </w:pPr>
            <w:r/>
            <w:r>
              <w:rPr>
                <w:rFonts w:ascii="Times New Roman" w:hAnsi="Times New Roman"/>
                <w:b w:val="0"/>
                <w:i w:val="0"/>
                <w:sz w:val="22"/>
              </w:rPr>
              <w:t>Supports the need for valid room-level metrics</w:t>
            </w:r>
          </w:p>
        </w:tc>
      </w:tr>
      <w:tr>
        <w:tc>
          <w:tcPr>
            <w:tcW w:type="dxa" w:w="1568"/>
          </w:tcPr>
          <w:p>
            <w:pPr>
              <w:spacing w:line="260" w:lineRule="exact" w:after="0"/>
            </w:pPr>
            <w:r/>
            <w:r>
              <w:rPr>
                <w:rFonts w:ascii="Times New Roman" w:hAnsi="Times New Roman"/>
                <w:b w:val="0"/>
                <w:i w:val="0"/>
                <w:sz w:val="22"/>
              </w:rPr>
              <w:t>20</w:t>
            </w:r>
          </w:p>
        </w:tc>
        <w:tc>
          <w:tcPr>
            <w:tcW w:type="dxa" w:w="1568"/>
          </w:tcPr>
          <w:p>
            <w:pPr>
              <w:spacing w:line="260" w:lineRule="exact" w:after="0"/>
            </w:pPr>
            <w:r/>
            <w:r>
              <w:rPr>
                <w:rFonts w:ascii="Times New Roman" w:hAnsi="Times New Roman"/>
                <w:b w:val="0"/>
                <w:i w:val="0"/>
                <w:sz w:val="22"/>
              </w:rPr>
              <w:t>Strum (2000)</w:t>
            </w:r>
          </w:p>
        </w:tc>
        <w:tc>
          <w:tcPr>
            <w:tcW w:type="dxa" w:w="1568"/>
          </w:tcPr>
          <w:p>
            <w:pPr>
              <w:spacing w:line="260" w:lineRule="exact" w:after="0"/>
            </w:pPr>
            <w:r/>
            <w:r>
              <w:rPr>
                <w:rFonts w:ascii="Times New Roman" w:hAnsi="Times New Roman"/>
                <w:b w:val="0"/>
                <w:i w:val="0"/>
                <w:sz w:val="22"/>
              </w:rPr>
              <w:t>Methodological study</w:t>
            </w:r>
          </w:p>
        </w:tc>
        <w:tc>
          <w:tcPr>
            <w:tcW w:type="dxa" w:w="1568"/>
          </w:tcPr>
          <w:p>
            <w:pPr>
              <w:spacing w:line="260" w:lineRule="exact" w:after="0"/>
            </w:pPr>
            <w:r/>
            <w:r>
              <w:rPr>
                <w:rFonts w:ascii="Times New Roman" w:hAnsi="Times New Roman"/>
                <w:b w:val="0"/>
                <w:i w:val="0"/>
                <w:sz w:val="22"/>
              </w:rPr>
              <w:t>7,846 cases, surgical duration distributions</w:t>
            </w:r>
          </w:p>
        </w:tc>
        <w:tc>
          <w:tcPr>
            <w:tcW w:type="dxa" w:w="1568"/>
          </w:tcPr>
          <w:p>
            <w:pPr>
              <w:spacing w:line="260" w:lineRule="exact" w:after="0"/>
            </w:pPr>
            <w:r/>
            <w:r>
              <w:rPr>
                <w:rFonts w:ascii="Times New Roman" w:hAnsi="Times New Roman"/>
                <w:b w:val="0"/>
                <w:i w:val="0"/>
                <w:sz w:val="22"/>
              </w:rPr>
              <w:t>Surgical duration follows a log-normal distribution; CV varies by procedure type</w:t>
            </w:r>
          </w:p>
        </w:tc>
        <w:tc>
          <w:tcPr>
            <w:tcW w:type="dxa" w:w="1568"/>
          </w:tcPr>
          <w:p>
            <w:pPr>
              <w:spacing w:line="260" w:lineRule="exact" w:after="0"/>
            </w:pPr>
            <w:r/>
            <w:r>
              <w:rPr>
                <w:rFonts w:ascii="Times New Roman" w:hAnsi="Times New Roman"/>
                <w:b w:val="0"/>
                <w:i w:val="0"/>
                <w:sz w:val="22"/>
              </w:rPr>
              <w:t>Supports the CV-based analysis of planning accuracy</w:t>
            </w:r>
          </w:p>
        </w:tc>
      </w:tr>
      <w:tr>
        <w:tc>
          <w:tcPr>
            <w:tcW w:type="dxa" w:w="1568"/>
          </w:tcPr>
          <w:p>
            <w:pPr>
              <w:spacing w:line="260" w:lineRule="exact" w:after="0"/>
            </w:pPr>
            <w:r/>
            <w:r>
              <w:rPr>
                <w:rFonts w:ascii="Times New Roman" w:hAnsi="Times New Roman"/>
                <w:b w:val="0"/>
                <w:i w:val="0"/>
                <w:sz w:val="22"/>
              </w:rPr>
              <w:t>21</w:t>
            </w:r>
          </w:p>
        </w:tc>
        <w:tc>
          <w:tcPr>
            <w:tcW w:type="dxa" w:w="1568"/>
          </w:tcPr>
          <w:p>
            <w:pPr>
              <w:spacing w:line="260" w:lineRule="exact" w:after="0"/>
            </w:pPr>
            <w:r/>
            <w:r>
              <w:rPr>
                <w:rFonts w:ascii="Times New Roman" w:hAnsi="Times New Roman"/>
                <w:b w:val="0"/>
                <w:i w:val="0"/>
                <w:sz w:val="22"/>
              </w:rPr>
              <w:t>Eijkemans (2010)</w:t>
            </w:r>
          </w:p>
        </w:tc>
        <w:tc>
          <w:tcPr>
            <w:tcW w:type="dxa" w:w="1568"/>
          </w:tcPr>
          <w:p>
            <w:pPr>
              <w:spacing w:line="260" w:lineRule="exact" w:after="0"/>
            </w:pPr>
            <w:r/>
            <w:r>
              <w:rPr>
                <w:rFonts w:ascii="Times New Roman" w:hAnsi="Times New Roman"/>
                <w:b w:val="0"/>
                <w:i w:val="0"/>
                <w:sz w:val="22"/>
              </w:rPr>
              <w:t>Prediction model development</w:t>
            </w:r>
          </w:p>
        </w:tc>
        <w:tc>
          <w:tcPr>
            <w:tcW w:type="dxa" w:w="1568"/>
          </w:tcPr>
          <w:p>
            <w:pPr>
              <w:spacing w:line="260" w:lineRule="exact" w:after="0"/>
            </w:pPr>
            <w:r/>
            <w:r>
              <w:rPr>
                <w:rFonts w:ascii="Times New Roman" w:hAnsi="Times New Roman"/>
                <w:b w:val="0"/>
                <w:i w:val="0"/>
                <w:sz w:val="22"/>
              </w:rPr>
              <w:t>2,709 cases, Erasmus MC</w:t>
            </w:r>
          </w:p>
        </w:tc>
        <w:tc>
          <w:tcPr>
            <w:tcW w:type="dxa" w:w="1568"/>
          </w:tcPr>
          <w:p>
            <w:pPr>
              <w:spacing w:line="260" w:lineRule="exact" w:after="0"/>
            </w:pPr>
            <w:r/>
            <w:r>
              <w:rPr>
                <w:rFonts w:ascii="Times New Roman" w:hAnsi="Times New Roman"/>
                <w:b w:val="0"/>
                <w:i w:val="0"/>
                <w:sz w:val="22"/>
              </w:rPr>
              <w:t>Surgeon-specific historical data improve duration prediction; residual variability remains substantial</w:t>
            </w:r>
          </w:p>
        </w:tc>
        <w:tc>
          <w:tcPr>
            <w:tcW w:type="dxa" w:w="1568"/>
          </w:tcPr>
          <w:p>
            <w:pPr>
              <w:spacing w:line="260" w:lineRule="exact" w:after="0"/>
            </w:pPr>
            <w:r/>
            <w:r>
              <w:rPr>
                <w:rFonts w:ascii="Times New Roman" w:hAnsi="Times New Roman"/>
                <w:b w:val="0"/>
                <w:i w:val="0"/>
                <w:sz w:val="22"/>
              </w:rPr>
              <w:t>Supports the CV-based analysis of planning accuracy</w:t>
            </w:r>
          </w:p>
        </w:tc>
      </w:tr>
      <w:tr>
        <w:tc>
          <w:tcPr>
            <w:tcW w:type="dxa" w:w="1568"/>
          </w:tcPr>
          <w:p>
            <w:pPr>
              <w:spacing w:line="260" w:lineRule="exact" w:after="0"/>
            </w:pPr>
            <w:r/>
            <w:r>
              <w:rPr>
                <w:rFonts w:ascii="Times New Roman" w:hAnsi="Times New Roman"/>
                <w:b w:val="0"/>
                <w:i w:val="0"/>
                <w:sz w:val="22"/>
              </w:rPr>
              <w:t>22</w:t>
            </w:r>
          </w:p>
        </w:tc>
        <w:tc>
          <w:tcPr>
            <w:tcW w:type="dxa" w:w="1568"/>
          </w:tcPr>
          <w:p>
            <w:pPr>
              <w:spacing w:line="260" w:lineRule="exact" w:after="0"/>
            </w:pPr>
            <w:r/>
            <w:r>
              <w:rPr>
                <w:rFonts w:ascii="Times New Roman" w:hAnsi="Times New Roman"/>
                <w:b w:val="0"/>
                <w:i w:val="0"/>
                <w:sz w:val="22"/>
              </w:rPr>
              <w:t>MacMillan (2025)</w:t>
            </w:r>
          </w:p>
        </w:tc>
        <w:tc>
          <w:tcPr>
            <w:tcW w:type="dxa" w:w="1568"/>
          </w:tcPr>
          <w:p>
            <w:pPr>
              <w:spacing w:line="260" w:lineRule="exact" w:after="0"/>
            </w:pPr>
            <w:r/>
            <w:r>
              <w:rPr>
                <w:rFonts w:ascii="Times New Roman" w:hAnsi="Times New Roman"/>
                <w:b w:val="0"/>
                <w:i w:val="0"/>
                <w:sz w:val="22"/>
              </w:rPr>
              <w:t>Systematic review</w:t>
            </w:r>
          </w:p>
        </w:tc>
        <w:tc>
          <w:tcPr>
            <w:tcW w:type="dxa" w:w="1568"/>
          </w:tcPr>
          <w:p>
            <w:pPr>
              <w:spacing w:line="260" w:lineRule="exact" w:after="0"/>
            </w:pPr>
            <w:r/>
            <w:r>
              <w:rPr>
                <w:rFonts w:ascii="Times New Roman" w:hAnsi="Times New Roman"/>
                <w:b w:val="0"/>
                <w:i w:val="0"/>
                <w:sz w:val="22"/>
              </w:rPr>
              <w:t>37 studies on OR turnover time</w:t>
            </w:r>
          </w:p>
        </w:tc>
        <w:tc>
          <w:tcPr>
            <w:tcW w:type="dxa" w:w="1568"/>
          </w:tcPr>
          <w:p>
            <w:pPr>
              <w:spacing w:line="260" w:lineRule="exact" w:after="0"/>
            </w:pPr>
            <w:r/>
            <w:r>
              <w:rPr>
                <w:rFonts w:ascii="Times New Roman" w:hAnsi="Times New Roman"/>
                <w:b w:val="0"/>
                <w:i w:val="0"/>
                <w:sz w:val="22"/>
              </w:rPr>
              <w:t>Maps factors affecting turnover time; median turnover across studies was 25–45 minutes</w:t>
            </w:r>
          </w:p>
        </w:tc>
        <w:tc>
          <w:tcPr>
            <w:tcW w:type="dxa" w:w="1568"/>
          </w:tcPr>
          <w:p>
            <w:pPr>
              <w:spacing w:line="260" w:lineRule="exact" w:after="0"/>
            </w:pPr>
            <w:r/>
            <w:r>
              <w:rPr>
                <w:rFonts w:ascii="Times New Roman" w:hAnsi="Times New Roman"/>
                <w:b w:val="0"/>
                <w:i w:val="0"/>
                <w:sz w:val="22"/>
              </w:rPr>
              <w:t>Contextualises our inter-case idle time findings</w:t>
            </w:r>
          </w:p>
        </w:tc>
      </w:tr>
      <w:tr>
        <w:tc>
          <w:tcPr>
            <w:tcW w:type="dxa" w:w="1568"/>
          </w:tcPr>
          <w:p>
            <w:pPr>
              <w:spacing w:line="260" w:lineRule="exact" w:after="0"/>
            </w:pPr>
            <w:r/>
            <w:r>
              <w:rPr>
                <w:rFonts w:ascii="Times New Roman" w:hAnsi="Times New Roman"/>
                <w:b w:val="0"/>
                <w:i w:val="0"/>
                <w:sz w:val="22"/>
              </w:rPr>
              <w:t>23</w:t>
            </w:r>
          </w:p>
        </w:tc>
        <w:tc>
          <w:tcPr>
            <w:tcW w:type="dxa" w:w="1568"/>
          </w:tcPr>
          <w:p>
            <w:pPr>
              <w:spacing w:line="260" w:lineRule="exact" w:after="0"/>
            </w:pPr>
            <w:r/>
            <w:r>
              <w:rPr>
                <w:rFonts w:ascii="Times New Roman" w:hAnsi="Times New Roman"/>
                <w:b w:val="0"/>
                <w:i w:val="0"/>
                <w:sz w:val="22"/>
              </w:rPr>
              <w:t>Pandit (2012)</w:t>
            </w:r>
          </w:p>
        </w:tc>
        <w:tc>
          <w:tcPr>
            <w:tcW w:type="dxa" w:w="1568"/>
          </w:tcPr>
          <w:p>
            <w:pPr>
              <w:spacing w:line="260" w:lineRule="exact" w:after="0"/>
            </w:pPr>
            <w:r/>
            <w:r>
              <w:rPr>
                <w:rFonts w:ascii="Times New Roman" w:hAnsi="Times New Roman"/>
                <w:b w:val="0"/>
                <w:i w:val="0"/>
                <w:sz w:val="22"/>
              </w:rPr>
              <w:t>Retrospective observational</w:t>
            </w:r>
          </w:p>
        </w:tc>
        <w:tc>
          <w:tcPr>
            <w:tcW w:type="dxa" w:w="1568"/>
          </w:tcPr>
          <w:p>
            <w:pPr>
              <w:spacing w:line="260" w:lineRule="exact" w:after="0"/>
            </w:pPr>
            <w:r/>
            <w:r>
              <w:rPr>
                <w:rFonts w:ascii="Times New Roman" w:hAnsi="Times New Roman"/>
                <w:b w:val="0"/>
                <w:i w:val="0"/>
                <w:sz w:val="22"/>
              </w:rPr>
              <w:t>7,096 operating lists, UK</w:t>
            </w:r>
          </w:p>
        </w:tc>
        <w:tc>
          <w:tcPr>
            <w:tcW w:type="dxa" w:w="1568"/>
          </w:tcPr>
          <w:p>
            <w:pPr>
              <w:spacing w:line="260" w:lineRule="exact" w:after="0"/>
            </w:pPr>
            <w:r/>
            <w:r>
              <w:rPr>
                <w:rFonts w:ascii="Times New Roman" w:hAnsi="Times New Roman"/>
                <w:b w:val="0"/>
                <w:i w:val="0"/>
                <w:sz w:val="22"/>
              </w:rPr>
              <w:t>First-case start time explains only 4–8% of variance in list finish time (R-squared 0.04–0.08)</w:t>
            </w:r>
          </w:p>
        </w:tc>
        <w:tc>
          <w:tcPr>
            <w:tcW w:type="dxa" w:w="1568"/>
          </w:tcPr>
          <w:p>
            <w:pPr>
              <w:spacing w:line="260" w:lineRule="exact" w:after="0"/>
            </w:pPr>
            <w:r/>
            <w:r>
              <w:rPr>
                <w:rFonts w:ascii="Times New Roman" w:hAnsi="Times New Roman"/>
                <w:b w:val="0"/>
                <w:i w:val="0"/>
                <w:sz w:val="22"/>
              </w:rPr>
              <w:t>Supports the FCOTS finding</w:t>
            </w:r>
          </w:p>
        </w:tc>
      </w:tr>
      <w:tr>
        <w:tc>
          <w:tcPr>
            <w:tcW w:type="dxa" w:w="1568"/>
          </w:tcPr>
          <w:p>
            <w:pPr>
              <w:spacing w:line="260" w:lineRule="exact" w:after="0"/>
            </w:pPr>
            <w:r/>
            <w:r>
              <w:rPr>
                <w:rFonts w:ascii="Times New Roman" w:hAnsi="Times New Roman"/>
                <w:b w:val="0"/>
                <w:i w:val="0"/>
                <w:sz w:val="22"/>
              </w:rPr>
              <w:t>24</w:t>
            </w:r>
          </w:p>
        </w:tc>
        <w:tc>
          <w:tcPr>
            <w:tcW w:type="dxa" w:w="1568"/>
          </w:tcPr>
          <w:p>
            <w:pPr>
              <w:spacing w:line="260" w:lineRule="exact" w:after="0"/>
            </w:pPr>
            <w:r/>
            <w:r>
              <w:rPr>
                <w:rFonts w:ascii="Times New Roman" w:hAnsi="Times New Roman"/>
                <w:b w:val="0"/>
                <w:i w:val="0"/>
                <w:sz w:val="22"/>
              </w:rPr>
              <w:t>Zhang (2023)</w:t>
            </w:r>
          </w:p>
        </w:tc>
        <w:tc>
          <w:tcPr>
            <w:tcW w:type="dxa" w:w="1568"/>
          </w:tcPr>
          <w:p>
            <w:pPr>
              <w:spacing w:line="260" w:lineRule="exact" w:after="0"/>
            </w:pPr>
            <w:r/>
            <w:r>
              <w:rPr>
                <w:rFonts w:ascii="Times New Roman" w:hAnsi="Times New Roman"/>
                <w:b w:val="0"/>
                <w:i w:val="0"/>
                <w:sz w:val="22"/>
              </w:rPr>
              <w:t>Editorial / methodological commentary</w:t>
            </w:r>
          </w:p>
        </w:tc>
        <w:tc>
          <w:tcPr>
            <w:tcW w:type="dxa" w:w="1568"/>
          </w:tcPr>
          <w:p>
            <w:pPr>
              <w:spacing w:line="260" w:lineRule="exact" w:after="0"/>
            </w:pPr>
            <w:r/>
            <w:r>
              <w:rPr>
                <w:rFonts w:ascii="Times New Roman" w:hAnsi="Times New Roman"/>
                <w:b w:val="0"/>
                <w:i w:val="0"/>
                <w:sz w:val="22"/>
              </w:rPr>
              <w:t>OR metrics in the UK</w:t>
            </w:r>
          </w:p>
        </w:tc>
        <w:tc>
          <w:tcPr>
            <w:tcW w:type="dxa" w:w="1568"/>
          </w:tcPr>
          <w:p>
            <w:pPr>
              <w:spacing w:line="260" w:lineRule="exact" w:after="0"/>
            </w:pPr>
            <w:r/>
            <w:r>
              <w:rPr>
                <w:rFonts w:ascii="Times New Roman" w:hAnsi="Times New Roman"/>
                <w:b w:val="0"/>
                <w:i w:val="0"/>
                <w:sz w:val="22"/>
              </w:rPr>
              <w:t>Valid room-level metrics are a prerequisite for quality improvement</w:t>
            </w:r>
          </w:p>
        </w:tc>
        <w:tc>
          <w:tcPr>
            <w:tcW w:type="dxa" w:w="1568"/>
          </w:tcPr>
          <w:p>
            <w:pPr>
              <w:spacing w:line="260" w:lineRule="exact" w:after="0"/>
            </w:pPr>
            <w:r/>
            <w:r>
              <w:rPr>
                <w:rFonts w:ascii="Times New Roman" w:hAnsi="Times New Roman"/>
                <w:b w:val="0"/>
                <w:i w:val="0"/>
                <w:sz w:val="22"/>
              </w:rPr>
              <w:t>Supports room-level monitoring recommendation</w:t>
            </w:r>
          </w:p>
        </w:tc>
      </w:tr>
      <w:tr>
        <w:tc>
          <w:tcPr>
            <w:tcW w:type="dxa" w:w="1568"/>
          </w:tcPr>
          <w:p>
            <w:pPr>
              <w:spacing w:line="260" w:lineRule="exact" w:after="0"/>
            </w:pPr>
            <w:r/>
            <w:r>
              <w:rPr>
                <w:rFonts w:ascii="Times New Roman" w:hAnsi="Times New Roman"/>
                <w:b w:val="0"/>
                <w:i w:val="0"/>
                <w:sz w:val="22"/>
              </w:rPr>
              <w:t>25</w:t>
            </w:r>
          </w:p>
        </w:tc>
        <w:tc>
          <w:tcPr>
            <w:tcW w:type="dxa" w:w="1568"/>
          </w:tcPr>
          <w:p>
            <w:pPr>
              <w:spacing w:line="260" w:lineRule="exact" w:after="0"/>
            </w:pPr>
            <w:r/>
            <w:r>
              <w:rPr>
                <w:rFonts w:ascii="Times New Roman" w:hAnsi="Times New Roman"/>
                <w:b w:val="0"/>
                <w:i w:val="0"/>
                <w:sz w:val="22"/>
              </w:rPr>
              <w:t>Dexter (2009)</w:t>
            </w:r>
          </w:p>
        </w:tc>
        <w:tc>
          <w:tcPr>
            <w:tcW w:type="dxa" w:w="1568"/>
          </w:tcPr>
          <w:p>
            <w:pPr>
              <w:spacing w:line="260" w:lineRule="exact" w:after="0"/>
            </w:pPr>
            <w:r/>
            <w:r>
              <w:rPr>
                <w:rFonts w:ascii="Times New Roman" w:hAnsi="Times New Roman"/>
                <w:b w:val="0"/>
                <w:i w:val="0"/>
                <w:sz w:val="22"/>
              </w:rPr>
              <w:t>Decision-analytic model</w:t>
            </w:r>
          </w:p>
        </w:tc>
        <w:tc>
          <w:tcPr>
            <w:tcW w:type="dxa" w:w="1568"/>
          </w:tcPr>
          <w:p>
            <w:pPr>
              <w:spacing w:line="260" w:lineRule="exact" w:after="0"/>
            </w:pPr>
            <w:r/>
            <w:r>
              <w:rPr>
                <w:rFonts w:ascii="Times New Roman" w:hAnsi="Times New Roman"/>
                <w:b w:val="0"/>
                <w:i w:val="0"/>
                <w:sz w:val="22"/>
              </w:rPr>
              <w:t>Marginal cost of tardiness</w:t>
            </w:r>
          </w:p>
        </w:tc>
        <w:tc>
          <w:tcPr>
            <w:tcW w:type="dxa" w:w="1568"/>
          </w:tcPr>
          <w:p>
            <w:pPr>
              <w:spacing w:line="260" w:lineRule="exact" w:after="0"/>
            </w:pPr>
            <w:r/>
            <w:r>
              <w:rPr>
                <w:rFonts w:ascii="Times New Roman" w:hAnsi="Times New Roman"/>
                <w:b w:val="0"/>
                <w:i w:val="0"/>
                <w:sz w:val="22"/>
              </w:rPr>
              <w:t>Each minute of first-case tardiness carries a marginal cost, but the effect is small relative to case-mix variation</w:t>
            </w:r>
          </w:p>
        </w:tc>
        <w:tc>
          <w:tcPr>
            <w:tcW w:type="dxa" w:w="1568"/>
          </w:tcPr>
          <w:p>
            <w:pPr>
              <w:spacing w:line="260" w:lineRule="exact" w:after="0"/>
            </w:pPr>
            <w:r/>
            <w:r>
              <w:rPr>
                <w:rFonts w:ascii="Times New Roman" w:hAnsi="Times New Roman"/>
                <w:b w:val="0"/>
                <w:i w:val="0"/>
                <w:sz w:val="22"/>
              </w:rPr>
              <w:t>Contextualises FCOTS discussion</w:t>
            </w:r>
          </w:p>
        </w:tc>
      </w:tr>
      <w:tr>
        <w:tc>
          <w:tcPr>
            <w:tcW w:type="dxa" w:w="1568"/>
          </w:tcPr>
          <w:p>
            <w:pPr>
              <w:spacing w:line="260" w:lineRule="exact" w:after="0"/>
            </w:pPr>
            <w:r/>
            <w:r>
              <w:rPr>
                <w:rFonts w:ascii="Times New Roman" w:hAnsi="Times New Roman"/>
                <w:b w:val="0"/>
                <w:i w:val="0"/>
                <w:sz w:val="22"/>
              </w:rPr>
              <w:t>26</w:t>
            </w:r>
          </w:p>
        </w:tc>
        <w:tc>
          <w:tcPr>
            <w:tcW w:type="dxa" w:w="1568"/>
          </w:tcPr>
          <w:p>
            <w:pPr>
              <w:spacing w:line="260" w:lineRule="exact" w:after="0"/>
            </w:pPr>
            <w:r/>
            <w:r>
              <w:rPr>
                <w:rFonts w:ascii="Times New Roman" w:hAnsi="Times New Roman"/>
                <w:b w:val="0"/>
                <w:i w:val="0"/>
                <w:sz w:val="22"/>
              </w:rPr>
              <w:t>Wachtel (2009)</w:t>
            </w:r>
          </w:p>
        </w:tc>
        <w:tc>
          <w:tcPr>
            <w:tcW w:type="dxa" w:w="1568"/>
          </w:tcPr>
          <w:p>
            <w:pPr>
              <w:spacing w:line="260" w:lineRule="exact" w:after="0"/>
            </w:pPr>
            <w:r/>
            <w:r>
              <w:rPr>
                <w:rFonts w:ascii="Times New Roman" w:hAnsi="Times New Roman"/>
                <w:b w:val="0"/>
                <w:i w:val="0"/>
                <w:sz w:val="22"/>
              </w:rPr>
              <w:t>Retrospective observational</w:t>
            </w:r>
          </w:p>
        </w:tc>
        <w:tc>
          <w:tcPr>
            <w:tcW w:type="dxa" w:w="1568"/>
          </w:tcPr>
          <w:p>
            <w:pPr>
              <w:spacing w:line="260" w:lineRule="exact" w:after="0"/>
            </w:pPr>
            <w:r/>
            <w:r>
              <w:rPr>
                <w:rFonts w:ascii="Times New Roman" w:hAnsi="Times New Roman"/>
                <w:b w:val="0"/>
                <w:i w:val="0"/>
                <w:sz w:val="22"/>
              </w:rPr>
              <w:t>Large US OR dataset</w:t>
            </w:r>
          </w:p>
        </w:tc>
        <w:tc>
          <w:tcPr>
            <w:tcW w:type="dxa" w:w="1568"/>
          </w:tcPr>
          <w:p>
            <w:pPr>
              <w:spacing w:line="260" w:lineRule="exact" w:after="0"/>
            </w:pPr>
            <w:r/>
            <w:r>
              <w:rPr>
                <w:rFonts w:ascii="Times New Roman" w:hAnsi="Times New Roman"/>
                <w:b w:val="0"/>
                <w:i w:val="0"/>
                <w:sz w:val="22"/>
              </w:rPr>
              <w:t>Tardiness accumulates through the day as duration uncertainty compounds across sequential cases</w:t>
            </w:r>
          </w:p>
        </w:tc>
        <w:tc>
          <w:tcPr>
            <w:tcW w:type="dxa" w:w="1568"/>
          </w:tcPr>
          <w:p>
            <w:pPr>
              <w:spacing w:line="260" w:lineRule="exact" w:after="0"/>
            </w:pPr>
            <w:r/>
            <w:r>
              <w:rPr>
                <w:rFonts w:ascii="Times New Roman" w:hAnsi="Times New Roman"/>
                <w:b w:val="0"/>
                <w:i w:val="0"/>
                <w:sz w:val="22"/>
              </w:rPr>
              <w:t>Supports planning-accuracy discussion</w:t>
            </w:r>
          </w:p>
        </w:tc>
      </w:tr>
      <w:tr>
        <w:tc>
          <w:tcPr>
            <w:tcW w:type="dxa" w:w="1568"/>
          </w:tcPr>
          <w:p>
            <w:pPr>
              <w:spacing w:line="260" w:lineRule="exact" w:after="0"/>
            </w:pPr>
            <w:r/>
            <w:r>
              <w:rPr>
                <w:rFonts w:ascii="Times New Roman" w:hAnsi="Times New Roman"/>
                <w:b w:val="0"/>
                <w:i w:val="0"/>
                <w:sz w:val="22"/>
              </w:rPr>
              <w:t>27</w:t>
            </w:r>
          </w:p>
        </w:tc>
        <w:tc>
          <w:tcPr>
            <w:tcW w:type="dxa" w:w="1568"/>
          </w:tcPr>
          <w:p>
            <w:pPr>
              <w:spacing w:line="260" w:lineRule="exact" w:after="0"/>
            </w:pPr>
            <w:r/>
            <w:r>
              <w:rPr>
                <w:rFonts w:ascii="Times New Roman" w:hAnsi="Times New Roman"/>
                <w:b w:val="0"/>
                <w:i w:val="0"/>
                <w:sz w:val="22"/>
              </w:rPr>
              <w:t>Fugener (2017)</w:t>
            </w:r>
          </w:p>
        </w:tc>
        <w:tc>
          <w:tcPr>
            <w:tcW w:type="dxa" w:w="1568"/>
          </w:tcPr>
          <w:p>
            <w:pPr>
              <w:spacing w:line="260" w:lineRule="exact" w:after="0"/>
            </w:pPr>
            <w:r/>
            <w:r>
              <w:rPr>
                <w:rFonts w:ascii="Times New Roman" w:hAnsi="Times New Roman"/>
                <w:b w:val="0"/>
                <w:i w:val="0"/>
                <w:sz w:val="22"/>
              </w:rPr>
              <w:t>Behavioural experiment and retrospective analysis</w:t>
            </w:r>
          </w:p>
        </w:tc>
        <w:tc>
          <w:tcPr>
            <w:tcW w:type="dxa" w:w="1568"/>
          </w:tcPr>
          <w:p>
            <w:pPr>
              <w:spacing w:line="260" w:lineRule="exact" w:after="0"/>
            </w:pPr>
            <w:r/>
            <w:r>
              <w:rPr>
                <w:rFonts w:ascii="Times New Roman" w:hAnsi="Times New Roman"/>
                <w:b w:val="0"/>
                <w:i w:val="0"/>
                <w:sz w:val="22"/>
              </w:rPr>
              <w:t>German hospital OR data</w:t>
            </w:r>
          </w:p>
        </w:tc>
        <w:tc>
          <w:tcPr>
            <w:tcW w:type="dxa" w:w="1568"/>
          </w:tcPr>
          <w:p>
            <w:pPr>
              <w:spacing w:line="260" w:lineRule="exact" w:after="0"/>
            </w:pPr>
            <w:r/>
            <w:r>
              <w:rPr>
                <w:rFonts w:ascii="Times New Roman" w:hAnsi="Times New Roman"/>
                <w:b w:val="0"/>
                <w:i w:val="0"/>
                <w:sz w:val="22"/>
              </w:rPr>
              <w:t>Surgeons systematically underestimate durations for complex cases; bias compounds across a list</w:t>
            </w:r>
          </w:p>
        </w:tc>
        <w:tc>
          <w:tcPr>
            <w:tcW w:type="dxa" w:w="1568"/>
          </w:tcPr>
          <w:p>
            <w:pPr>
              <w:spacing w:line="260" w:lineRule="exact" w:after="0"/>
            </w:pPr>
            <w:r/>
            <w:r>
              <w:rPr>
                <w:rFonts w:ascii="Times New Roman" w:hAnsi="Times New Roman"/>
                <w:b w:val="0"/>
                <w:i w:val="0"/>
                <w:sz w:val="22"/>
              </w:rPr>
              <w:t>Supports planning-accuracy discussion</w:t>
            </w:r>
          </w:p>
        </w:tc>
      </w:tr>
      <w:tr>
        <w:tc>
          <w:tcPr>
            <w:tcW w:type="dxa" w:w="1568"/>
          </w:tcPr>
          <w:p>
            <w:pPr>
              <w:spacing w:line="260" w:lineRule="exact" w:after="0"/>
            </w:pPr>
            <w:r/>
            <w:r>
              <w:rPr>
                <w:rFonts w:ascii="Times New Roman" w:hAnsi="Times New Roman"/>
                <w:b w:val="0"/>
                <w:i w:val="0"/>
                <w:sz w:val="22"/>
              </w:rPr>
              <w:t>28</w:t>
            </w:r>
          </w:p>
        </w:tc>
        <w:tc>
          <w:tcPr>
            <w:tcW w:type="dxa" w:w="1568"/>
          </w:tcPr>
          <w:p>
            <w:pPr>
              <w:spacing w:line="260" w:lineRule="exact" w:after="0"/>
            </w:pPr>
            <w:r/>
            <w:r>
              <w:rPr>
                <w:rFonts w:ascii="Times New Roman" w:hAnsi="Times New Roman"/>
                <w:b w:val="0"/>
                <w:i w:val="0"/>
                <w:sz w:val="22"/>
              </w:rPr>
              <w:t>Meewisse (2024)</w:t>
            </w:r>
          </w:p>
        </w:tc>
        <w:tc>
          <w:tcPr>
            <w:tcW w:type="dxa" w:w="1568"/>
          </w:tcPr>
          <w:p>
            <w:pPr>
              <w:spacing w:line="260" w:lineRule="exact" w:after="0"/>
            </w:pPr>
            <w:r/>
            <w:r>
              <w:rPr>
                <w:rFonts w:ascii="Times New Roman" w:hAnsi="Times New Roman"/>
                <w:b w:val="0"/>
                <w:i w:val="0"/>
                <w:sz w:val="22"/>
              </w:rPr>
              <w:t>Systematic review</w:t>
            </w:r>
          </w:p>
        </w:tc>
        <w:tc>
          <w:tcPr>
            <w:tcW w:type="dxa" w:w="1568"/>
          </w:tcPr>
          <w:p>
            <w:pPr>
              <w:spacing w:line="260" w:lineRule="exact" w:after="0"/>
            </w:pPr>
            <w:r/>
            <w:r>
              <w:rPr>
                <w:rFonts w:ascii="Times New Roman" w:hAnsi="Times New Roman"/>
                <w:b w:val="0"/>
                <w:i w:val="0"/>
                <w:sz w:val="22"/>
              </w:rPr>
              <w:t>Elective non-cardiac surgery, multiple studies</w:t>
            </w:r>
          </w:p>
        </w:tc>
        <w:tc>
          <w:tcPr>
            <w:tcW w:type="dxa" w:w="1568"/>
          </w:tcPr>
          <w:p>
            <w:pPr>
              <w:spacing w:line="260" w:lineRule="exact" w:after="0"/>
            </w:pPr>
            <w:r/>
            <w:r>
              <w:rPr>
                <w:rFonts w:ascii="Times New Roman" w:hAnsi="Times New Roman"/>
                <w:b w:val="0"/>
                <w:i w:val="0"/>
                <w:sz w:val="22"/>
              </w:rPr>
              <w:t>Evening and night procedures associated with higher mortality and morbidity; low quality of evidence</w:t>
            </w:r>
          </w:p>
        </w:tc>
        <w:tc>
          <w:tcPr>
            <w:tcW w:type="dxa" w:w="1568"/>
          </w:tcPr>
          <w:p>
            <w:pPr>
              <w:spacing w:line="260" w:lineRule="exact" w:after="0"/>
            </w:pPr>
            <w:r/>
            <w:r>
              <w:rPr>
                <w:rFonts w:ascii="Times New Roman" w:hAnsi="Times New Roman"/>
                <w:b w:val="0"/>
                <w:i w:val="0"/>
                <w:sz w:val="22"/>
              </w:rPr>
              <w:t>Strengthens after-hours harm evidence</w:t>
            </w:r>
          </w:p>
        </w:tc>
      </w:tr>
      <w:tr>
        <w:tc>
          <w:tcPr>
            <w:tcW w:type="dxa" w:w="1568"/>
          </w:tcPr>
          <w:p>
            <w:pPr>
              <w:spacing w:line="260" w:lineRule="exact" w:after="0"/>
            </w:pPr>
            <w:r/>
            <w:r>
              <w:rPr>
                <w:rFonts w:ascii="Times New Roman" w:hAnsi="Times New Roman"/>
                <w:b w:val="0"/>
                <w:i w:val="0"/>
                <w:sz w:val="22"/>
              </w:rPr>
              <w:t>29</w:t>
            </w:r>
          </w:p>
        </w:tc>
        <w:tc>
          <w:tcPr>
            <w:tcW w:type="dxa" w:w="1568"/>
          </w:tcPr>
          <w:p>
            <w:pPr>
              <w:spacing w:line="260" w:lineRule="exact" w:after="0"/>
            </w:pPr>
            <w:r/>
            <w:r>
              <w:rPr>
                <w:rFonts w:ascii="Times New Roman" w:hAnsi="Times New Roman"/>
                <w:b w:val="0"/>
                <w:i w:val="0"/>
                <w:sz w:val="22"/>
              </w:rPr>
              <w:t>Charlesworth (2020)</w:t>
            </w:r>
          </w:p>
        </w:tc>
        <w:tc>
          <w:tcPr>
            <w:tcW w:type="dxa" w:w="1568"/>
          </w:tcPr>
          <w:p>
            <w:pPr>
              <w:spacing w:line="260" w:lineRule="exact" w:after="0"/>
            </w:pPr>
            <w:r/>
            <w:r>
              <w:rPr>
                <w:rFonts w:ascii="Times New Roman" w:hAnsi="Times New Roman"/>
                <w:b w:val="0"/>
                <w:i w:val="0"/>
                <w:sz w:val="22"/>
              </w:rPr>
              <w:t>Methodological review</w:t>
            </w:r>
          </w:p>
        </w:tc>
        <w:tc>
          <w:tcPr>
            <w:tcW w:type="dxa" w:w="1568"/>
          </w:tcPr>
          <w:p>
            <w:pPr>
              <w:spacing w:line="260" w:lineRule="exact" w:after="0"/>
            </w:pPr>
            <w:r/>
            <w:r>
              <w:rPr>
                <w:rFonts w:ascii="Times New Roman" w:hAnsi="Times New Roman"/>
                <w:b w:val="0"/>
                <w:i w:val="0"/>
                <w:sz w:val="22"/>
              </w:rPr>
              <w:t>NHS theatre performance metrics</w:t>
            </w:r>
          </w:p>
        </w:tc>
        <w:tc>
          <w:tcPr>
            <w:tcW w:type="dxa" w:w="1568"/>
          </w:tcPr>
          <w:p>
            <w:pPr>
              <w:spacing w:line="260" w:lineRule="exact" w:after="0"/>
            </w:pPr>
            <w:r/>
            <w:r>
              <w:rPr>
                <w:rFonts w:ascii="Times New Roman" w:hAnsi="Times New Roman"/>
                <w:b w:val="0"/>
                <w:i w:val="0"/>
                <w:sz w:val="22"/>
              </w:rPr>
              <w:t>Standard metrics (start time, utilisation) are unreliable in isolation; balanced, list-aware metrics needed</w:t>
            </w:r>
          </w:p>
        </w:tc>
        <w:tc>
          <w:tcPr>
            <w:tcW w:type="dxa" w:w="1568"/>
          </w:tcPr>
          <w:p>
            <w:pPr>
              <w:spacing w:line="260" w:lineRule="exact" w:after="0"/>
            </w:pPr>
            <w:r/>
            <w:r>
              <w:rPr>
                <w:rFonts w:ascii="Times New Roman" w:hAnsi="Times New Roman"/>
                <w:b w:val="0"/>
                <w:i w:val="0"/>
                <w:sz w:val="22"/>
              </w:rPr>
              <w:t>Supports argument against aggregate metrics</w:t>
            </w:r>
          </w:p>
        </w:tc>
      </w:tr>
      <w:tr>
        <w:tc>
          <w:tcPr>
            <w:tcW w:type="dxa" w:w="1568"/>
          </w:tcPr>
          <w:p>
            <w:pPr>
              <w:spacing w:line="260" w:lineRule="exact" w:after="0"/>
            </w:pPr>
            <w:r/>
            <w:r>
              <w:rPr>
                <w:rFonts w:ascii="Times New Roman" w:hAnsi="Times New Roman"/>
                <w:b w:val="0"/>
                <w:i w:val="0"/>
                <w:sz w:val="22"/>
              </w:rPr>
              <w:t>30</w:t>
            </w:r>
          </w:p>
        </w:tc>
        <w:tc>
          <w:tcPr>
            <w:tcW w:type="dxa" w:w="1568"/>
          </w:tcPr>
          <w:p>
            <w:pPr>
              <w:spacing w:line="260" w:lineRule="exact" w:after="0"/>
            </w:pPr>
            <w:r/>
            <w:r>
              <w:rPr>
                <w:rFonts w:ascii="Times New Roman" w:hAnsi="Times New Roman"/>
                <w:b w:val="0"/>
                <w:i w:val="0"/>
                <w:sz w:val="22"/>
              </w:rPr>
              <w:t>Parmar (2022)</w:t>
            </w:r>
          </w:p>
        </w:tc>
        <w:tc>
          <w:tcPr>
            <w:tcW w:type="dxa" w:w="1568"/>
          </w:tcPr>
          <w:p>
            <w:pPr>
              <w:spacing w:line="260" w:lineRule="exact" w:after="0"/>
            </w:pPr>
            <w:r/>
            <w:r>
              <w:rPr>
                <w:rFonts w:ascii="Times New Roman" w:hAnsi="Times New Roman"/>
                <w:b w:val="0"/>
                <w:i w:val="0"/>
                <w:sz w:val="22"/>
              </w:rPr>
              <w:t>Retrospective observational with graphical method</w:t>
            </w:r>
          </w:p>
        </w:tc>
        <w:tc>
          <w:tcPr>
            <w:tcW w:type="dxa" w:w="1568"/>
          </w:tcPr>
          <w:p>
            <w:pPr>
              <w:spacing w:line="260" w:lineRule="exact" w:after="0"/>
            </w:pPr>
            <w:r/>
            <w:r>
              <w:rPr>
                <w:rFonts w:ascii="Times New Roman" w:hAnsi="Times New Roman"/>
                <w:b w:val="0"/>
                <w:i w:val="0"/>
                <w:sz w:val="22"/>
              </w:rPr>
              <w:t>Emergency surgical lists, UK</w:t>
            </w:r>
          </w:p>
        </w:tc>
        <w:tc>
          <w:tcPr>
            <w:tcW w:type="dxa" w:w="1568"/>
          </w:tcPr>
          <w:p>
            <w:pPr>
              <w:spacing w:line="260" w:lineRule="exact" w:after="0"/>
            </w:pPr>
            <w:r/>
            <w:r>
              <w:rPr>
                <w:rFonts w:ascii="Times New Roman" w:hAnsi="Times New Roman"/>
                <w:b w:val="0"/>
                <w:i w:val="0"/>
                <w:sz w:val="22"/>
              </w:rPr>
              <w:t>Proposes a method for identifying insufficient emergency capacity from delay and utilisation patterns</w:t>
            </w:r>
          </w:p>
        </w:tc>
        <w:tc>
          <w:tcPr>
            <w:tcW w:type="dxa" w:w="1568"/>
          </w:tcPr>
          <w:p>
            <w:pPr>
              <w:spacing w:line="260" w:lineRule="exact" w:after="0"/>
            </w:pPr>
            <w:r/>
            <w:r>
              <w:rPr>
                <w:rFonts w:ascii="Times New Roman" w:hAnsi="Times New Roman"/>
                <w:b w:val="0"/>
                <w:i w:val="0"/>
                <w:sz w:val="22"/>
              </w:rPr>
              <w:t>Supports urgent-elective capacity discussion</w:t>
            </w:r>
          </w:p>
        </w:tc>
      </w:tr>
    </w:tbl>
    <w:p>
      <w:pPr>
        <w:spacing w:line="120" w:lineRule="exact"/>
      </w:pP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exact"/>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