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operating-room overtime concentrates and why: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Belgium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Standardised glossaries of perioperative process times define overrun and utilisation relative to allocated operating-room capacity.</w:t>
      </w:r>
      <w:r>
        <w:rPr>
          <w:rFonts w:ascii="Times New Roman" w:hAnsi="Times New Roman"/>
          <w:sz w:val="24"/>
          <w:vertAlign w:val="superscript"/>
        </w:rPr>
        <w:t>18</w:t>
      </w:r>
      <w:r>
        <w:rPr>
          <w:rFonts w:ascii="Times New Roman" w:hAnsi="Times New Roman"/>
          <w:b w:val="0"/>
          <w:i w:val="0"/>
          <w:sz w:val="24"/>
        </w:rPr>
        <w:t xml:space="preserve"> We instead define overtime against the staffing boundary, because the change of nursing staff at each shift end is the operational event that gives overtime its meaning at this site.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pooling 18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for 90-day mortality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into staff fatigue cited a Medical Defence Union survey of 481 doctors in which 22% reported daily sleep deprivation and 35% said tiredness had impaired their ability to treat patients, with long shifts and overtime among the contributing factors.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Workflow disruptions consume a substantial share of operating time,</w:t>
      </w:r>
      <w:r>
        <w:rPr>
          <w:rFonts w:ascii="Times New Roman" w:hAnsi="Times New Roman"/>
          <w:sz w:val="24"/>
          <w:vertAlign w:val="superscript"/>
        </w:rPr>
        <w:t>15</w:t>
      </w:r>
      <w:r>
        <w:rPr>
          <w:rFonts w:ascii="Times New Roman" w:hAnsi="Times New Roman"/>
          <w:b w:val="0"/>
          <w:i w:val="0"/>
          <w:sz w:val="24"/>
        </w:rPr>
        <w:t xml:space="preserve"> and minor disruptions can escalate into major ones.</w:t>
      </w:r>
      <w:r>
        <w:rPr>
          <w:rFonts w:ascii="Times New Roman" w:hAnsi="Times New Roman"/>
          <w:sz w:val="24"/>
          <w:vertAlign w:val="superscript"/>
        </w:rPr>
        <w:t>14</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we derived observed duration, planning deviation, and start-time deviation following standard perioperative process-time definitions,</w:t>
      </w:r>
      <w:r>
        <w:rPr>
          <w:rFonts w:ascii="Times New Roman" w:hAnsi="Times New Roman"/>
          <w:sz w:val="24"/>
          <w:vertAlign w:val="superscript"/>
        </w:rPr>
        <w:t>18</w:t>
      </w:r>
      <w:r>
        <w:rPr>
          <w:rFonts w:ascii="Times New Roman" w:hAnsi="Times New Roman"/>
          <w:b w:val="0"/>
          <w:i w:val="0"/>
          <w:sz w:val="24"/>
        </w:rPr>
        <w:t xml:space="preserve"> and additionally defined an overtime flag and overtime minutes, a room-swap flag, and a shift label (defined below).</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surgical cases performed on 60,895 unique patients across 18 operating rooms between January 2022 and May 2025 (Table 1). Cases covered 1,276 distinct procedure types performed by 195 surgeons and 207 anaesthesiologists. The urgency mix was 85.4% elective and 14.6% urgent (non-elective), 42.3% of cases were ambulatory, and almost all activity (96.1%) fell on weekdays. Annual volume grew from 22,133 in 2022 to 23,738 in 2024, with 9,906 cases recorded through May 2025.</w:t>
      </w:r>
    </w:p>
    <w:p>
      <w:pPr>
        <w:spacing w:after="120" w:before="0" w:line="480" w:lineRule="exact"/>
        <w:jc w:val="left"/>
      </w:pPr>
      <w:r>
        <w:rPr>
          <w:rFonts w:ascii="Times New Roman" w:hAnsi="Times New Roman"/>
          <w:b/>
          <w:sz w:val="24"/>
        </w:rPr>
        <w:t>Table 1. Study cohort characteristics.</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Characteristic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Surgical cases</w:t>
            </w:r>
          </w:p>
        </w:tc>
        <w:tc>
          <w:tcPr>
            <w:tcW w:type="dxa" w:w="4703"/>
          </w:tcPr>
          <w:p>
            <w:pPr>
              <w:spacing w:line="260" w:lineRule="exact" w:after="0"/>
            </w:pPr>
            <w:r/>
            <w:r>
              <w:rPr>
                <w:rFonts w:ascii="Times New Roman" w:hAnsi="Times New Roman"/>
                <w:b w:val="0"/>
                <w:i w:val="0"/>
                <w:sz w:val="22"/>
              </w:rPr>
              <w:t>79,352</w:t>
            </w:r>
          </w:p>
        </w:tc>
      </w:tr>
      <w:tr>
        <w:tc>
          <w:tcPr>
            <w:tcW w:type="dxa" w:w="4703"/>
          </w:tcPr>
          <w:p>
            <w:pPr>
              <w:spacing w:line="260" w:lineRule="exact" w:after="0"/>
            </w:pPr>
            <w:r/>
            <w:r>
              <w:rPr>
                <w:rFonts w:ascii="Times New Roman" w:hAnsi="Times New Roman"/>
                <w:b w:val="0"/>
                <w:i w:val="0"/>
                <w:sz w:val="22"/>
              </w:rPr>
              <w:t>Unique patients</w:t>
            </w:r>
          </w:p>
        </w:tc>
        <w:tc>
          <w:tcPr>
            <w:tcW w:type="dxa" w:w="4703"/>
          </w:tcPr>
          <w:p>
            <w:pPr>
              <w:spacing w:line="260" w:lineRule="exact" w:after="0"/>
            </w:pPr>
            <w:r/>
            <w:r>
              <w:rPr>
                <w:rFonts w:ascii="Times New Roman" w:hAnsi="Times New Roman"/>
                <w:b w:val="0"/>
                <w:i w:val="0"/>
                <w:sz w:val="22"/>
              </w:rPr>
              <w:t>60,895</w:t>
            </w:r>
          </w:p>
        </w:tc>
      </w:tr>
      <w:tr>
        <w:tc>
          <w:tcPr>
            <w:tcW w:type="dxa" w:w="4703"/>
          </w:tcPr>
          <w:p>
            <w:pPr>
              <w:spacing w:line="260" w:lineRule="exact" w:after="0"/>
            </w:pPr>
            <w:r/>
            <w:r>
              <w:rPr>
                <w:rFonts w:ascii="Times New Roman" w:hAnsi="Times New Roman"/>
                <w:b w:val="0"/>
                <w:i w:val="0"/>
                <w:sz w:val="22"/>
              </w:rPr>
              <w:t>Surgical operating rooms</w:t>
            </w:r>
          </w:p>
        </w:tc>
        <w:tc>
          <w:tcPr>
            <w:tcW w:type="dxa" w:w="4703"/>
          </w:tcPr>
          <w:p>
            <w:pPr>
              <w:spacing w:line="260" w:lineRule="exact" w:after="0"/>
            </w:pPr>
            <w:r/>
            <w:r>
              <w:rPr>
                <w:rFonts w:ascii="Times New Roman" w:hAnsi="Times New Roman"/>
                <w:b w:val="0"/>
                <w:i w:val="0"/>
                <w:sz w:val="22"/>
              </w:rPr>
              <w:t>18</w:t>
            </w:r>
          </w:p>
        </w:tc>
      </w:tr>
      <w:tr>
        <w:tc>
          <w:tcPr>
            <w:tcW w:type="dxa" w:w="4703"/>
          </w:tcPr>
          <w:p>
            <w:pPr>
              <w:spacing w:line="260" w:lineRule="exact" w:after="0"/>
            </w:pPr>
            <w:r/>
            <w:r>
              <w:rPr>
                <w:rFonts w:ascii="Times New Roman" w:hAnsi="Times New Roman"/>
                <w:b w:val="0"/>
                <w:i w:val="0"/>
                <w:sz w:val="22"/>
              </w:rPr>
              <w:t>Distinct procedure types</w:t>
            </w:r>
          </w:p>
        </w:tc>
        <w:tc>
          <w:tcPr>
            <w:tcW w:type="dxa" w:w="4703"/>
          </w:tcPr>
          <w:p>
            <w:pPr>
              <w:spacing w:line="260" w:lineRule="exact" w:after="0"/>
            </w:pPr>
            <w:r/>
            <w:r>
              <w:rPr>
                <w:rFonts w:ascii="Times New Roman" w:hAnsi="Times New Roman"/>
                <w:b w:val="0"/>
                <w:i w:val="0"/>
                <w:sz w:val="22"/>
              </w:rPr>
              <w:t>1,276</w:t>
            </w:r>
          </w:p>
        </w:tc>
      </w:tr>
      <w:tr>
        <w:tc>
          <w:tcPr>
            <w:tcW w:type="dxa" w:w="4703"/>
          </w:tcPr>
          <w:p>
            <w:pPr>
              <w:spacing w:line="260" w:lineRule="exact" w:after="0"/>
            </w:pPr>
            <w:r/>
            <w:r>
              <w:rPr>
                <w:rFonts w:ascii="Times New Roman" w:hAnsi="Times New Roman"/>
                <w:b w:val="0"/>
                <w:i w:val="0"/>
                <w:sz w:val="22"/>
              </w:rPr>
              <w:t>Surgeons</w:t>
            </w:r>
          </w:p>
        </w:tc>
        <w:tc>
          <w:tcPr>
            <w:tcW w:type="dxa" w:w="4703"/>
          </w:tcPr>
          <w:p>
            <w:pPr>
              <w:spacing w:line="260" w:lineRule="exact" w:after="0"/>
            </w:pPr>
            <w:r/>
            <w:r>
              <w:rPr>
                <w:rFonts w:ascii="Times New Roman" w:hAnsi="Times New Roman"/>
                <w:b w:val="0"/>
                <w:i w:val="0"/>
                <w:sz w:val="22"/>
              </w:rPr>
              <w:t>195</w:t>
            </w:r>
          </w:p>
        </w:tc>
      </w:tr>
      <w:tr>
        <w:tc>
          <w:tcPr>
            <w:tcW w:type="dxa" w:w="4703"/>
          </w:tcPr>
          <w:p>
            <w:pPr>
              <w:spacing w:line="260" w:lineRule="exact" w:after="0"/>
            </w:pPr>
            <w:r/>
            <w:r>
              <w:rPr>
                <w:rFonts w:ascii="Times New Roman" w:hAnsi="Times New Roman"/>
                <w:b w:val="0"/>
                <w:i w:val="0"/>
                <w:sz w:val="22"/>
              </w:rPr>
              <w:t>Anaesthesiologists</w:t>
            </w:r>
          </w:p>
        </w:tc>
        <w:tc>
          <w:tcPr>
            <w:tcW w:type="dxa" w:w="4703"/>
          </w:tcPr>
          <w:p>
            <w:pPr>
              <w:spacing w:line="260" w:lineRule="exact" w:after="0"/>
            </w:pPr>
            <w:r/>
            <w:r>
              <w:rPr>
                <w:rFonts w:ascii="Times New Roman" w:hAnsi="Times New Roman"/>
                <w:b w:val="0"/>
                <w:i w:val="0"/>
                <w:sz w:val="22"/>
              </w:rPr>
              <w:t>207</w:t>
            </w:r>
          </w:p>
        </w:tc>
      </w:tr>
      <w:tr>
        <w:tc>
          <w:tcPr>
            <w:tcW w:type="dxa" w:w="4703"/>
          </w:tcPr>
          <w:p>
            <w:pPr>
              <w:spacing w:line="260" w:lineRule="exact" w:after="0"/>
            </w:pPr>
            <w:r/>
            <w:r>
              <w:rPr>
                <w:rFonts w:ascii="Times New Roman" w:hAnsi="Times New Roman"/>
                <w:b w:val="0"/>
                <w:i w:val="0"/>
                <w:sz w:val="22"/>
              </w:rPr>
              <w:t>Study period</w:t>
            </w:r>
          </w:p>
        </w:tc>
        <w:tc>
          <w:tcPr>
            <w:tcW w:type="dxa" w:w="4703"/>
          </w:tcPr>
          <w:p>
            <w:pPr>
              <w:spacing w:line="260" w:lineRule="exact" w:after="0"/>
            </w:pPr>
            <w:r/>
            <w:r>
              <w:rPr>
                <w:rFonts w:ascii="Times New Roman" w:hAnsi="Times New Roman"/>
                <w:b w:val="0"/>
                <w:i w:val="0"/>
                <w:sz w:val="22"/>
              </w:rPr>
              <w:t>January 2022 – May 2025</w:t>
            </w:r>
          </w:p>
        </w:tc>
      </w:tr>
      <w:tr>
        <w:tc>
          <w:tcPr>
            <w:tcW w:type="dxa" w:w="4703"/>
          </w:tcPr>
          <w:p>
            <w:pPr>
              <w:spacing w:line="260" w:lineRule="exact" w:after="0"/>
            </w:pPr>
            <w:r/>
            <w:r>
              <w:rPr>
                <w:rFonts w:ascii="Times New Roman" w:hAnsi="Times New Roman"/>
                <w:b/>
                <w:sz w:val="22"/>
              </w:rPr>
              <w:t>Admission type</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Ambulatory (day surgery)</w:t>
            </w:r>
          </w:p>
        </w:tc>
        <w:tc>
          <w:tcPr>
            <w:tcW w:type="dxa" w:w="4703"/>
          </w:tcPr>
          <w:p>
            <w:pPr>
              <w:spacing w:line="260" w:lineRule="exact" w:after="0"/>
            </w:pPr>
            <w:r/>
            <w:r>
              <w:rPr>
                <w:rFonts w:ascii="Times New Roman" w:hAnsi="Times New Roman"/>
                <w:b w:val="0"/>
                <w:i w:val="0"/>
                <w:sz w:val="22"/>
              </w:rPr>
              <w:t>33,566 (42.3)</w:t>
            </w:r>
          </w:p>
        </w:tc>
      </w:tr>
      <w:tr>
        <w:tc>
          <w:tcPr>
            <w:tcW w:type="dxa" w:w="4703"/>
          </w:tcPr>
          <w:p>
            <w:pPr>
              <w:spacing w:line="260" w:lineRule="exact" w:after="0"/>
            </w:pPr>
            <w:r/>
            <w:r>
              <w:rPr>
                <w:rFonts w:ascii="Times New Roman" w:hAnsi="Times New Roman"/>
                <w:b w:val="0"/>
                <w:i w:val="0"/>
                <w:sz w:val="22"/>
              </w:rPr>
              <w:t>Inpatient</w:t>
            </w:r>
          </w:p>
        </w:tc>
        <w:tc>
          <w:tcPr>
            <w:tcW w:type="dxa" w:w="4703"/>
          </w:tcPr>
          <w:p>
            <w:pPr>
              <w:spacing w:line="260" w:lineRule="exact" w:after="0"/>
            </w:pPr>
            <w:r/>
            <w:r>
              <w:rPr>
                <w:rFonts w:ascii="Times New Roman" w:hAnsi="Times New Roman"/>
                <w:b w:val="0"/>
                <w:i w:val="0"/>
                <w:sz w:val="22"/>
              </w:rPr>
              <w:t>45,786 (57.7)</w:t>
            </w:r>
          </w:p>
        </w:tc>
      </w:tr>
      <w:tr>
        <w:tc>
          <w:tcPr>
            <w:tcW w:type="dxa" w:w="4703"/>
          </w:tcPr>
          <w:p>
            <w:pPr>
              <w:spacing w:line="260" w:lineRule="exact" w:after="0"/>
            </w:pPr>
            <w:r/>
            <w:r>
              <w:rPr>
                <w:rFonts w:ascii="Times New Roman" w:hAnsi="Times New Roman"/>
                <w:b/>
                <w:sz w:val="22"/>
              </w:rPr>
              <w:t>Urgency</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Elective</w:t>
            </w:r>
          </w:p>
        </w:tc>
        <w:tc>
          <w:tcPr>
            <w:tcW w:type="dxa" w:w="4703"/>
          </w:tcPr>
          <w:p>
            <w:pPr>
              <w:spacing w:line="260" w:lineRule="exact" w:after="0"/>
            </w:pPr>
            <w:r/>
            <w:r>
              <w:rPr>
                <w:rFonts w:ascii="Times New Roman" w:hAnsi="Times New Roman"/>
                <w:b w:val="0"/>
                <w:i w:val="0"/>
                <w:sz w:val="22"/>
              </w:rPr>
              <w:t>67,736 (85.4)</w:t>
            </w:r>
          </w:p>
        </w:tc>
      </w:tr>
      <w:tr>
        <w:tc>
          <w:tcPr>
            <w:tcW w:type="dxa" w:w="4703"/>
          </w:tcPr>
          <w:p>
            <w:pPr>
              <w:spacing w:line="260" w:lineRule="exact" w:after="0"/>
            </w:pPr>
            <w:r/>
            <w:r>
              <w:rPr>
                <w:rFonts w:ascii="Times New Roman" w:hAnsi="Times New Roman"/>
                <w:b w:val="0"/>
                <w:i w:val="0"/>
                <w:sz w:val="22"/>
              </w:rPr>
              <w:t>Urgent (non-elective)</w:t>
            </w:r>
          </w:p>
        </w:tc>
        <w:tc>
          <w:tcPr>
            <w:tcW w:type="dxa" w:w="4703"/>
          </w:tcPr>
          <w:p>
            <w:pPr>
              <w:spacing w:line="260" w:lineRule="exact" w:after="0"/>
            </w:pPr>
            <w:r/>
            <w:r>
              <w:rPr>
                <w:rFonts w:ascii="Times New Roman" w:hAnsi="Times New Roman"/>
                <w:b w:val="0"/>
                <w:i w:val="0"/>
                <w:sz w:val="22"/>
              </w:rPr>
              <w:t>11,616 (14.6)</w:t>
            </w:r>
          </w:p>
        </w:tc>
      </w:tr>
      <w:tr>
        <w:tc>
          <w:tcPr>
            <w:tcW w:type="dxa" w:w="4703"/>
          </w:tcPr>
          <w:p>
            <w:pPr>
              <w:spacing w:line="260" w:lineRule="exact" w:after="0"/>
            </w:pPr>
            <w:r/>
            <w:r>
              <w:rPr>
                <w:rFonts w:ascii="Times New Roman" w:hAnsi="Times New Roman"/>
                <w:b/>
                <w:sz w:val="22"/>
              </w:rPr>
              <w:t>Timing</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Weekday</w:t>
            </w:r>
          </w:p>
        </w:tc>
        <w:tc>
          <w:tcPr>
            <w:tcW w:type="dxa" w:w="4703"/>
          </w:tcPr>
          <w:p>
            <w:pPr>
              <w:spacing w:line="260" w:lineRule="exact" w:after="0"/>
            </w:pPr>
            <w:r/>
            <w:r>
              <w:rPr>
                <w:rFonts w:ascii="Times New Roman" w:hAnsi="Times New Roman"/>
                <w:b w:val="0"/>
                <w:i w:val="0"/>
                <w:sz w:val="22"/>
              </w:rPr>
              <w:t>76,255 (96.1)</w:t>
            </w:r>
          </w:p>
        </w:tc>
      </w:tr>
      <w:tr>
        <w:tc>
          <w:tcPr>
            <w:tcW w:type="dxa" w:w="4703"/>
          </w:tcPr>
          <w:p>
            <w:pPr>
              <w:spacing w:line="260" w:lineRule="exact" w:after="0"/>
            </w:pPr>
            <w:r/>
            <w:r>
              <w:rPr>
                <w:rFonts w:ascii="Times New Roman" w:hAnsi="Times New Roman"/>
                <w:b w:val="0"/>
                <w:i w:val="0"/>
                <w:sz w:val="22"/>
              </w:rPr>
              <w:t>Weekend</w:t>
            </w:r>
          </w:p>
        </w:tc>
        <w:tc>
          <w:tcPr>
            <w:tcW w:type="dxa" w:w="4703"/>
          </w:tcPr>
          <w:p>
            <w:pPr>
              <w:spacing w:line="260" w:lineRule="exact" w:after="0"/>
            </w:pPr>
            <w:r/>
            <w:r>
              <w:rPr>
                <w:rFonts w:ascii="Times New Roman" w:hAnsi="Times New Roman"/>
                <w:b w:val="0"/>
                <w:i w:val="0"/>
                <w:sz w:val="22"/>
              </w:rPr>
              <w:t>3,097 (3.9)</w:t>
            </w:r>
          </w:p>
        </w:tc>
      </w:tr>
      <w:tr>
        <w:tc>
          <w:tcPr>
            <w:tcW w:type="dxa" w:w="4703"/>
          </w:tcPr>
          <w:p>
            <w:pPr>
              <w:spacing w:line="260" w:lineRule="exact" w:after="0"/>
            </w:pPr>
            <w:r/>
            <w:r>
              <w:rPr>
                <w:rFonts w:ascii="Times New Roman" w:hAnsi="Times New Roman"/>
                <w:b/>
                <w:sz w:val="22"/>
              </w:rPr>
              <w:t>Cases by year</w:t>
            </w:r>
            <w:r>
              <w:rPr>
                <w:rFonts w:ascii="Times New Roman" w:hAnsi="Times New Roman"/>
                <w:b w:val="0"/>
                <w:i w:val="0"/>
                <w:sz w:val="22"/>
              </w:rPr>
              <w:t>, n</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2022</w:t>
            </w:r>
          </w:p>
        </w:tc>
        <w:tc>
          <w:tcPr>
            <w:tcW w:type="dxa" w:w="4703"/>
          </w:tcPr>
          <w:p>
            <w:pPr>
              <w:spacing w:line="260" w:lineRule="exact" w:after="0"/>
            </w:pPr>
            <w:r/>
            <w:r>
              <w:rPr>
                <w:rFonts w:ascii="Times New Roman" w:hAnsi="Times New Roman"/>
                <w:b w:val="0"/>
                <w:i w:val="0"/>
                <w:sz w:val="22"/>
              </w:rPr>
              <w:t>22,133</w:t>
            </w:r>
          </w:p>
        </w:tc>
      </w:tr>
      <w:tr>
        <w:tc>
          <w:tcPr>
            <w:tcW w:type="dxa" w:w="4703"/>
          </w:tcPr>
          <w:p>
            <w:pPr>
              <w:spacing w:line="260" w:lineRule="exact" w:after="0"/>
            </w:pPr>
            <w:r/>
            <w:r>
              <w:rPr>
                <w:rFonts w:ascii="Times New Roman" w:hAnsi="Times New Roman"/>
                <w:b w:val="0"/>
                <w:i w:val="0"/>
                <w:sz w:val="22"/>
              </w:rPr>
              <w:t>2023</w:t>
            </w:r>
          </w:p>
        </w:tc>
        <w:tc>
          <w:tcPr>
            <w:tcW w:type="dxa" w:w="4703"/>
          </w:tcPr>
          <w:p>
            <w:pPr>
              <w:spacing w:line="260" w:lineRule="exact" w:after="0"/>
            </w:pPr>
            <w:r/>
            <w:r>
              <w:rPr>
                <w:rFonts w:ascii="Times New Roman" w:hAnsi="Times New Roman"/>
                <w:b w:val="0"/>
                <w:i w:val="0"/>
                <w:sz w:val="22"/>
              </w:rPr>
              <w:t>23,575</w:t>
            </w:r>
          </w:p>
        </w:tc>
      </w:tr>
      <w:tr>
        <w:tc>
          <w:tcPr>
            <w:tcW w:type="dxa" w:w="4703"/>
          </w:tcPr>
          <w:p>
            <w:pPr>
              <w:spacing w:line="260" w:lineRule="exact" w:after="0"/>
            </w:pPr>
            <w:r/>
            <w:r>
              <w:rPr>
                <w:rFonts w:ascii="Times New Roman" w:hAnsi="Times New Roman"/>
                <w:b w:val="0"/>
                <w:i w:val="0"/>
                <w:sz w:val="22"/>
              </w:rPr>
              <w:t>2024</w:t>
            </w:r>
          </w:p>
        </w:tc>
        <w:tc>
          <w:tcPr>
            <w:tcW w:type="dxa" w:w="4703"/>
          </w:tcPr>
          <w:p>
            <w:pPr>
              <w:spacing w:line="260" w:lineRule="exact" w:after="0"/>
            </w:pPr>
            <w:r/>
            <w:r>
              <w:rPr>
                <w:rFonts w:ascii="Times New Roman" w:hAnsi="Times New Roman"/>
                <w:b w:val="0"/>
                <w:i w:val="0"/>
                <w:sz w:val="22"/>
              </w:rPr>
              <w:t>23,738</w:t>
            </w:r>
          </w:p>
        </w:tc>
      </w:tr>
      <w:tr>
        <w:tc>
          <w:tcPr>
            <w:tcW w:type="dxa" w:w="4703"/>
          </w:tcPr>
          <w:p>
            <w:pPr>
              <w:spacing w:line="260" w:lineRule="exact" w:after="0"/>
            </w:pPr>
            <w:r/>
            <w:r>
              <w:rPr>
                <w:rFonts w:ascii="Times New Roman" w:hAnsi="Times New Roman"/>
                <w:b w:val="0"/>
                <w:i w:val="0"/>
                <w:sz w:val="22"/>
              </w:rPr>
              <w:t>2025*</w:t>
            </w:r>
          </w:p>
        </w:tc>
        <w:tc>
          <w:tcPr>
            <w:tcW w:type="dxa" w:w="4703"/>
          </w:tcPr>
          <w:p>
            <w:pPr>
              <w:spacing w:line="260" w:lineRule="exact" w:after="0"/>
            </w:pPr>
            <w:r/>
            <w:r>
              <w:rPr>
                <w:rFonts w:ascii="Times New Roman" w:hAnsi="Times New Roman"/>
                <w:b w:val="0"/>
                <w:i w:val="0"/>
                <w:sz w:val="22"/>
              </w:rPr>
              <w:t>9,906</w:t>
            </w:r>
          </w:p>
        </w:tc>
      </w:tr>
    </w:tbl>
    <w:p>
      <w:pPr>
        <w:spacing w:line="120" w:lineRule="exact"/>
      </w:pP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2A).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2B).</w:t>
      </w:r>
    </w:p>
    <w:p>
      <w:pPr>
        <w:spacing w:after="120" w:before="0" w:line="480" w:lineRule="exact"/>
        <w:jc w:val="left"/>
      </w:pPr>
      <w:r>
        <w:rPr>
          <w:rFonts w:ascii="Times New Roman" w:hAnsi="Times New Roman"/>
          <w:b/>
          <w:sz w:val="24"/>
        </w:rPr>
        <w:t>Table 2A.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2B.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before="120" w:after="120"/>
        <w:jc w:val="center"/>
      </w:pPr>
      <w:r>
        <w:drawing>
          <wp:inline xmlns:a="http://schemas.openxmlformats.org/drawingml/2006/main" xmlns:pic="http://schemas.openxmlformats.org/drawingml/2006/picture">
            <wp:extent cx="5486400" cy="368184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681844"/>
                    </a:xfrm>
                    <a:prstGeom prst="rect"/>
                  </pic:spPr>
                </pic:pic>
              </a:graphicData>
            </a:graphic>
          </wp:inline>
        </w:drawing>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3A),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3B).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3A.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3B.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 common assumption is that punctual starts, and the first case of the day in particular (first-case-on-time-start, FCOTS), protect the end of the list. Across all cases and rooms, 67.4% started later than planned, with a mean delay of 74.6 minutes and a median of 28 minutes among late cases. We tested a broad version of this hypothesis by correlating each room's late-start rate, computed across all scheduled cases rather than first cases alone, with its overtime rate. The two were not associated (Spearman rho = −0.29, p = 0.24), and the direction was if anything negative. OR10 had the lowest late-start rate of all 18 rooms (46.1%) but the highest overtime rate (32.9%), while OR14 started late more often (78.7%) yet ran the least overtime (3.5%). Start-time punctuality therefore did not track where overtime accumulated.</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(the gap between one case's room-out and the next case's room-in, akin to turnover time</w:t>
      </w:r>
      <w:r>
        <w:rPr>
          <w:rFonts w:ascii="Times New Roman" w:hAnsi="Times New Roman"/>
          <w:sz w:val="24"/>
          <w:vertAlign w:val="superscript"/>
        </w:rPr>
        <w:t>22</w:t>
      </w:r>
      <w:r>
        <w:rPr>
          <w:rFonts w:ascii="Times New Roman" w:hAnsi="Times New Roman"/>
          <w:b w:val="0"/>
          <w:i w:val="0"/>
          <w:sz w:val="24"/>
        </w:rPr>
        <w:t>) had a median of 8 minutes and a mean of 9.9 minutes.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Because the procedures with the largest planning deviations and longest planned durations were concentrated in the highest-overtime rooms, case-mix complexity rather than scheduling inefficiency alone most likely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under uncertainty.</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The absence of a link between per-room punctuality and overtime runs against the assumption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Pandit et al. found the same disconnect across more than 7,000 operating lists, where start time explained only 4 to 8% of the variance in finish time.</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hospital,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because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should be treated as a routine scheduling input rather than an exception: given how often urgent and elective work collide, dedicating additional capacity or buffering the elective programme against predictable disruption is more realistic than reactive rescheduling. Start-time compliance, while reasonable to pursue on other grounds, should not be expected to reduce overtime.</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anonymised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K, Takeda C.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2025;80(5):596-7.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Luo Q,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2025;8(4):e252875.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Auhuber TC, Kraus R, et al. The German perioperative procedural time glossary: a joint recommendation by the BDA, BDC, VOPM, VOPMÖ, ÖGARI and SFOPM (2020 edition). </w:t>
      </w:r>
      <w:r>
        <w:rPr>
          <w:rFonts w:ascii="Times New Roman" w:hAnsi="Times New Roman"/>
          <w:i/>
          <w:sz w:val="24"/>
        </w:rPr>
        <w:t>Anästh Intensivmed</w:t>
      </w:r>
      <w:r>
        <w:rPr>
          <w:rFonts w:ascii="Times New Roman" w:hAnsi="Times New Roman"/>
          <w:b w:val="0"/>
          <w:i w:val="0"/>
          <w:sz w:val="24"/>
        </w:rPr>
        <w:t xml:space="preserve"> 2020;61:516-31. DOI: 10.19224/ai2020.516.</w:t>
      </w:r>
    </w:p>
    <w:p>
      <w:pPr>
        <w:spacing w:after="60" w:before="0" w:line="480" w:lineRule="exact"/>
        <w:jc w:val="left"/>
      </w:pPr>
      <w:r>
        <w:rPr>
          <w:rFonts w:ascii="Times New Roman" w:hAnsi="Times New Roman"/>
          <w:b w:val="0"/>
          <w:i w:val="0"/>
          <w:sz w:val="24"/>
        </w:rPr>
        <w:t xml:space="preserve">19. Schouten AM,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characteristics and the surgeon's estimate.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FIGURES</w:t>
      </w:r>
    </w:p>
    <w:p>
      <w:pPr>
        <w:spacing w:after="120" w:before="0" w:line="480" w:lineRule="exact"/>
        <w:jc w:val="left"/>
      </w:pPr>
      <w:r>
        <w:rPr>
          <w:rFonts w:ascii="Times New Roman" w:hAnsi="Times New Roman"/>
          <w:b/>
          <w:sz w:val="24"/>
        </w:rPr>
        <w:t>Supplementary Figure S1.</w:t>
      </w:r>
      <w:r>
        <w:rPr>
          <w:rFonts w:ascii="Times New Roman" w:hAnsi="Times New Roman"/>
          <w:b w:val="0"/>
          <w:i w:val="0"/>
          <w:sz w:val="24"/>
        </w:rPr>
        <w:t xml:space="preserve"> Timing of overtime case completions. Distribution of room-out times for the 7,729 overtime cases. More than half of completions fall in the 16:30 to 17:30 window immediately after the day-shift handover, with a long tail decaying through the evening and overnight.</w:t>
      </w:r>
    </w:p>
    <w:p>
      <w:pPr>
        <w:spacing w:before="120" w:after="120"/>
        <w:jc w:val="center"/>
      </w:pPr>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5486400" cy="2708476"/>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