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3,044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higher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in a diminishing pool of open rooms with nursing personnel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We analyse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utilisation,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We also computed Spearman rank correlations across the 18 rooms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their planned time, with a mean delay of 74.6 minutes and a median of 28 minutes among late cases. At the room level, late-start rate showed no significant correlation with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higher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programme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At the room level,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Start-time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