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48"/>
        </w:rPr>
        <w:t>CareOn Product &amp; Design Constitution v1.2</w:t>
      </w:r>
    </w:p>
    <w:p>
      <w:r>
        <w:rPr>
          <w:color w:val="475569"/>
          <w:sz w:val="22"/>
        </w:rPr>
        <w:t>Single source of truth for product logic, workflow, UX, copy and visual design.</w:t>
      </w:r>
    </w:p>
    <w:p/>
    <w:p>
      <w:pPr>
        <w:pStyle w:val="Heading1"/>
      </w:pPr>
      <w:r>
        <w:t>1. Purpose</w:t>
      </w:r>
    </w:p>
    <w:p>
      <w:r>
        <w:t>CareOn is an operational control layer for care allocation under scarcity. It helps municipalities, providers and coordinators reduce uncertainty, speed up decisions and preserve trust in constrained care systems.</w:t>
      </w:r>
    </w:p>
    <w:p>
      <w:r>
        <w:t>CareOn is not a generic SaaS dashboard, KPI cockpit or admin tool. It should feel like calm operational infrastructure for humane care coordination.</w:t>
      </w:r>
    </w:p>
    <w:p>
      <w:pPr>
        <w:pStyle w:val="Heading1"/>
      </w:pPr>
      <w:r>
        <w:t>2. North Star</w:t>
      </w:r>
    </w:p>
    <w:p>
      <w:pPr>
        <w:pStyle w:val="ListBullet"/>
      </w:pPr>
      <w:r>
        <w:t>Better decisions in constrained systems.</w:t>
      </w:r>
    </w:p>
    <w:p>
      <w:pPr>
        <w:pStyle w:val="ListBullet"/>
      </w:pPr>
      <w:r>
        <w:t>Reduced inefficiency in the care allocation chain.</w:t>
      </w:r>
    </w:p>
    <w:p>
      <w:pPr>
        <w:pStyle w:val="ListBullet"/>
      </w:pPr>
      <w:r>
        <w:t>Clear ownership of every next action.</w:t>
      </w:r>
    </w:p>
    <w:p>
      <w:pPr>
        <w:pStyle w:val="ListBullet"/>
      </w:pPr>
      <w:r>
        <w:t>Trusted, explainable progression from request to placement.</w:t>
      </w:r>
    </w:p>
    <w:p>
      <w:pPr>
        <w:pStyle w:val="Heading1"/>
      </w:pPr>
      <w:r>
        <w:t>3. Canonical Operational Workflow</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F3F0FF"/>
          </w:tcPr>
          <w:p>
            <w:r/>
            <w:r>
              <w:rPr>
                <w:b/>
                <w:sz w:val="18"/>
              </w:rPr>
              <w:t>Aanmelding</w:t>
            </w:r>
          </w:p>
        </w:tc>
        <w:tc>
          <w:tcPr>
            <w:tcW w:type="dxa" w:w="2016"/>
            <w:vAlign w:val="center"/>
            <w:shd w:fill="F8FAFC"/>
          </w:tcPr>
          <w:p>
            <w:r/>
            <w:r>
              <w:rPr>
                <w:b/>
                <w:sz w:val="18"/>
              </w:rPr>
              <w:t>Matching</w:t>
            </w:r>
          </w:p>
        </w:tc>
        <w:tc>
          <w:tcPr>
            <w:tcW w:type="dxa" w:w="2016"/>
            <w:vAlign w:val="center"/>
            <w:shd w:fill="F8FAFC"/>
          </w:tcPr>
          <w:p>
            <w:r/>
            <w:r>
              <w:rPr>
                <w:b/>
                <w:sz w:val="18"/>
              </w:rPr>
              <w:t>Aanbiederreactie</w:t>
            </w:r>
          </w:p>
        </w:tc>
        <w:tc>
          <w:tcPr>
            <w:tcW w:type="dxa" w:w="2016"/>
            <w:vAlign w:val="center"/>
            <w:shd w:fill="F8FAFC"/>
          </w:tcPr>
          <w:p>
            <w:r/>
            <w:r>
              <w:rPr>
                <w:b/>
                <w:sz w:val="18"/>
              </w:rPr>
              <w:t>Plaatsing</w:t>
            </w:r>
          </w:p>
        </w:tc>
        <w:tc>
          <w:tcPr>
            <w:tcW w:type="dxa" w:w="2016"/>
            <w:vAlign w:val="center"/>
            <w:shd w:fill="F8FAFC"/>
          </w:tcPr>
          <w:p>
            <w:r/>
            <w:r>
              <w:rPr>
                <w:b/>
                <w:sz w:val="18"/>
              </w:rPr>
              <w:t>Intake</w:t>
            </w:r>
          </w:p>
        </w:tc>
      </w:tr>
    </w:tbl>
    <w:p>
      <w:pPr>
        <w:pStyle w:val="CareCallout"/>
      </w:pPr>
      <w:r>
        <w:t>Canonical workflow: Aanmelding → Matching → Aanbiederreactie → Plaatsing → Intake</w:t>
      </w:r>
    </w:p>
    <w:p>
      <w:r>
        <w:t>This is the primary visible workflow throughout the product. Do not add Samenvatting, Gemeente Validatie or Beoordeling as primary phases unless a separate approved workflow explicitly requires it.</w:t>
      </w:r>
    </w:p>
    <w:p>
      <w:pPr>
        <w:pStyle w:val="Heading2"/>
      </w:pPr>
      <w:r>
        <w:t>3.1 Phase Definitions</w:t>
      </w:r>
    </w:p>
    <w:tbl>
      <w:tblPr>
        <w:tblStyle w:val="TableGrid"/>
        <w:tblW w:type="auto" w:w="0"/>
        <w:jc w:val="center"/>
        <w:tblLook w:firstColumn="1" w:firstRow="1" w:lastColumn="0" w:lastRow="0" w:noHBand="0" w:noVBand="1" w:val="04A0"/>
      </w:tblPr>
      <w:tblGrid>
        <w:gridCol w:w="5040"/>
        <w:gridCol w:w="5040"/>
      </w:tblGrid>
      <w:tr>
        <w:tc>
          <w:tcPr>
            <w:tcW w:type="dxa" w:w="5040"/>
            <w:shd w:fill="EDE9FE"/>
          </w:tcPr>
          <w:p>
            <w:r/>
            <w:r>
              <w:rPr>
                <w:b/>
                <w:sz w:val="18"/>
              </w:rPr>
              <w:t>Phase</w:t>
            </w:r>
          </w:p>
        </w:tc>
        <w:tc>
          <w:tcPr>
            <w:tcW w:type="dxa" w:w="5040"/>
            <w:shd w:fill="EDE9FE"/>
          </w:tcPr>
          <w:p>
            <w:r/>
            <w:r>
              <w:rPr>
                <w:b/>
                <w:sz w:val="18"/>
              </w:rPr>
              <w:t>Meaning</w:t>
            </w:r>
          </w:p>
        </w:tc>
      </w:tr>
      <w:tr>
        <w:tc>
          <w:tcPr>
            <w:tcW w:type="dxa" w:w="5040"/>
          </w:tcPr>
          <w:p>
            <w:r/>
            <w:r>
              <w:rPr>
                <w:b/>
                <w:sz w:val="18"/>
              </w:rPr>
              <w:t>Aanmelding</w:t>
            </w:r>
          </w:p>
        </w:tc>
        <w:tc>
          <w:tcPr>
            <w:tcW w:type="dxa" w:w="5040"/>
          </w:tcPr>
          <w:p>
            <w:r/>
            <w:r>
              <w:rPr>
                <w:b w:val="0"/>
                <w:sz w:val="18"/>
              </w:rPr>
              <w:t>A care request is created, checked and completed. Missing information is requested before matching can start.</w:t>
            </w:r>
          </w:p>
        </w:tc>
      </w:tr>
      <w:tr>
        <w:tc>
          <w:tcPr>
            <w:tcW w:type="dxa" w:w="5040"/>
          </w:tcPr>
          <w:p>
            <w:r/>
            <w:r>
              <w:rPr>
                <w:b/>
                <w:sz w:val="18"/>
              </w:rPr>
              <w:t>Matching</w:t>
            </w:r>
          </w:p>
        </w:tc>
        <w:tc>
          <w:tcPr>
            <w:tcW w:type="dxa" w:w="5040"/>
          </w:tcPr>
          <w:p>
            <w:r/>
            <w:r>
              <w:rPr>
                <w:b w:val="0"/>
                <w:sz w:val="18"/>
              </w:rPr>
              <w:t>CareOn suggests suitable providers based on need, region, availability, urgency and constraints. Matching remains advisory and should explain trade-offs.</w:t>
            </w:r>
          </w:p>
        </w:tc>
      </w:tr>
      <w:tr>
        <w:tc>
          <w:tcPr>
            <w:tcW w:type="dxa" w:w="5040"/>
          </w:tcPr>
          <w:p>
            <w:r/>
            <w:r>
              <w:rPr>
                <w:b/>
                <w:sz w:val="18"/>
              </w:rPr>
              <w:t>Aanbiederreactie</w:t>
            </w:r>
          </w:p>
        </w:tc>
        <w:tc>
          <w:tcPr>
            <w:tcW w:type="dxa" w:w="5040"/>
          </w:tcPr>
          <w:p>
            <w:r/>
            <w:r>
              <w:rPr>
                <w:b w:val="0"/>
                <w:sz w:val="18"/>
              </w:rPr>
              <w:t>The selected provider receives the request and can approve, reject or request additional information.</w:t>
            </w:r>
          </w:p>
        </w:tc>
      </w:tr>
      <w:tr>
        <w:tc>
          <w:tcPr>
            <w:tcW w:type="dxa" w:w="5040"/>
          </w:tcPr>
          <w:p>
            <w:r/>
            <w:r>
              <w:rPr>
                <w:b/>
                <w:sz w:val="18"/>
              </w:rPr>
              <w:t>Plaatsing</w:t>
            </w:r>
          </w:p>
        </w:tc>
        <w:tc>
          <w:tcPr>
            <w:tcW w:type="dxa" w:w="5040"/>
          </w:tcPr>
          <w:p>
            <w:r/>
            <w:r>
              <w:rPr>
                <w:b w:val="0"/>
                <w:sz w:val="18"/>
              </w:rPr>
              <w:t>After provider approval, the placement is confirmed, coordinated and prepared.</w:t>
            </w:r>
          </w:p>
        </w:tc>
      </w:tr>
      <w:tr>
        <w:tc>
          <w:tcPr>
            <w:tcW w:type="dxa" w:w="5040"/>
          </w:tcPr>
          <w:p>
            <w:r/>
            <w:r>
              <w:rPr>
                <w:b/>
                <w:sz w:val="18"/>
              </w:rPr>
              <w:t>Intake</w:t>
            </w:r>
          </w:p>
        </w:tc>
        <w:tc>
          <w:tcPr>
            <w:tcW w:type="dxa" w:w="5040"/>
          </w:tcPr>
          <w:p>
            <w:r/>
            <w:r>
              <w:rPr>
                <w:b w:val="0"/>
                <w:sz w:val="18"/>
              </w:rPr>
              <w:t>The intake is planned and completed after placement.</w:t>
            </w:r>
          </w:p>
        </w:tc>
      </w:tr>
    </w:tbl>
    <w:p>
      <w:pPr>
        <w:pStyle w:val="Heading2"/>
      </w:pPr>
      <w:r>
        <w:t>3.2 Samenvatting Rule</w:t>
      </w:r>
    </w:p>
    <w:p>
      <w:r>
        <w:t>Samenvatting is not a workflow phase. It is a system-generated support artifact or status inside Aanmelding or Matching. It may be shown as “Samenvatting automatisch verwerkt”, “Casusoverzicht gereed” or similar, but it must not appear in the primary phase navigation.</w:t>
      </w:r>
    </w:p>
    <w:p>
      <w:pPr>
        <w:pStyle w:val="Heading2"/>
      </w:pPr>
      <w:r>
        <w:t>3.3 Validation Rule</w:t>
      </w:r>
    </w:p>
    <w:p>
      <w:r>
        <w:t>Gemeente Validatie is not a default primary phase. If legal, municipal or budget approval is required, model it as a decision, task or approval status inside the relevant phase. Do not expose it as a standard top-level phase unless the product owner explicitly approves a separate approval workflow.</w:t>
      </w:r>
    </w:p>
    <w:p>
      <w:pPr>
        <w:pStyle w:val="Heading1"/>
      </w:pPr>
      <w:r>
        <w:t>4. Page Archetypes</w:t>
      </w:r>
    </w:p>
    <w:p>
      <w:pPr>
        <w:pStyle w:val="Heading2"/>
      </w:pPr>
      <w:r>
        <w:t>4.1 Regiekamer</w:t>
      </w:r>
    </w:p>
    <w:p>
      <w:r>
        <w:t>Purpose: operational triage, bottleneck visibility and next-best-action orchestration. The Regiekamer may show the full five-phase workflow: Aanmelding, Matching, Aanbiederreactie, Plaatsing, Intake.</w:t>
      </w:r>
    </w:p>
    <w:p>
      <w:pPr>
        <w:pStyle w:val="Heading2"/>
      </w:pPr>
      <w:r>
        <w:t>4.2 Aanmeldingen</w:t>
      </w:r>
    </w:p>
    <w:p>
      <w:r>
        <w:t>Purpose: registration and intake-of-request work. This page should not show the full lifecycle as dominant navigation. It should focus on aanmelding statuses: Alle aanmeldingen, Onvolledig, Wacht op aanmelder, Klaar voor matching, Archief.</w:t>
      </w:r>
    </w:p>
    <w:p>
      <w:pPr>
        <w:pStyle w:val="Heading2"/>
      </w:pPr>
      <w:r>
        <w:t>4.3 Matching</w:t>
      </w:r>
    </w:p>
    <w:p>
      <w:r>
        <w:t>Purpose: compare provider options, explain recommendation trade-offs and select a provider to receive the request.</w:t>
      </w:r>
    </w:p>
    <w:p>
      <w:pPr>
        <w:pStyle w:val="Heading2"/>
      </w:pPr>
      <w:r>
        <w:t>4.4 Reacties</w:t>
      </w:r>
    </w:p>
    <w:p>
      <w:r>
        <w:t>Purpose: manage provider approvals, rejections and requests for additional information.</w:t>
      </w:r>
    </w:p>
    <w:p>
      <w:pPr>
        <w:pStyle w:val="Heading2"/>
      </w:pPr>
      <w:r>
        <w:t>4.5 Plaatsingen</w:t>
      </w:r>
    </w:p>
    <w:p>
      <w:r>
        <w:t>Purpose: confirm placement, coordinate start details and transition toward intake.</w:t>
      </w:r>
    </w:p>
    <w:p>
      <w:pPr>
        <w:pStyle w:val="Heading1"/>
      </w:pPr>
      <w:r>
        <w:t>5. Next Best Action Principle</w:t>
      </w:r>
    </w:p>
    <w:p>
      <w:r>
        <w:t>Every operational screen must answer: what needs attention now, why is it blocked, and what is the next best action?</w:t>
      </w:r>
    </w:p>
    <w:p>
      <w:pPr>
        <w:pStyle w:val="ListBullet"/>
      </w:pPr>
      <w:r>
        <w:t>Use one dominant CTA per work surface.</w:t>
      </w:r>
    </w:p>
    <w:p>
      <w:pPr>
        <w:pStyle w:val="ListBullet"/>
      </w:pPr>
      <w:r>
        <w:t>Do not create competing primary buttons.</w:t>
      </w:r>
    </w:p>
    <w:p>
      <w:pPr>
        <w:pStyle w:val="ListBullet"/>
      </w:pPr>
      <w:r>
        <w:t>Do not expose system automation as a manual CTA.</w:t>
      </w:r>
    </w:p>
    <w:p>
      <w:pPr>
        <w:pStyle w:val="ListBullet"/>
      </w:pPr>
      <w:r>
        <w:t>Do not use vague labels such as “Bekijk aandacht” or “Analyseer proces”.</w:t>
      </w:r>
    </w:p>
    <w:p>
      <w:pPr>
        <w:pStyle w:val="Heading1"/>
      </w:pPr>
      <w:r>
        <w:t>6. Visual Design System</w:t>
      </w:r>
    </w:p>
    <w:p>
      <w:r>
        <w:t>The visual identity should be calm, premium, operational, trustworthy, modern, restrained and deliberate.</w:t>
      </w:r>
    </w:p>
    <w:p>
      <w:pPr>
        <w:pStyle w:val="Heading2"/>
      </w:pPr>
      <w:r>
        <w:t>6.1 Color</w:t>
      </w:r>
    </w:p>
    <w:p>
      <w:pPr>
        <w:pStyle w:val="ListBullet"/>
      </w:pPr>
      <w:r>
        <w:t>Primary background: deep navy / near-black, never pure black.</w:t>
      </w:r>
    </w:p>
    <w:p>
      <w:pPr>
        <w:pStyle w:val="ListBullet"/>
      </w:pPr>
      <w:r>
        <w:t>Accent: restrained purple glow for primary actions, active states and focus hierarchy.</w:t>
      </w:r>
    </w:p>
    <w:p>
      <w:pPr>
        <w:pStyle w:val="ListBullet"/>
      </w:pPr>
      <w:r>
        <w:t>Warning: warm muted amber/orange for pending attention.</w:t>
      </w:r>
    </w:p>
    <w:p>
      <w:pPr>
        <w:pStyle w:val="ListBullet"/>
      </w:pPr>
      <w:r>
        <w:t>Critical: muted red for blockers and escalation.</w:t>
      </w:r>
    </w:p>
    <w:p>
      <w:pPr>
        <w:pStyle w:val="ListBullet"/>
      </w:pPr>
      <w:r>
        <w:t>Neutral: slate / gray-blue.</w:t>
      </w:r>
    </w:p>
    <w:p>
      <w:pPr>
        <w:pStyle w:val="Heading2"/>
      </w:pPr>
      <w:r>
        <w:t>6.2 Surface Hierarchy</w:t>
      </w:r>
    </w:p>
    <w:p>
      <w:pPr>
        <w:pStyle w:val="ListBullet"/>
      </w:pPr>
      <w:r>
        <w:t>Level 0: app background.</w:t>
      </w:r>
    </w:p>
    <w:p>
      <w:pPr>
        <w:pStyle w:val="ListBullet"/>
      </w:pPr>
      <w:r>
        <w:t>Level 1: page surfaces, cards and hero sections.</w:t>
      </w:r>
    </w:p>
    <w:p>
      <w:pPr>
        <w:pStyle w:val="ListBullet"/>
      </w:pPr>
      <w:r>
        <w:t>Level 2: elevated operational cards and active workflow containers.</w:t>
      </w:r>
    </w:p>
    <w:p>
      <w:pPr>
        <w:pStyle w:val="ListBullet"/>
      </w:pPr>
      <w:r>
        <w:t>Level 3: overlays, dialogs and focused escalation states.</w:t>
      </w:r>
    </w:p>
    <w:p>
      <w:pPr>
        <w:pStyle w:val="Heading2"/>
      </w:pPr>
      <w:r>
        <w:t>6.3 Typography and Spacing</w:t>
      </w:r>
    </w:p>
    <w:p>
      <w:r>
        <w:t>Typography must feel editorial, readable and confident. Use generous whitespace, short operational text and consistent hierarchy. Avoid compressed enterprise density and decorative oversized hero text.</w:t>
      </w:r>
    </w:p>
    <w:p>
      <w:pPr>
        <w:pStyle w:val="Heading1"/>
      </w:pPr>
      <w:r>
        <w:t>7. Copy Rules</w:t>
      </w:r>
    </w:p>
    <w:p>
      <w:r>
        <w:t>Preferred operational language:</w:t>
      </w:r>
    </w:p>
    <w:p>
      <w:pPr>
        <w:pStyle w:val="ListBullet"/>
      </w:pPr>
      <w:r>
        <w:t>Casus onvolledig</w:t>
      </w:r>
    </w:p>
    <w:p>
      <w:pPr>
        <w:pStyle w:val="ListBullet"/>
      </w:pPr>
      <w:r>
        <w:t>Wacht op aanbiederreactie</w:t>
      </w:r>
    </w:p>
    <w:p>
      <w:pPr>
        <w:pStyle w:val="ListBullet"/>
      </w:pPr>
      <w:r>
        <w:t>Klaar voor matching</w:t>
      </w:r>
    </w:p>
    <w:p>
      <w:pPr>
        <w:pStyle w:val="ListBullet"/>
      </w:pPr>
      <w:r>
        <w:t>Plaatsing bevestigd</w:t>
      </w:r>
    </w:p>
    <w:p>
      <w:pPr>
        <w:pStyle w:val="ListBullet"/>
      </w:pPr>
      <w:r>
        <w:t>Intake gepland</w:t>
      </w:r>
    </w:p>
    <w:p>
      <w:pPr>
        <w:pStyle w:val="ListBullet"/>
      </w:pPr>
      <w:r>
        <w:t>Maak casus compleet</w:t>
      </w:r>
    </w:p>
    <w:p>
      <w:pPr>
        <w:pStyle w:val="ListBullet"/>
      </w:pPr>
      <w:r>
        <w:t>Start matching</w:t>
      </w:r>
    </w:p>
    <w:p>
      <w:pPr>
        <w:pStyle w:val="ListBullet"/>
      </w:pPr>
      <w:r>
        <w:t>Vraag gegevens op</w:t>
      </w:r>
    </w:p>
    <w:p>
      <w:pPr>
        <w:pStyle w:val="ListBullet"/>
      </w:pPr>
      <w:r>
        <w:t>Plan intake</w:t>
      </w:r>
    </w:p>
    <w:p>
      <w:r>
        <w:t>Avoid:</w:t>
      </w:r>
    </w:p>
    <w:p>
      <w:pPr>
        <w:pStyle w:val="ListBullet"/>
      </w:pPr>
      <w:r>
        <w:t>Workflow optimaliseren</w:t>
      </w:r>
    </w:p>
    <w:p>
      <w:pPr>
        <w:pStyle w:val="ListBullet"/>
      </w:pPr>
      <w:r>
        <w:t>Aandacht vereist</w:t>
      </w:r>
    </w:p>
    <w:p>
      <w:pPr>
        <w:pStyle w:val="ListBullet"/>
      </w:pPr>
      <w:r>
        <w:t>AI-gegenereerde samenvatting as a primary phase</w:t>
      </w:r>
    </w:p>
    <w:p>
      <w:pPr>
        <w:pStyle w:val="ListBullet"/>
      </w:pPr>
      <w:r>
        <w:t>Slimme automatisering</w:t>
      </w:r>
    </w:p>
    <w:p>
      <w:pPr>
        <w:pStyle w:val="ListBullet"/>
      </w:pPr>
      <w:r>
        <w:t>Genereer samenvatting</w:t>
      </w:r>
    </w:p>
    <w:p>
      <w:pPr>
        <w:pStyle w:val="ListBullet"/>
      </w:pPr>
      <w:r>
        <w:t>Bekijk aandacht</w:t>
      </w:r>
    </w:p>
    <w:p>
      <w:pPr>
        <w:pStyle w:val="Heading1"/>
      </w:pPr>
      <w:r>
        <w:t>8. Component Governance</w:t>
      </w:r>
    </w:p>
    <w:p>
      <w:pPr>
        <w:pStyle w:val="ListBullet"/>
      </w:pPr>
      <w:r>
        <w:t>Reuse approved primitives: CarePageScaffold, PageHeroHeader, PrimaryActionButton, CareAlertCard, FlowPhaseBadge, CareWorkRow, CareSection, CareStatusBadge.</w:t>
      </w:r>
    </w:p>
    <w:p>
      <w:pPr>
        <w:pStyle w:val="ListBullet"/>
      </w:pPr>
      <w:r>
        <w:t>Avoid duplicate button systems, random badge styles, inconsistent spacing, one-off card patterns and excessive borders.</w:t>
      </w:r>
    </w:p>
    <w:p>
      <w:pPr>
        <w:pStyle w:val="ListBullet"/>
      </w:pPr>
      <w:r>
        <w:t>If a feature or surface increases noise without increasing clarity, remove it.</w:t>
      </w:r>
    </w:p>
    <w:p>
      <w:pPr>
        <w:pStyle w:val="Heading1"/>
      </w:pPr>
      <w:r>
        <w:t>9. Documentation Consolidation</w:t>
      </w:r>
    </w:p>
    <w:p>
      <w:r>
        <w:t>This document replaces and consolidates the previous Business OS, Product/System Core and Design Constitution documents for product, UX, copy and visual decisions. The only separate source should be the Technical Foundation for implementation, security and backend rules.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eCallout">
    <w:name w:val="CareCallout"/>
    <w:rPr>
      <w:rFonts w:ascii="Arial" w:hAnsi="Arial"/>
      <w:i/>
      <w:color w:val="3341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