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11827"/>
          <w:sz w:val="48"/>
        </w:rPr>
        <w:t>CareOn Technical Foundation v1.2</w:t>
      </w:r>
    </w:p>
    <w:p>
      <w:r>
        <w:rPr>
          <w:color w:val="475569"/>
          <w:sz w:val="22"/>
        </w:rPr>
        <w:t>Implementation source of truth for backend, authorization, workflow integrity and audit behavior.</w:t>
      </w:r>
    </w:p>
    <w:p/>
    <w:p>
      <w:pPr>
        <w:pStyle w:val="Heading1"/>
      </w:pPr>
      <w:r>
        <w:t>1. Core Principle</w:t>
      </w:r>
    </w:p>
    <w:p>
      <w:r>
        <w:t>Backend is the source of truth. The UI is a client, not an authority.</w:t>
      </w:r>
    </w:p>
    <w:p>
      <w:pPr>
        <w:pStyle w:val="Heading1"/>
      </w:pPr>
      <w:r>
        <w:t>2. Canonical State Machine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F3F0FF"/>
          </w:tcPr>
          <w:p>
            <w:r/>
            <w:r>
              <w:rPr>
                <w:b/>
                <w:sz w:val="18"/>
              </w:rPr>
              <w:t>Aanmelding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/>
                <w:sz w:val="18"/>
              </w:rPr>
              <w:t>Matching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/>
                <w:sz w:val="18"/>
              </w:rPr>
              <w:t>Aanbiederreactie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/>
                <w:sz w:val="18"/>
              </w:rPr>
              <w:t>Plaatsing</w:t>
            </w:r>
          </w:p>
        </w:tc>
        <w:tc>
          <w:tcPr>
            <w:tcW w:type="dxa" w:w="2016"/>
            <w:vAlign w:val="center"/>
            <w:shd w:fill="F8FAFC"/>
          </w:tcPr>
          <w:p>
            <w:r/>
            <w:r>
              <w:rPr>
                <w:b/>
                <w:sz w:val="18"/>
              </w:rPr>
              <w:t>Intake</w:t>
            </w:r>
          </w:p>
        </w:tc>
      </w:tr>
    </w:tbl>
    <w:p>
      <w:pPr>
        <w:pStyle w:val="CareCallout"/>
      </w:pPr>
      <w:r>
        <w:t>Canonical workflow: Aanmelding → Matching → Aanbiederreactie → Plaatsing → Intake</w:t>
      </w:r>
    </w:p>
    <w:p>
      <w:r>
        <w:t>The backend state machine must enforce the five primary phases. No skipping is allowed except through explicit, audited transitions.</w:t>
      </w:r>
    </w:p>
    <w:p>
      <w:pPr>
        <w:pStyle w:val="Heading2"/>
      </w:pPr>
      <w:r>
        <w:t>2.1 Primary Phases</w:t>
      </w:r>
    </w:p>
    <w:p>
      <w:pPr>
        <w:pStyle w:val="ListBullet"/>
      </w:pPr>
      <w:r>
        <w:t>Aanmelding</w:t>
      </w:r>
    </w:p>
    <w:p>
      <w:pPr>
        <w:pStyle w:val="ListBullet"/>
      </w:pPr>
      <w:r>
        <w:t>Matching</w:t>
      </w:r>
    </w:p>
    <w:p>
      <w:pPr>
        <w:pStyle w:val="ListBullet"/>
      </w:pPr>
      <w:r>
        <w:t>Aanbiederreactie</w:t>
      </w:r>
    </w:p>
    <w:p>
      <w:pPr>
        <w:pStyle w:val="ListBullet"/>
      </w:pPr>
      <w:r>
        <w:t>Plaatsing</w:t>
      </w:r>
    </w:p>
    <w:p>
      <w:pPr>
        <w:pStyle w:val="ListBullet"/>
      </w:pPr>
      <w:r>
        <w:t>Intake</w:t>
      </w:r>
    </w:p>
    <w:p>
      <w:pPr>
        <w:pStyle w:val="Heading2"/>
      </w:pPr>
      <w:r>
        <w:t>2.2 Non-Phase Artifacts</w:t>
      </w:r>
    </w:p>
    <w:p>
      <w:r>
        <w:t>Samenvatting is not a primary state. It is a generated artifact/status associated with Aanmelding or Matching. Gemeente Validatie is not a default primary state; model it as an approval task/status only when explicitly required.</w:t>
      </w:r>
    </w:p>
    <w:p>
      <w:pPr>
        <w:pStyle w:val="Heading1"/>
      </w:pPr>
      <w:r>
        <w:t>3. Workflow Integrity</w:t>
      </w:r>
    </w:p>
    <w:p>
      <w:pPr>
        <w:pStyle w:val="ListBullet"/>
      </w:pPr>
      <w:r>
        <w:t>Strict workflow transitions must be enforced server-side.</w:t>
      </w:r>
    </w:p>
    <w:p>
      <w:pPr>
        <w:pStyle w:val="ListBullet"/>
      </w:pPr>
      <w:r>
        <w:t>The frontend may render phase navigation but may not authorize or force transitions.</w:t>
      </w:r>
    </w:p>
    <w:p>
      <w:pPr>
        <w:pStyle w:val="ListBullet"/>
      </w:pPr>
      <w:r>
        <w:t>Every transition must validate permissions, actor, current state, required data and target state.</w:t>
      </w:r>
    </w:p>
    <w:p>
      <w:pPr>
        <w:pStyle w:val="ListBullet"/>
      </w:pPr>
      <w:r>
        <w:t>Failed transitions must block or retry safely.</w:t>
      </w:r>
    </w:p>
    <w:p>
      <w:pPr>
        <w:pStyle w:val="Heading1"/>
      </w:pPr>
      <w:r>
        <w:t>4. Audit</w:t>
      </w:r>
    </w:p>
    <w:p>
      <w:r>
        <w:t>Every meaningful action must be logged. Audit failure blocks or retries the action. Audit logs must record actor, role, timestamp, previous state, new state, reason and relevant entity IDs.</w:t>
      </w:r>
    </w:p>
    <w:p>
      <w:pPr>
        <w:pStyle w:val="Heading1"/>
      </w:pPr>
      <w:r>
        <w:t>5. Visibility and Authorization</w:t>
      </w:r>
    </w:p>
    <w:p>
      <w:pPr>
        <w:pStyle w:val="ListBullet"/>
      </w:pPr>
      <w:r>
        <w:t>Providers only see cases after a PlacementRequest or equivalent approved link grants visibility.</w:t>
      </w:r>
    </w:p>
    <w:p>
      <w:pPr>
        <w:pStyle w:val="ListBullet"/>
      </w:pPr>
      <w:r>
        <w:t>Provider visibility must be agreed upfront and enforced by the API.</w:t>
      </w:r>
    </w:p>
    <w:p>
      <w:pPr>
        <w:pStyle w:val="ListBullet"/>
      </w:pPr>
      <w:r>
        <w:t>API enforces all permissions. The SPA shell is not authorization.</w:t>
      </w:r>
    </w:p>
    <w:p>
      <w:pPr>
        <w:pStyle w:val="ListBullet"/>
      </w:pPr>
      <w:r>
        <w:t>Clients must only see their own data and assigned/visible provider context.</w:t>
      </w:r>
    </w:p>
    <w:p>
      <w:pPr>
        <w:pStyle w:val="Heading1"/>
      </w:pPr>
      <w:r>
        <w:t>6. Matching Rules</w:t>
      </w:r>
    </w:p>
    <w:p>
      <w:pPr>
        <w:pStyle w:val="ListBullet"/>
      </w:pPr>
      <w:r>
        <w:t>Matching is advisory.</w:t>
      </w:r>
    </w:p>
    <w:p>
      <w:pPr>
        <w:pStyle w:val="ListBullet"/>
      </w:pPr>
      <w:r>
        <w:t>Recommendations must include explanation and trade-offs.</w:t>
      </w:r>
    </w:p>
    <w:p>
      <w:pPr>
        <w:pStyle w:val="ListBullet"/>
      </w:pPr>
      <w:r>
        <w:t>Manual override is allowed only when actor and reason are audited.</w:t>
      </w:r>
    </w:p>
    <w:p>
      <w:pPr>
        <w:pStyle w:val="ListBullet"/>
      </w:pPr>
      <w:r>
        <w:t>A selected match can be sent to a provider for approval or rejection.</w:t>
      </w:r>
    </w:p>
    <w:p>
      <w:pPr>
        <w:pStyle w:val="Heading1"/>
      </w:pPr>
      <w:r>
        <w:t>7. Operational Tasks</w:t>
      </w:r>
    </w:p>
    <w:p>
      <w:r>
        <w:t>Human tasks exist only when judgment, missing information, escalation, approval or placement decisions are required. System automation must appear as status, not as manual work.</w:t>
      </w:r>
    </w:p>
    <w:p>
      <w:pPr>
        <w:pStyle w:val="Heading1"/>
      </w:pPr>
      <w:r>
        <w:t>8. Documentation Consolidation</w:t>
      </w:r>
    </w:p>
    <w:p>
      <w:r>
        <w:t>This document replaces the previous Zorg OS Technical Foundation v1.1. Product, design, copy and page behavior rules live in CareOn Product &amp; Design Constitution v1.2.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eCallout">
    <w:name w:val="CareCallout"/>
    <w:rPr>
      <w:rFonts w:ascii="Arial" w:hAnsi="Arial"/>
      <w:i/>
      <w:color w:val="33415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