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45328"/>
          <w:sz w:val="44"/>
        </w:rPr>
        <w:t>Système RAG pour Comité d'Investissement</w:t>
      </w:r>
    </w:p>
    <w:p>
      <w:pPr>
        <w:jc w:val="center"/>
      </w:pPr>
      <w:r>
        <w:rPr>
          <w:b/>
          <w:color w:val="404040"/>
          <w:sz w:val="30"/>
        </w:rPr>
        <w:t>Assistant Q&amp;A — Data Room FallahTech (Série A)</w:t>
      </w:r>
    </w:p>
    <w:p/>
    <w:p>
      <w:pPr>
        <w:jc w:val="center"/>
      </w:pPr>
      <w:r>
        <w:rPr>
          <w:color w:val="808080"/>
          <w:sz w:val="22"/>
        </w:rPr>
        <w:t>Documentation technique — Techniques de Pointe  |  Avril 2026</w:t>
      </w:r>
    </w:p>
    <w:p>
      <w:r>
        <w:br w:type="page"/>
      </w:r>
    </w:p>
    <w:p>
      <w:pPr>
        <w:spacing w:before="240" w:after="80"/>
      </w:pPr>
      <w:r>
        <w:rPr>
          <w:b/>
          <w:color w:val="145328"/>
          <w:sz w:val="26"/>
        </w:rPr>
        <w:t>1. Choix de la tâche et pertinence pour un fonds d'investissement</w:t>
      </w:r>
    </w:p>
    <w:p>
      <w:pPr>
        <w:spacing w:after="80"/>
        <w:ind w:left="0"/>
      </w:pPr>
      <w:r>
        <w:rPr>
          <w:color w:val="404040"/>
          <w:sz w:val="20"/>
        </w:rPr>
        <w:t>La tâche retenue est la Question-Réponse sur un data room documentaire (RAG — Retrieval-Augmented Generation). L'objectif est de permettre à un comité d'investissement d'interroger en langage naturel l'ensemble des pièces constitutives du dossier FallahTech SARL (startup AgriTech tunisienne, levée de fonds Série A), comprenant statuts juridiques, états financiers NCT 2023-2025, plan d'affaires, registre du personnel et étude de marché.</w:t>
      </w:r>
    </w:p>
    <w:p>
      <w:pPr>
        <w:spacing w:after="80"/>
        <w:ind w:left="0"/>
      </w:pPr>
      <w:r>
        <w:rPr>
          <w:color w:val="404040"/>
          <w:sz w:val="20"/>
        </w:rPr>
        <w:t>Justification : un data room de Série A contient en moyenne 20 à 50 documents hétérogènes. La lecture exhaustive par les membres du comité prend plusieurs jours. Un assistant RAG réduit ce temps à quelques minutes, garantit la traçabilité des sources (chaque réponse cite le document d'origine) et élimine le risque de confabulation en ancrant les réponses strictement dans le corpus fourni.</w:t>
      </w:r>
    </w:p>
    <w:p>
      <w:pPr>
        <w:spacing w:before="240" w:after="80"/>
      </w:pPr>
      <w:r>
        <w:rPr>
          <w:b/>
          <w:color w:val="145328"/>
          <w:sz w:val="26"/>
        </w:rPr>
        <w:t>2. Architecture RAG — Chaîne complète</w:t>
      </w:r>
    </w:p>
    <w:p>
      <w:pPr>
        <w:spacing w:after="80"/>
        <w:ind w:left="0"/>
      </w:pPr>
      <w:r>
        <w:rPr>
          <w:color w:val="404040"/>
          <w:sz w:val="20"/>
        </w:rPr>
        <w:t>Le flux de traitement suit cinq étapes séquentielles :</w:t>
      </w:r>
    </w:p>
    <w:p>
      <w:pPr>
        <w:pStyle w:val="ListBullet"/>
        <w:spacing w:after="60"/>
        <w:ind w:left="567"/>
      </w:pPr>
      <w:r>
        <w:rPr>
          <w:sz w:val="20"/>
        </w:rPr>
        <w:t>Ingestion : lecture des PDFs page par page (PyMuPDF) avec préfixe [Page N], et des fichiers Excel feuille par feuille au format TSV (openpyxl).</w:t>
      </w:r>
    </w:p>
    <w:p>
      <w:pPr>
        <w:pStyle w:val="ListBullet"/>
        <w:spacing w:after="60"/>
        <w:ind w:left="567"/>
      </w:pPr>
      <w:r>
        <w:rPr>
          <w:sz w:val="20"/>
        </w:rPr>
        <w:t>Chunking : découpe par RecursiveCharacterTextSplitter (chunk_size=500, overlap=50). Chaque chunk est annoté de sa source ({source: nom_fichier.pdf}).</w:t>
      </w:r>
    </w:p>
    <w:p>
      <w:pPr>
        <w:pStyle w:val="ListBullet"/>
        <w:spacing w:after="60"/>
        <w:ind w:left="567"/>
      </w:pPr>
      <w:r>
        <w:rPr>
          <w:sz w:val="20"/>
        </w:rPr>
        <w:t>Embedding : vectorisation via all-MiniLM-L6-v2 (HuggingFace, dim 384). Les vecteurs sont stockés dans ChromaDB (./chroma_db) en local.</w:t>
      </w:r>
    </w:p>
    <w:p>
      <w:pPr>
        <w:pStyle w:val="ListBullet"/>
        <w:spacing w:after="60"/>
        <w:ind w:left="567"/>
      </w:pPr>
      <w:r>
        <w:rPr>
          <w:sz w:val="20"/>
        </w:rPr>
        <w:t>Retrieval : recherche cosine similarity. Les 5 chunks les plus proches de la question sont extraits (k=5).</w:t>
      </w:r>
    </w:p>
    <w:p>
      <w:pPr>
        <w:pStyle w:val="ListBullet"/>
        <w:spacing w:after="60"/>
        <w:ind w:left="567"/>
      </w:pPr>
      <w:r>
        <w:rPr>
          <w:sz w:val="20"/>
        </w:rPr>
        <w:t>Génération : les chunks forment le {context} injecté dans le system prompt. Le LLM LLaMA 3.3 70B génère la réponse avec citations obligatoires.</w:t>
      </w:r>
    </w:p>
    <w:p>
      <w:pPr>
        <w:spacing w:after="80"/>
        <w:ind w:left="0"/>
      </w:pPr>
      <w:r>
        <w:rPr>
          <w:color w:val="404040"/>
          <w:sz w:val="20"/>
        </w:rPr>
        <w:t>Schéma de la chaîne :</w:t>
      </w:r>
    </w:p>
    <w:tbl>
      <w:tblPr>
        <w:tblStyle w:val="TableGrid"/>
        <w:tblW w:type="auto" w:w="0"/>
        <w:tblLook w:firstColumn="1" w:firstRow="1" w:lastColumn="0" w:lastRow="0" w:noHBand="0" w:noVBand="1" w:val="04A0"/>
      </w:tblPr>
      <w:tblGrid>
        <w:gridCol w:w="9406"/>
      </w:tblGrid>
      <w:tr>
        <w:tc>
          <w:tcPr>
            <w:tcW w:type="dxa" w:w="9406"/>
            <w:shd w:val="clear" w:color="auto" w:fill="F2F2F2"/>
          </w:tcPr>
          <w:p>
            <w:r>
              <w:rPr>
                <w:rFonts w:ascii="Courier New" w:hAnsi="Courier New"/>
                <w:sz w:val="17"/>
              </w:rPr>
              <w:t>Documents (PDF / Excel)</w:t>
              <w:br/>
              <w:t xml:space="preserve">      ↓  PyMuPDF + openpyxl</w:t>
              <w:br/>
              <w:t xml:space="preserve">  Texte brut (page par page)</w:t>
              <w:br/>
              <w:t xml:space="preserve">      ↓  RecursiveCharacterTextSplitter  (500 tokens, overlap 50)</w:t>
              <w:br/>
              <w:t xml:space="preserve">  Chunks textuels + métadonnée {source: nom_fichier}</w:t>
              <w:br/>
              <w:t xml:space="preserve">      ↓  HuggingFaceEmbeddings · all-MiniLM-L6-v2  (dim 384)</w:t>
              <w:br/>
              <w:t xml:space="preserve">  Vecteurs → ChromaDB (./chroma_db)</w:t>
              <w:br/>
              <w:t xml:space="preserve">      ↓  Similarity search  (cosine, k=5)</w:t>
              <w:br/>
              <w:t xml:space="preserve">  Contexte pertinent</w:t>
              <w:br/>
              <w:t xml:space="preserve">      ↓  ChatGroq · LLaMA 3.3 70B · T=0.2</w:t>
              <w:br/>
              <w:t xml:space="preserve">  Réponse structurée avec citations [source: fichier.pdf]</w:t>
            </w:r>
          </w:p>
        </w:tc>
      </w:tr>
    </w:tbl>
    <w:p/>
    <w:p>
      <w:pPr>
        <w:spacing w:before="240" w:after="80"/>
      </w:pPr>
      <w:r>
        <w:rPr>
          <w:b/>
          <w:color w:val="145328"/>
          <w:sz w:val="26"/>
        </w:rPr>
        <w:t>3. Choix du LLM</w:t>
      </w:r>
    </w:p>
    <w:p>
      <w:pPr>
        <w:pStyle w:val="ListBullet"/>
        <w:spacing w:after="60"/>
        <w:ind w:left="567"/>
      </w:pPr>
      <w:r>
        <w:rPr>
          <w:b/>
          <w:sz w:val="20"/>
        </w:rPr>
        <w:t xml:space="preserve">Modèle retenu : </w:t>
      </w:r>
      <w:r>
        <w:rPr>
          <w:sz w:val="20"/>
        </w:rPr>
        <w:t>Meta LLaMA 3.3 70B Versatile, servi via l'API Groq (llama-3.3-70b-versatile).</w:t>
      </w:r>
    </w:p>
    <w:p>
      <w:pPr>
        <w:pStyle w:val="ListBullet"/>
        <w:spacing w:after="60"/>
        <w:ind w:left="567"/>
      </w:pPr>
      <w:r>
        <w:rPr>
          <w:b/>
          <w:sz w:val="20"/>
        </w:rPr>
        <w:t xml:space="preserve">Performance : </w:t>
      </w:r>
      <w:r>
        <w:rPr>
          <w:sz w:val="20"/>
        </w:rPr>
        <w:t>LLaMA 3.3 70B atteint des scores comparables à GPT-4o sur les benchmarks de raisonnement (MMLU, HumanEval) pour les tâches de lecture-compréhension et d'extraction.</w:t>
      </w:r>
    </w:p>
    <w:p>
      <w:pPr>
        <w:pStyle w:val="ListBullet"/>
        <w:spacing w:after="60"/>
        <w:ind w:left="567"/>
      </w:pPr>
      <w:r>
        <w:rPr>
          <w:b/>
          <w:sz w:val="20"/>
        </w:rPr>
        <w:t xml:space="preserve">Coût : </w:t>
      </w:r>
      <w:r>
        <w:rPr>
          <w:sz w:val="20"/>
        </w:rPr>
        <w:t>L'API Groq propose un tier gratuit généreux (14 400 tokens/min). Pour un comité traitant 50 à 100 questions, le coût est nul ou marginal.</w:t>
      </w:r>
    </w:p>
    <w:p>
      <w:pPr>
        <w:pStyle w:val="ListBullet"/>
        <w:spacing w:after="60"/>
        <w:ind w:left="567"/>
      </w:pPr>
      <w:r>
        <w:rPr>
          <w:b/>
          <w:sz w:val="20"/>
        </w:rPr>
        <w:t xml:space="preserve">Confidentialité : </w:t>
      </w:r>
      <w:r>
        <w:rPr>
          <w:sz w:val="20"/>
        </w:rPr>
        <w:t>Les données transitent via l'API Groq (serveurs US). Pour un déploiement en production sensible, une alternative on-premise (Ollama + LLaMA local) est possible sans modifier l'architecture.</w:t>
      </w:r>
    </w:p>
    <w:p>
      <w:pPr>
        <w:pStyle w:val="ListBullet"/>
        <w:spacing w:after="60"/>
        <w:ind w:left="567"/>
      </w:pPr>
      <w:r>
        <w:rPr>
          <w:b/>
          <w:sz w:val="20"/>
        </w:rPr>
        <w:t xml:space="preserve">Température : </w:t>
      </w:r>
      <w:r>
        <w:rPr>
          <w:sz w:val="20"/>
        </w:rPr>
        <w:t>T=0.2 — valeur basse pour maximiser la précision factuelle et minimiser les variations créatives. Une valeur nulle serait trop rigide pour formuler des synthèses rédigées.</w:t>
      </w:r>
    </w:p>
    <w:p>
      <w:pPr>
        <w:spacing w:before="240" w:after="80"/>
      </w:pPr>
      <w:r>
        <w:rPr>
          <w:b/>
          <w:color w:val="145328"/>
          <w:sz w:val="26"/>
        </w:rPr>
        <w:t>4. Stratégie de chunking</w:t>
      </w:r>
    </w:p>
    <w:p>
      <w:pPr>
        <w:pStyle w:val="ListBullet"/>
        <w:spacing w:after="60"/>
        <w:ind w:left="567"/>
      </w:pPr>
      <w:r>
        <w:rPr>
          <w:b/>
          <w:sz w:val="20"/>
        </w:rPr>
        <w:t xml:space="preserve">chunk_size = 500 : </w:t>
      </w:r>
      <w:r>
        <w:rPr>
          <w:sz w:val="20"/>
        </w:rPr>
        <w:t>Adapté aux paragraphes courts des documents financiers NCT. Des chunks plus grands dilueraient le signal pertinent ; des chunks plus petits fragmenteraient les phrases logiques.</w:t>
      </w:r>
    </w:p>
    <w:p>
      <w:pPr>
        <w:pStyle w:val="ListBullet"/>
        <w:spacing w:after="60"/>
        <w:ind w:left="567"/>
      </w:pPr>
      <w:r>
        <w:rPr>
          <w:b/>
          <w:sz w:val="20"/>
        </w:rPr>
        <w:t xml:space="preserve">chunk_overlap = 50 : </w:t>
      </w:r>
      <w:r>
        <w:rPr>
          <w:sz w:val="20"/>
        </w:rPr>
        <w:t>Préserve la continuité sémantique entre chunks consécutifs, notamment pour les tableaux financiers dont les intitulés de colonnes apparaissent en début de segment.</w:t>
      </w:r>
    </w:p>
    <w:p>
      <w:pPr>
        <w:pStyle w:val="ListBullet"/>
        <w:spacing w:after="60"/>
        <w:ind w:left="567"/>
      </w:pPr>
      <w:r>
        <w:rPr>
          <w:b/>
          <w:sz w:val="20"/>
        </w:rPr>
        <w:t xml:space="preserve">Séparateurs (par priorité) : </w:t>
      </w:r>
      <w:r>
        <w:rPr>
          <w:sz w:val="20"/>
        </w:rPr>
        <w:t>\n\n (paragraphes) → \n (lignes) → . (phrases) → espace. Hiérarchie respectant la structure des documents juridiques et comptables.</w:t>
      </w:r>
    </w:p>
    <w:p>
      <w:pPr>
        <w:pStyle w:val="ListBullet"/>
        <w:spacing w:after="60"/>
        <w:ind w:left="567"/>
      </w:pPr>
      <w:r>
        <w:rPr>
          <w:b/>
          <w:sz w:val="20"/>
        </w:rPr>
        <w:t xml:space="preserve">Métadonnée source : </w:t>
      </w:r>
      <w:r>
        <w:rPr>
          <w:sz w:val="20"/>
        </w:rPr>
        <w:t>Chaque chunk est annoté {source: nom_fichier.pdf} pour permettre la traçabilité en sortie.</w:t>
      </w:r>
    </w:p>
    <w:p>
      <w:pPr>
        <w:pStyle w:val="ListBullet"/>
        <w:spacing w:after="60"/>
        <w:ind w:left="567"/>
      </w:pPr>
      <w:r>
        <w:rPr>
          <w:b/>
          <w:sz w:val="20"/>
        </w:rPr>
        <w:t xml:space="preserve">Traitement Excel : </w:t>
      </w:r>
      <w:r>
        <w:rPr>
          <w:sz w:val="20"/>
        </w:rPr>
        <w:t>Les feuilles sont converties en texte TSV avec en-tête [Feuille: NomFeuille] avant découpage par le même splitter.</w:t>
      </w:r>
    </w:p>
    <w:p>
      <w:pPr>
        <w:spacing w:before="240" w:after="80"/>
      </w:pPr>
      <w:r>
        <w:rPr>
          <w:b/>
          <w:color w:val="145328"/>
          <w:sz w:val="26"/>
        </w:rPr>
        <w:t>5. Prompts complets</w:t>
      </w:r>
    </w:p>
    <w:p>
      <w:r>
        <w:rPr>
          <w:b/>
          <w:sz w:val="20"/>
        </w:rPr>
        <w:t>System prompt (injecté à chaque requête) :</w:t>
      </w:r>
    </w:p>
    <w:tbl>
      <w:tblPr>
        <w:tblStyle w:val="TableGrid"/>
        <w:tblW w:type="auto" w:w="0"/>
        <w:tblLook w:firstColumn="1" w:firstRow="1" w:lastColumn="0" w:lastRow="0" w:noHBand="0" w:noVBand="1" w:val="04A0"/>
      </w:tblPr>
      <w:tblGrid>
        <w:gridCol w:w="9406"/>
      </w:tblGrid>
      <w:tr>
        <w:tc>
          <w:tcPr>
            <w:tcW w:type="dxa" w:w="9406"/>
            <w:shd w:val="clear" w:color="auto" w:fill="F2F2F2"/>
          </w:tcPr>
          <w:p>
            <w:r>
              <w:rPr>
                <w:rFonts w:ascii="Courier New" w:hAnsi="Courier New"/>
                <w:sz w:val="17"/>
              </w:rPr>
              <w:t>Tu es un assistant d'analyse financière pour un comité d'investissement.</w:t>
              <w:br/>
              <w:t>Tu analyses le dossier de la startup FallahTech SARL (AgriTech tunisienne, Série A).</w:t>
              <w:br/>
              <w:br/>
              <w:t>Règles strictes :</w:t>
              <w:br/>
              <w:t>1. Tu réponds UNIQUEMENT en te basant sur les documents fournis ci-dessous.</w:t>
              <w:br/>
              <w:t>2. Chaque affirmation doit citer sa source entre crochets,</w:t>
              <w:br/>
              <w:t xml:space="preserve">   ex: [source: bilan_2025.pdf]</w:t>
              <w:br/>
              <w:t>3. Si l'information est absente des documents, dis :</w:t>
              <w:br/>
              <w:t xml:space="preserve">   "Cette information n'est pas disponible dans le dossier fourni."</w:t>
              <w:br/>
              <w:t>4. Ton ton est professionnel, adapté à un comité d'investissement.</w:t>
              <w:br/>
              <w:br/>
              <w:t>Documents pertinents :</w:t>
              <w:br/>
              <w:t>{context}</w:t>
            </w:r>
          </w:p>
        </w:tc>
      </w:tr>
    </w:tbl>
    <w:p/>
    <w:p>
      <w:pPr>
        <w:spacing w:after="80"/>
        <w:ind w:left="0"/>
      </w:pPr>
      <w:r>
        <w:rPr>
          <w:color w:val="404040"/>
          <w:sz w:val="20"/>
        </w:rPr>
        <w:t>Choix de conception : la règle n°1 (réponse strictement ancrée) combinée à la règle n°3 (aveu explicite d'ignorance) constitue le cœur de la stratégie anti-hallucination. La règle n°2 (citation obligatoire) permet au lecteur humain de vérifier chaque affirmation dans le document source.</w:t>
      </w:r>
    </w:p>
    <w:p>
      <w:r>
        <w:rPr>
          <w:b/>
          <w:sz w:val="20"/>
        </w:rPr>
        <w:t>Exemples de prompts utilisateur testés :</w:t>
      </w:r>
    </w:p>
    <w:p>
      <w:pPr>
        <w:pStyle w:val="ListBullet"/>
        <w:spacing w:after="60"/>
        <w:ind w:left="567"/>
      </w:pPr>
      <w:r>
        <w:rPr>
          <w:sz w:val="20"/>
        </w:rPr>
        <w:t>« Quel est le capital social de FallahTech et sa structure juridique ? »</w:t>
      </w:r>
    </w:p>
    <w:p>
      <w:pPr>
        <w:pStyle w:val="ListBullet"/>
        <w:spacing w:after="60"/>
        <w:ind w:left="567"/>
      </w:pPr>
      <w:r>
        <w:rPr>
          <w:sz w:val="20"/>
        </w:rPr>
        <w:t>« Quels sont les indicateurs financiers clés pour les exercices 2023, 2024 et 2025 ? »</w:t>
      </w:r>
    </w:p>
    <w:p>
      <w:pPr>
        <w:pStyle w:val="ListBullet"/>
        <w:spacing w:after="60"/>
        <w:ind w:left="567"/>
      </w:pPr>
      <w:r>
        <w:rPr>
          <w:sz w:val="20"/>
        </w:rPr>
        <w:t>« Quelle est la composition de l'équipe de FallahTech ? »</w:t>
      </w:r>
    </w:p>
    <w:p>
      <w:pPr>
        <w:spacing w:before="240" w:after="80"/>
      </w:pPr>
      <w:r>
        <w:rPr>
          <w:b/>
          <w:color w:val="145328"/>
          <w:sz w:val="26"/>
        </w:rPr>
        <w:t>6. Outils et stack technique</w:t>
      </w:r>
    </w:p>
    <w:p>
      <w:pPr>
        <w:pStyle w:val="ListBullet"/>
        <w:spacing w:after="60"/>
        <w:ind w:left="567"/>
      </w:pPr>
      <w:r>
        <w:rPr>
          <w:b/>
          <w:sz w:val="20"/>
        </w:rPr>
        <w:t xml:space="preserve">Framework : </w:t>
      </w:r>
      <w:r>
        <w:rPr>
          <w:sz w:val="20"/>
        </w:rPr>
        <w:t>LangChain (langchain, langchain-core, langchain-community, langchain-chroma, langchain-huggingface, langchain-groq, langchain-text-splitters)</w:t>
      </w:r>
    </w:p>
    <w:p>
      <w:pPr>
        <w:pStyle w:val="ListBullet"/>
        <w:spacing w:after="60"/>
        <w:ind w:left="567"/>
      </w:pPr>
      <w:r>
        <w:rPr>
          <w:b/>
          <w:sz w:val="20"/>
        </w:rPr>
        <w:t xml:space="preserve">LLM : </w:t>
      </w:r>
      <w:r>
        <w:rPr>
          <w:sz w:val="20"/>
        </w:rPr>
        <w:t>ChatGroq → Meta LLaMA 3.3 70B Versatile (API Groq, gratuit)</w:t>
      </w:r>
    </w:p>
    <w:p>
      <w:pPr>
        <w:pStyle w:val="ListBullet"/>
        <w:spacing w:after="60"/>
        <w:ind w:left="567"/>
      </w:pPr>
      <w:r>
        <w:rPr>
          <w:b/>
          <w:sz w:val="20"/>
        </w:rPr>
        <w:t xml:space="preserve">Embeddings : </w:t>
      </w:r>
      <w:r>
        <w:rPr>
          <w:sz w:val="20"/>
        </w:rPr>
        <w:t>HuggingFaceEmbeddings → all-MiniLM-L6-v2 (dim 384, Apache 2.0, CPU local)</w:t>
      </w:r>
    </w:p>
    <w:p>
      <w:pPr>
        <w:pStyle w:val="ListBullet"/>
        <w:spacing w:after="60"/>
        <w:ind w:left="567"/>
      </w:pPr>
      <w:r>
        <w:rPr>
          <w:b/>
          <w:sz w:val="20"/>
        </w:rPr>
        <w:t xml:space="preserve">Base vectorielle : </w:t>
      </w:r>
      <w:r>
        <w:rPr>
          <w:sz w:val="20"/>
        </w:rPr>
        <w:t>ChromaDB — stockage persistant local ./chroma_db</w:t>
      </w:r>
    </w:p>
    <w:p>
      <w:pPr>
        <w:pStyle w:val="ListBullet"/>
        <w:spacing w:after="60"/>
        <w:ind w:left="567"/>
      </w:pPr>
      <w:r>
        <w:rPr>
          <w:b/>
          <w:sz w:val="20"/>
        </w:rPr>
        <w:t xml:space="preserve">Extraction PDF : </w:t>
      </w:r>
      <w:r>
        <w:rPr>
          <w:sz w:val="20"/>
        </w:rPr>
        <w:t>PyMuPDF (fitz) — lecture page par page avec préfixe [Page N]</w:t>
      </w:r>
    </w:p>
    <w:p>
      <w:pPr>
        <w:pStyle w:val="ListBullet"/>
        <w:spacing w:after="60"/>
        <w:ind w:left="567"/>
      </w:pPr>
      <w:r>
        <w:rPr>
          <w:b/>
          <w:sz w:val="20"/>
        </w:rPr>
        <w:t xml:space="preserve">Extraction Excel : </w:t>
      </w:r>
      <w:r>
        <w:rPr>
          <w:sz w:val="20"/>
        </w:rPr>
        <w:t>openpyxl — export TSV feuille par feuille</w:t>
      </w:r>
    </w:p>
    <w:p>
      <w:pPr>
        <w:pStyle w:val="ListBullet"/>
        <w:spacing w:after="60"/>
        <w:ind w:left="567"/>
      </w:pPr>
      <w:r>
        <w:rPr>
          <w:b/>
          <w:sz w:val="20"/>
        </w:rPr>
        <w:t xml:space="preserve">Interface : </w:t>
      </w:r>
      <w:r>
        <w:rPr>
          <w:sz w:val="20"/>
        </w:rPr>
        <w:t>Streamlit — st.chat_input, st.chat_message, st.session_state</w:t>
      </w:r>
    </w:p>
    <w:p>
      <w:pPr>
        <w:pStyle w:val="ListBullet"/>
        <w:spacing w:after="60"/>
        <w:ind w:left="567"/>
      </w:pPr>
      <w:r>
        <w:rPr>
          <w:b/>
          <w:sz w:val="20"/>
        </w:rPr>
        <w:t xml:space="preserve">Configuration : </w:t>
      </w:r>
      <w:r>
        <w:rPr>
          <w:sz w:val="20"/>
        </w:rPr>
        <w:t>python-dotenv — .env → GROQ_API_KEY</w:t>
      </w:r>
    </w:p>
    <w:p>
      <w:pPr>
        <w:pStyle w:val="ListBullet"/>
        <w:spacing w:after="60"/>
        <w:ind w:left="567"/>
      </w:pPr>
      <w:r>
        <w:rPr>
          <w:b/>
          <w:sz w:val="20"/>
        </w:rPr>
        <w:t xml:space="preserve">Environnement : </w:t>
      </w:r>
      <w:r>
        <w:rPr>
          <w:sz w:val="20"/>
        </w:rPr>
        <w:t>Python 3.14 · Windows 11</w:t>
      </w:r>
    </w:p>
    <w:p>
      <w:pPr>
        <w:spacing w:before="240" w:after="80"/>
      </w:pPr>
      <w:r>
        <w:rPr>
          <w:b/>
          <w:color w:val="145328"/>
          <w:sz w:val="26"/>
        </w:rPr>
        <w:t>7. Résultats — Trois questions testées</w:t>
      </w:r>
    </w:p>
    <w:p>
      <w:pPr>
        <w:spacing w:after="80"/>
        <w:ind w:left="0"/>
      </w:pPr>
      <w:r>
        <w:rPr>
          <w:color w:val="404040"/>
          <w:sz w:val="20"/>
        </w:rPr>
        <w:t>Évaluation qualitative sur deux critères : Faithfulness (la réponse est-elle fidèle aux documents sans inventer ?) et Relevance (répond-elle à la question ?).</w:t>
      </w:r>
    </w:p>
    <w:p/>
    <w:tbl>
      <w:tblPr>
        <w:tblStyle w:val="TableGrid"/>
        <w:tblW w:type="auto" w:w="0"/>
        <w:tblLook w:firstColumn="1" w:firstRow="1" w:lastColumn="0" w:lastRow="0" w:noHBand="0" w:noVBand="1" w:val="04A0"/>
      </w:tblPr>
      <w:tblGrid>
        <w:gridCol w:w="9406"/>
      </w:tblGrid>
      <w:tr>
        <w:tc>
          <w:tcPr>
            <w:tcW w:type="dxa" w:w="9406"/>
            <w:shd w:val="clear" w:color="auto" w:fill="D9EAD3"/>
          </w:tcPr>
          <w:p>
            <w:r>
              <w:rPr>
                <w:b/>
                <w:sz w:val="20"/>
              </w:rPr>
              <w:t>Q : Quel est le capital social de FallahTech et sa structure juridique ?</w:t>
            </w:r>
          </w:p>
        </w:tc>
      </w:tr>
      <w:tr>
        <w:tc>
          <w:tcPr>
            <w:tcW w:type="dxa" w:w="9406"/>
          </w:tcPr>
          <w:p>
            <w:r>
              <w:rPr>
                <w:sz w:val="20"/>
              </w:rPr>
              <w:t>FallahTech SARL est constituée sous forme de société à responsabilité limitée conformément à la législation tunisienne en vigueur. Son capital social s'élève à 500 000 dinars tunisiens (TND) [source : 1.1_Statuts_FallahTech.pdf]. La société opère dans le secteur AgriTech et a pour objet le développement de solutions numériques à destination des coopératives agricoles tunisiennes [source : 1.1_Statuts_FallahTech.pdf].</w:t>
            </w:r>
          </w:p>
        </w:tc>
      </w:tr>
      <w:tr>
        <w:tc>
          <w:tcPr>
            <w:tcW w:type="dxa" w:w="9406"/>
            <w:shd w:val="clear" w:color="auto" w:fill="EAF4EA"/>
          </w:tcPr>
          <w:p>
            <w:r>
              <w:rPr>
                <w:b/>
                <w:sz w:val="18"/>
              </w:rPr>
              <w:t xml:space="preserve">Faithfulness : </w:t>
            </w:r>
            <w:r>
              <w:rPr>
                <w:sz w:val="18"/>
              </w:rPr>
              <w:t xml:space="preserve">Bonne — la réponse s'appuie uniquement sur les statuts ; les chiffres sont exacts.    </w:t>
            </w:r>
            <w:r>
              <w:rPr>
                <w:b/>
                <w:sz w:val="18"/>
              </w:rPr>
              <w:t xml:space="preserve">Relevance : </w:t>
            </w:r>
            <w:r>
              <w:rPr>
                <w:sz w:val="18"/>
              </w:rPr>
              <w:t>Élevée — correspond exactement à la question posée.</w:t>
            </w:r>
          </w:p>
        </w:tc>
      </w:tr>
    </w:tbl>
    <w:p/>
    <w:tbl>
      <w:tblPr>
        <w:tblStyle w:val="TableGrid"/>
        <w:tblW w:type="auto" w:w="0"/>
        <w:tblLook w:firstColumn="1" w:firstRow="1" w:lastColumn="0" w:lastRow="0" w:noHBand="0" w:noVBand="1" w:val="04A0"/>
      </w:tblPr>
      <w:tblGrid>
        <w:gridCol w:w="9406"/>
      </w:tblGrid>
      <w:tr>
        <w:tc>
          <w:tcPr>
            <w:tcW w:type="dxa" w:w="9406"/>
            <w:shd w:val="clear" w:color="auto" w:fill="D9EAD3"/>
          </w:tcPr>
          <w:p>
            <w:r>
              <w:rPr>
                <w:b/>
                <w:sz w:val="20"/>
              </w:rPr>
              <w:t>Q : Quels sont les indicateurs financiers clés pour les exercices 2023, 2024 et 2025 ?</w:t>
            </w:r>
          </w:p>
        </w:tc>
      </w:tr>
      <w:tr>
        <w:tc>
          <w:tcPr>
            <w:tcW w:type="dxa" w:w="9406"/>
          </w:tcPr>
          <w:p>
            <w:r>
              <w:rPr>
                <w:sz w:val="20"/>
              </w:rPr>
              <w:t>D'après les états financiers historiques établis selon les Normes Comptables Tunisiennes (NCT), FallahTech présente une trajectoire de croissance sur trois ans [source : 2.1_Etats_Financiers_Historiques_NCT_2023_2025.pdf]. Les remboursements d'emprunts sont nuls sur la période 2023-2025 et aucun dividende n'a été versé, ce qui reflète une politique de réinvestissement des bénéfices [source : Etats_Financiers_Historiques_NCT.pdf]. Pour les montants détaillés du chiffre d'affaires et du résultat net, les tableaux complets figurent dans le document 2.1 du data room.</w:t>
            </w:r>
          </w:p>
        </w:tc>
      </w:tr>
      <w:tr>
        <w:tc>
          <w:tcPr>
            <w:tcW w:type="dxa" w:w="9406"/>
            <w:shd w:val="clear" w:color="auto" w:fill="EAF4EA"/>
          </w:tcPr>
          <w:p>
            <w:r>
              <w:rPr>
                <w:b/>
                <w:sz w:val="18"/>
              </w:rPr>
              <w:t xml:space="preserve">Faithfulness : </w:t>
            </w:r>
            <w:r>
              <w:rPr>
                <w:sz w:val="18"/>
              </w:rPr>
              <w:t xml:space="preserve">Correcte — les sources citées contiennent ces données ; la réponse reste dans les limites du dossier.    </w:t>
            </w:r>
            <w:r>
              <w:rPr>
                <w:b/>
                <w:sz w:val="18"/>
              </w:rPr>
              <w:t xml:space="preserve">Relevance : </w:t>
            </w:r>
            <w:r>
              <w:rPr>
                <w:sz w:val="18"/>
              </w:rPr>
              <w:t>Satisfaisante — réponse partielle mais honnête sur les limites du système.</w:t>
            </w:r>
          </w:p>
        </w:tc>
      </w:tr>
    </w:tbl>
    <w:p/>
    <w:tbl>
      <w:tblPr>
        <w:tblStyle w:val="TableGrid"/>
        <w:tblW w:type="auto" w:w="0"/>
        <w:tblLook w:firstColumn="1" w:firstRow="1" w:lastColumn="0" w:lastRow="0" w:noHBand="0" w:noVBand="1" w:val="04A0"/>
      </w:tblPr>
      <w:tblGrid>
        <w:gridCol w:w="9406"/>
      </w:tblGrid>
      <w:tr>
        <w:tc>
          <w:tcPr>
            <w:tcW w:type="dxa" w:w="9406"/>
            <w:shd w:val="clear" w:color="auto" w:fill="D9EAD3"/>
          </w:tcPr>
          <w:p>
            <w:r>
              <w:rPr>
                <w:b/>
                <w:sz w:val="20"/>
              </w:rPr>
              <w:t>Q : Quelle est la composition de l'équipe de FallahTech ?</w:t>
            </w:r>
          </w:p>
        </w:tc>
      </w:tr>
      <w:tr>
        <w:tc>
          <w:tcPr>
            <w:tcW w:type="dxa" w:w="9406"/>
          </w:tcPr>
          <w:p>
            <w:r>
              <w:rPr>
                <w:sz w:val="20"/>
              </w:rPr>
              <w:t>Le registre du personnel de FallahTech recense les collaborateurs actifs au sein de la startup [source : 3.1_Registre_Personnel.pdf]. La répartition par poste et les contrats de travail associés sont documentés dans cette pièce du data room. Pour le détail nominatif des postes, il convient de consulter directement le registre fourni [source : 3.1_Registre_Personnel.pdf]. Cette information n'est pas synthétisée ailleurs dans le dossier fourni.</w:t>
            </w:r>
          </w:p>
        </w:tc>
      </w:tr>
      <w:tr>
        <w:tc>
          <w:tcPr>
            <w:tcW w:type="dxa" w:w="9406"/>
            <w:shd w:val="clear" w:color="auto" w:fill="EAF4EA"/>
          </w:tcPr>
          <w:p>
            <w:r>
              <w:rPr>
                <w:b/>
                <w:sz w:val="18"/>
              </w:rPr>
              <w:t xml:space="preserve">Faithfulness : </w:t>
            </w:r>
            <w:r>
              <w:rPr>
                <w:sz w:val="18"/>
              </w:rPr>
              <w:t xml:space="preserve">Correcte — la réponse ne fabrique pas de chiffres absents du document.    </w:t>
            </w:r>
            <w:r>
              <w:rPr>
                <w:b/>
                <w:sz w:val="18"/>
              </w:rPr>
              <w:t xml:space="preserve">Relevance : </w:t>
            </w:r>
            <w:r>
              <w:rPr>
                <w:sz w:val="18"/>
              </w:rPr>
              <w:t>Modérée — l'assistant renvoie au document source sans extraire les données tabulaires.</w:t>
            </w:r>
          </w:p>
        </w:tc>
      </w:tr>
    </w:tbl>
    <w:p/>
    <w:p>
      <w:pPr>
        <w:spacing w:before="240" w:after="80"/>
      </w:pPr>
      <w:r>
        <w:rPr>
          <w:b/>
          <w:color w:val="145328"/>
          <w:sz w:val="26"/>
        </w:rPr>
        <w:t>8. Limites identifiées</w:t>
      </w:r>
    </w:p>
    <w:p>
      <w:pPr>
        <w:pStyle w:val="ListBullet"/>
        <w:spacing w:after="60"/>
        <w:ind w:left="567"/>
      </w:pPr>
      <w:r>
        <w:rPr>
          <w:b/>
          <w:sz w:val="20"/>
        </w:rPr>
        <w:t xml:space="preserve">Retrieval sémantique généraliste : </w:t>
      </w:r>
      <w:r>
        <w:rPr>
          <w:sz w:val="20"/>
        </w:rPr>
        <w:t>Le modèle all-MiniLM-L6-v2 n'est pas spécialisé en finance tunisienne. Des termes comptables NCT peu fréquents peuvent être mal vectorisés, réduisant la précision du retrieval sur des rubriques très spécifiques.</w:t>
      </w:r>
    </w:p>
    <w:p>
      <w:pPr>
        <w:pStyle w:val="ListBullet"/>
        <w:spacing w:after="60"/>
        <w:ind w:left="567"/>
      </w:pPr>
      <w:r>
        <w:rPr>
          <w:b/>
          <w:sz w:val="20"/>
        </w:rPr>
        <w:t xml:space="preserve">Données tabulaires dégradées : </w:t>
      </w:r>
      <w:r>
        <w:rPr>
          <w:sz w:val="20"/>
        </w:rPr>
        <w:t>La conversion PDF→texte des tableaux financiers perd la structure colonne/ligne. Le LLM peut mal interpréter des alignements numériques sans contexte spatial. Solution envisageable : extraction via camelot ou pdfplumber.</w:t>
      </w:r>
    </w:p>
    <w:p>
      <w:pPr>
        <w:pStyle w:val="ListBullet"/>
        <w:spacing w:after="60"/>
        <w:ind w:left="567"/>
      </w:pPr>
      <w:r>
        <w:rPr>
          <w:b/>
          <w:sz w:val="20"/>
        </w:rPr>
        <w:t xml:space="preserve">Fenêtre de contexte limitée à k=5 chunks : </w:t>
      </w:r>
      <w:r>
        <w:rPr>
          <w:sz w:val="20"/>
        </w:rPr>
        <w:t>Si une question nécessite la synthèse de plus de 5 passages (ex. évolution sur 3 ans de plusieurs indicateurs simultanément), certaines données pertinentes sont écartées du contexte injecté.</w:t>
      </w:r>
    </w:p>
    <w:p>
      <w:pPr>
        <w:pStyle w:val="ListBullet"/>
        <w:spacing w:after="60"/>
        <w:ind w:left="567"/>
      </w:pPr>
      <w:r>
        <w:rPr>
          <w:b/>
          <w:sz w:val="20"/>
        </w:rPr>
        <w:t xml:space="preserve">Absence de mémoire inter-sessions : </w:t>
      </w:r>
      <w:r>
        <w:rPr>
          <w:sz w:val="20"/>
        </w:rPr>
        <w:t>L'historique de conversation est stocké en mémoire Streamlit (st.session_state). Un redémarrage du serveur efface tout l'historique.</w:t>
      </w:r>
    </w:p>
    <w:p>
      <w:pPr>
        <w:pStyle w:val="ListBullet"/>
        <w:spacing w:after="60"/>
        <w:ind w:left="567"/>
      </w:pPr>
      <w:r>
        <w:rPr>
          <w:b/>
          <w:sz w:val="20"/>
        </w:rPr>
        <w:t xml:space="preserve">Dépendance API externe : </w:t>
      </w:r>
      <w:r>
        <w:rPr>
          <w:sz w:val="20"/>
        </w:rPr>
        <w:t>Le LLM Groq requiert une connexion Internet. Une panne ou une restriction de quota bloque l'outil. Aucun fallback local n'est implémenté.</w:t>
      </w:r>
    </w:p>
    <w:p>
      <w:pPr>
        <w:pStyle w:val="ListBullet"/>
        <w:spacing w:after="60"/>
        <w:ind w:left="567"/>
      </w:pPr>
      <w:r>
        <w:rPr>
          <w:b/>
          <w:sz w:val="20"/>
        </w:rPr>
        <w:t xml:space="preserve">Confabulation résiduelle : </w:t>
      </w:r>
      <w:r>
        <w:rPr>
          <w:sz w:val="20"/>
        </w:rPr>
        <w:t>Malgré le system prompt strict, le LLM peut occasionnellement reformuler ou extrapoler des chiffres lorsque le contexte récupéré est partiel. La vérification humaine des chiffres clés reste indispensable.</w:t>
      </w:r>
    </w:p>
    <w:p>
      <w:pPr>
        <w:pStyle w:val="ListBullet"/>
        <w:spacing w:after="60"/>
        <w:ind w:left="567"/>
      </w:pPr>
      <w:r>
        <w:rPr>
          <w:b/>
          <w:sz w:val="20"/>
        </w:rPr>
        <w:t xml:space="preserve">Support limité de l'arabe : </w:t>
      </w:r>
      <w:r>
        <w:rPr>
          <w:sz w:val="20"/>
        </w:rPr>
        <w:t>Les documents peuvent contenir des sections en arabe (dénominations légales tunisiennes). Ces passages ne sont pas correctement vectorisés par all-MiniLM-L6-v2, entraîné principalement sur des corpus anglais et multilingues latins.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