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4CAECCF">
      <w:pPr>
        <w:pStyle w:val="2"/>
        <w:keepNext w:val="0"/>
        <w:keepLines w:val="0"/>
        <w:widowControl/>
        <w:suppressLineNumbers w:val="0"/>
        <w:spacing w:line="24" w:lineRule="atLeast"/>
      </w:pPr>
      <w:r>
        <w:t>直通车计划深度分析报告 (计划名：custom socks 20260506)</w:t>
      </w:r>
    </w:p>
    <w:p w14:paraId="5801C60A">
      <w:pPr>
        <w:pStyle w:val="3"/>
        <w:keepNext w:val="0"/>
        <w:keepLines w:val="0"/>
        <w:widowControl/>
        <w:suppressLineNumbers w:val="0"/>
        <w:spacing w:line="24" w:lineRule="atLeast"/>
      </w:pPr>
      <w:r>
        <w:t>1. 计划基础数据 (2026.05.12-05.18)</w:t>
      </w:r>
    </w:p>
    <w:p w14:paraId="06BCD1EB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ascii="微软雅黑" w:hAnsi="微软雅黑" w:eastAsia="微软雅黑" w:cs="微软雅黑"/>
        </w:rPr>
        <w:t>总花费：</w:t>
      </w:r>
      <w:r>
        <w:rPr>
          <w:rStyle w:val="13"/>
          <w:rFonts w:hint="eastAsia" w:ascii="微软雅黑" w:hAnsi="微软雅黑" w:eastAsia="微软雅黑" w:cs="微软雅黑"/>
        </w:rPr>
        <w:t>￥855.35</w:t>
      </w:r>
    </w:p>
    <w:p w14:paraId="1F9EACA1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</w:rPr>
        <w:t>曝光量：</w:t>
      </w:r>
      <w:r>
        <w:rPr>
          <w:rStyle w:val="13"/>
          <w:rFonts w:hint="eastAsia" w:ascii="微软雅黑" w:hAnsi="微软雅黑" w:eastAsia="微软雅黑" w:cs="微软雅黑"/>
        </w:rPr>
        <w:t>6,707</w:t>
      </w:r>
    </w:p>
    <w:p w14:paraId="09916C7E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</w:rPr>
        <w:t>点击量：</w:t>
      </w:r>
      <w:r>
        <w:rPr>
          <w:rStyle w:val="13"/>
          <w:rFonts w:hint="eastAsia" w:ascii="微软雅黑" w:hAnsi="微软雅黑" w:eastAsia="微软雅黑" w:cs="微软雅黑"/>
        </w:rPr>
        <w:t>179</w:t>
      </w:r>
      <w:r>
        <w:rPr>
          <w:rFonts w:hint="eastAsia" w:ascii="微软雅黑" w:hAnsi="微软雅黑" w:eastAsia="微软雅黑" w:cs="微软雅黑"/>
        </w:rPr>
        <w:t xml:space="preserve"> (点击率 </w:t>
      </w:r>
      <w:r>
        <w:rPr>
          <w:rStyle w:val="13"/>
          <w:rFonts w:hint="eastAsia" w:ascii="微软雅黑" w:hAnsi="微软雅黑" w:eastAsia="微软雅黑" w:cs="微软雅黑"/>
        </w:rPr>
        <w:t>2.67%</w:t>
      </w:r>
      <w:r>
        <w:rPr>
          <w:rFonts w:hint="eastAsia" w:ascii="微软雅黑" w:hAnsi="微软雅黑" w:eastAsia="微软雅黑" w:cs="微软雅黑"/>
        </w:rPr>
        <w:t>)</w:t>
      </w:r>
    </w:p>
    <w:p w14:paraId="076A892A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</w:rPr>
        <w:t>总商机量：</w:t>
      </w:r>
      <w:r>
        <w:rPr>
          <w:rStyle w:val="13"/>
          <w:rFonts w:hint="eastAsia" w:ascii="微软雅黑" w:hAnsi="微软雅黑" w:eastAsia="微软雅黑" w:cs="微软雅黑"/>
        </w:rPr>
        <w:t>8</w:t>
      </w:r>
      <w:r>
        <w:rPr>
          <w:rFonts w:hint="eastAsia" w:ascii="微软雅黑" w:hAnsi="微软雅黑" w:eastAsia="微软雅黑" w:cs="微软雅黑"/>
        </w:rPr>
        <w:t xml:space="preserve"> (询盘 </w:t>
      </w:r>
      <w:r>
        <w:rPr>
          <w:rStyle w:val="13"/>
          <w:rFonts w:hint="eastAsia" w:ascii="微软雅黑" w:hAnsi="微软雅黑" w:eastAsia="微软雅黑" w:cs="微软雅黑"/>
        </w:rPr>
        <w:t>1</w:t>
      </w:r>
      <w:r>
        <w:rPr>
          <w:rFonts w:hint="eastAsia" w:ascii="微软雅黑" w:hAnsi="微软雅黑" w:eastAsia="微软雅黑" w:cs="微软雅黑"/>
        </w:rPr>
        <w:t xml:space="preserve">, TM </w:t>
      </w:r>
      <w:r>
        <w:rPr>
          <w:rStyle w:val="13"/>
          <w:rFonts w:hint="eastAsia" w:ascii="微软雅黑" w:hAnsi="微软雅黑" w:eastAsia="微软雅黑" w:cs="微软雅黑"/>
        </w:rPr>
        <w:t>7</w:t>
      </w:r>
      <w:r>
        <w:rPr>
          <w:rFonts w:hint="eastAsia" w:ascii="微软雅黑" w:hAnsi="微软雅黑" w:eastAsia="微软雅黑" w:cs="微软雅黑"/>
        </w:rPr>
        <w:t>)</w:t>
      </w:r>
    </w:p>
    <w:p w14:paraId="1C058A6C">
      <w:pPr>
        <w:pStyle w:val="9"/>
        <w:keepNext w:val="0"/>
        <w:keepLines w:val="0"/>
        <w:widowControl/>
        <w:suppressLineNumbers w:val="0"/>
        <w:spacing w:line="24" w:lineRule="atLeast"/>
      </w:pPr>
      <w:r>
        <w:rPr>
          <w:rFonts w:hint="eastAsia" w:ascii="微软雅黑" w:hAnsi="微软雅黑" w:eastAsia="微软雅黑" w:cs="微软雅黑"/>
        </w:rPr>
        <w:t>总订单量：</w:t>
      </w:r>
      <w:r>
        <w:rPr>
          <w:rStyle w:val="13"/>
          <w:rFonts w:hint="eastAsia" w:ascii="微软雅黑" w:hAnsi="微软雅黑" w:eastAsia="微软雅黑" w:cs="微软雅黑"/>
        </w:rPr>
        <w:t>1</w:t>
      </w:r>
      <w:r>
        <w:rPr>
          <w:rFonts w:hint="eastAsia" w:ascii="微软雅黑" w:hAnsi="微软雅黑" w:eastAsia="微软雅黑" w:cs="微软雅黑"/>
        </w:rPr>
        <w:t xml:space="preserve"> (来自美国市场)</w:t>
      </w:r>
    </w:p>
    <w:p w14:paraId="0CA8E32F">
      <w:pPr>
        <w:pStyle w:val="3"/>
        <w:keepNext w:val="0"/>
        <w:keepLines w:val="0"/>
        <w:widowControl/>
        <w:suppressLineNumbers w:val="0"/>
        <w:spacing w:line="24" w:lineRule="atLeast"/>
      </w:pPr>
      <w:r>
        <w:t>2. 核心产品表现诊断</w:t>
      </w:r>
    </w:p>
    <w:p w14:paraId="510B9B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Style w:val="13"/>
          <w:rFonts w:hint="eastAsia" w:ascii="微软雅黑" w:hAnsi="微软雅黑" w:eastAsia="微软雅黑" w:cs="微软雅黑"/>
        </w:rPr>
        <w:t>FPB-03 (成交担当)</w:t>
      </w:r>
      <w:r>
        <w:rPr>
          <w:rFonts w:hint="eastAsia" w:ascii="微软雅黑" w:hAnsi="微软雅黑" w:eastAsia="微软雅黑" w:cs="微软雅黑"/>
        </w:rPr>
        <w:t>：</w:t>
      </w:r>
      <w:r>
        <w:rPr>
          <w:rStyle w:val="13"/>
          <w:rFonts w:hint="eastAsia" w:ascii="微软雅黑" w:hAnsi="微软雅黑" w:eastAsia="微软雅黑" w:cs="微软雅黑"/>
        </w:rPr>
        <w:t>1</w:t>
      </w:r>
      <w:r>
        <w:rPr>
          <w:rFonts w:hint="eastAsia" w:ascii="微软雅黑" w:hAnsi="微软雅黑" w:eastAsia="微软雅黑" w:cs="微软雅黑"/>
        </w:rPr>
        <w:t xml:space="preserve"> 订单，</w:t>
      </w:r>
      <w:r>
        <w:rPr>
          <w:rStyle w:val="13"/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</w:rPr>
        <w:t xml:space="preserve"> 商机，点击率 </w:t>
      </w:r>
      <w:r>
        <w:rPr>
          <w:rStyle w:val="13"/>
          <w:rFonts w:hint="eastAsia" w:ascii="微软雅黑" w:hAnsi="微软雅黑" w:eastAsia="微软雅黑" w:cs="微软雅黑"/>
        </w:rPr>
        <w:t>3.75%</w:t>
      </w:r>
      <w:r>
        <w:rPr>
          <w:rFonts w:hint="eastAsia" w:ascii="微软雅黑" w:hAnsi="微软雅黑" w:eastAsia="微软雅黑" w:cs="微软雅黑"/>
        </w:rPr>
        <w:t>。结论：核心稳健产品。</w:t>
      </w:r>
    </w:p>
    <w:p w14:paraId="131048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Style w:val="13"/>
          <w:rFonts w:hint="eastAsia" w:ascii="微软雅黑" w:hAnsi="微软雅黑" w:eastAsia="微软雅黑" w:cs="微软雅黑"/>
        </w:rPr>
        <w:t>FPS-437 (高转化潜力)</w:t>
      </w:r>
      <w:r>
        <w:rPr>
          <w:rFonts w:hint="eastAsia" w:ascii="微软雅黑" w:hAnsi="微软雅黑" w:eastAsia="微软雅黑" w:cs="微软雅黑"/>
        </w:rPr>
        <w:t xml:space="preserve">：商机转化率高达 </w:t>
      </w:r>
      <w:r>
        <w:rPr>
          <w:rStyle w:val="13"/>
          <w:rFonts w:hint="eastAsia" w:ascii="微软雅黑" w:hAnsi="微软雅黑" w:eastAsia="微软雅黑" w:cs="微软雅黑"/>
        </w:rPr>
        <w:t>33.33%</w:t>
      </w:r>
      <w:r>
        <w:rPr>
          <w:rFonts w:hint="eastAsia" w:ascii="微软雅黑" w:hAnsi="微软雅黑" w:eastAsia="微软雅黑" w:cs="微软雅黑"/>
        </w:rPr>
        <w:t>（</w:t>
      </w:r>
      <w:r>
        <w:rPr>
          <w:rStyle w:val="13"/>
          <w:rFonts w:hint="eastAsia" w:ascii="微软雅黑" w:hAnsi="微软雅黑" w:eastAsia="微软雅黑" w:cs="微软雅黑"/>
        </w:rPr>
        <w:t>6</w:t>
      </w:r>
      <w:r>
        <w:rPr>
          <w:rFonts w:hint="eastAsia" w:ascii="微软雅黑" w:hAnsi="微软雅黑" w:eastAsia="微软雅黑" w:cs="微软雅黑"/>
        </w:rPr>
        <w:t xml:space="preserve"> 个点击即获 </w:t>
      </w:r>
      <w:r>
        <w:rPr>
          <w:rStyle w:val="13"/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</w:rPr>
        <w:t xml:space="preserve"> 个商机）。结论：建议扩流。</w:t>
      </w:r>
    </w:p>
    <w:p w14:paraId="39C21C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Style w:val="13"/>
          <w:rFonts w:hint="eastAsia" w:ascii="微软雅黑" w:hAnsi="微软雅黑" w:eastAsia="微软雅黑" w:cs="微软雅黑"/>
        </w:rPr>
        <w:t>FPS-413 (引流神器)</w:t>
      </w:r>
      <w:r>
        <w:rPr>
          <w:rFonts w:hint="eastAsia" w:ascii="微软雅黑" w:hAnsi="微软雅黑" w:eastAsia="微软雅黑" w:cs="微软雅黑"/>
        </w:rPr>
        <w:t xml:space="preserve">：点击率 </w:t>
      </w:r>
      <w:r>
        <w:rPr>
          <w:rStyle w:val="13"/>
          <w:rFonts w:hint="eastAsia" w:ascii="微软雅黑" w:hAnsi="微软雅黑" w:eastAsia="微软雅黑" w:cs="微软雅黑"/>
        </w:rPr>
        <w:t>6.82%</w:t>
      </w:r>
      <w:r>
        <w:rPr>
          <w:rFonts w:hint="eastAsia" w:ascii="微软雅黑" w:hAnsi="微软雅黑" w:eastAsia="微软雅黑" w:cs="微软雅黑"/>
        </w:rPr>
        <w:t xml:space="preserve"> (全场最高)，但 </w:t>
      </w:r>
      <w:r>
        <w:rPr>
          <w:rStyle w:val="13"/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</w:rPr>
        <w:t xml:space="preserve"> 商机。结论：详情页承接差，需重点整改价格和 MOQ。</w:t>
      </w:r>
    </w:p>
    <w:p w14:paraId="634FB8A7">
      <w:pPr>
        <w:pStyle w:val="3"/>
        <w:keepNext w:val="0"/>
        <w:keepLines w:val="0"/>
        <w:widowControl/>
        <w:suppressLineNumbers w:val="0"/>
        <w:spacing w:line="24" w:lineRule="atLeast"/>
      </w:pPr>
      <w:r>
        <w:t>3. 建议移出/替换产品</w:t>
      </w:r>
    </w:p>
    <w:p w14:paraId="0999B1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Style w:val="13"/>
          <w:rFonts w:hint="eastAsia" w:ascii="微软雅黑" w:hAnsi="微软雅黑" w:eastAsia="微软雅黑" w:cs="微软雅黑"/>
        </w:rPr>
        <w:t>FPS-91</w:t>
      </w:r>
      <w:r>
        <w:rPr>
          <w:rFonts w:hint="eastAsia" w:ascii="微软雅黑" w:hAnsi="微软雅黑" w:eastAsia="微软雅黑" w:cs="微软雅黑"/>
        </w:rPr>
        <w:t xml:space="preserve"> (CTR </w:t>
      </w:r>
      <w:r>
        <w:rPr>
          <w:rStyle w:val="13"/>
          <w:rFonts w:hint="eastAsia" w:ascii="微软雅黑" w:hAnsi="微软雅黑" w:eastAsia="微软雅黑" w:cs="微软雅黑"/>
        </w:rPr>
        <w:t>1.01%</w:t>
      </w:r>
      <w:r>
        <w:rPr>
          <w:rFonts w:hint="eastAsia" w:ascii="微软雅黑" w:hAnsi="微软雅黑" w:eastAsia="微软雅黑" w:cs="微软雅黑"/>
        </w:rPr>
        <w:t xml:space="preserve">, </w:t>
      </w:r>
      <w:r>
        <w:rPr>
          <w:rStyle w:val="13"/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</w:rPr>
        <w:t xml:space="preserve"> 商机)</w:t>
      </w:r>
    </w:p>
    <w:p w14:paraId="184D45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Style w:val="13"/>
          <w:rFonts w:hint="eastAsia" w:ascii="微软雅黑" w:hAnsi="微软雅黑" w:eastAsia="微软雅黑" w:cs="微软雅黑"/>
        </w:rPr>
        <w:t>FPS-443</w:t>
      </w:r>
      <w:r>
        <w:rPr>
          <w:rFonts w:hint="eastAsia" w:ascii="微软雅黑" w:hAnsi="微软雅黑" w:eastAsia="微软雅黑" w:cs="微软雅黑"/>
        </w:rPr>
        <w:t xml:space="preserve"> (曝光 </w:t>
      </w:r>
      <w:r>
        <w:rPr>
          <w:rStyle w:val="13"/>
          <w:rFonts w:hint="eastAsia" w:ascii="微软雅黑" w:hAnsi="微软雅黑" w:eastAsia="微软雅黑" w:cs="微软雅黑"/>
        </w:rPr>
        <w:t>647</w:t>
      </w:r>
      <w:r>
        <w:rPr>
          <w:rFonts w:hint="eastAsia" w:ascii="微软雅黑" w:hAnsi="微软雅黑" w:eastAsia="微软雅黑" w:cs="微软雅黑"/>
        </w:rPr>
        <w:t xml:space="preserve">, </w:t>
      </w:r>
      <w:r>
        <w:rPr>
          <w:rStyle w:val="13"/>
          <w:rFonts w:hint="eastAsia" w:ascii="微软雅黑" w:hAnsi="微软雅黑" w:eastAsia="微软雅黑" w:cs="微软雅黑"/>
        </w:rPr>
        <w:t>0</w:t>
      </w:r>
      <w:r>
        <w:rPr>
          <w:rFonts w:hint="eastAsia" w:ascii="微软雅黑" w:hAnsi="微软雅黑" w:eastAsia="微软雅黑" w:cs="微软雅黑"/>
        </w:rPr>
        <w:t xml:space="preserve"> 商机)</w:t>
      </w:r>
    </w:p>
    <w:p w14:paraId="501DA956">
      <w:pPr>
        <w:pStyle w:val="3"/>
        <w:keepNext w:val="0"/>
        <w:keepLines w:val="0"/>
        <w:widowControl/>
        <w:suppressLineNumbers w:val="0"/>
        <w:spacing w:line="24" w:lineRule="atLeast"/>
      </w:pPr>
      <w:r>
        <w:t>4. 优化行动指南</w:t>
      </w:r>
    </w:p>
    <w:p w14:paraId="5AA095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Fonts w:hint="eastAsia" w:ascii="微软雅黑" w:hAnsi="微软雅黑" w:eastAsia="微软雅黑" w:cs="微软雅黑"/>
        </w:rPr>
        <w:t>维持美国市场的核心投放。</w:t>
      </w:r>
    </w:p>
    <w:p w14:paraId="100E95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Fonts w:hint="eastAsia" w:ascii="微软雅黑" w:hAnsi="微软雅黑" w:eastAsia="微软雅黑" w:cs="微软雅黑"/>
        </w:rPr>
        <w:t xml:space="preserve">对 </w:t>
      </w:r>
      <w:r>
        <w:rPr>
          <w:rStyle w:val="13"/>
          <w:rFonts w:hint="eastAsia" w:ascii="微软雅黑" w:hAnsi="微软雅黑" w:eastAsia="微软雅黑" w:cs="微软雅黑"/>
        </w:rPr>
        <w:t>FPS-413</w:t>
      </w:r>
      <w:r>
        <w:rPr>
          <w:rFonts w:hint="eastAsia" w:ascii="微软雅黑" w:hAnsi="微软雅黑" w:eastAsia="微软雅黑" w:cs="微软雅黑"/>
        </w:rPr>
        <w:t xml:space="preserve"> 进行详情页 A/B 测试，优化拿样转化。</w:t>
      </w:r>
    </w:p>
    <w:p w14:paraId="20E131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75" w:beforeAutospacing="0" w:after="75" w:afterAutospacing="0" w:line="24" w:lineRule="atLeast"/>
        <w:ind w:left="0" w:right="0" w:hanging="360"/>
      </w:pPr>
      <w:r>
        <w:rPr>
          <w:rFonts w:hint="eastAsia" w:ascii="微软雅黑" w:hAnsi="微软雅黑" w:eastAsia="微软雅黑" w:cs="微软雅黑"/>
        </w:rPr>
        <w:t xml:space="preserve">开启 </w:t>
      </w:r>
      <w:r>
        <w:rPr>
          <w:rStyle w:val="13"/>
          <w:rFonts w:hint="eastAsia" w:ascii="微软雅黑" w:hAnsi="微软雅黑" w:eastAsia="微软雅黑" w:cs="微软雅黑"/>
        </w:rPr>
        <w:t>L1+</w:t>
      </w:r>
      <w:r>
        <w:rPr>
          <w:rFonts w:hint="eastAsia" w:ascii="微软雅黑" w:hAnsi="微软雅黑" w:eastAsia="微软雅黑" w:cs="微软雅黑"/>
        </w:rPr>
        <w:t xml:space="preserve"> 标签溢价，提升流量质量。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5554B4"/>
    <w:multiLevelType w:val="multilevel"/>
    <w:tmpl w:val="E85554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262D40B"/>
    <w:multiLevelType w:val="multilevel"/>
    <w:tmpl w:val="5262D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71877FB"/>
    <w:multiLevelType w:val="multilevel"/>
    <w:tmpl w:val="571877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26917F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0070C0" w:sz="12" w:space="7"/>
      </w:pBd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left w:val="single" w:color="0070C0" w:sz="36" w:space="7"/>
      </w:pBdr>
      <w:spacing w:before="375" w:beforeAutospacing="0" w:after="0" w:afterAutospacing="1"/>
      <w:jc w:val="left"/>
    </w:pPr>
    <w:rPr>
      <w:rFonts w:hint="eastAsia" w:ascii="宋体" w:hAnsi="宋体" w:eastAsia="宋体" w:cs="宋体"/>
      <w:b/>
      <w:bCs/>
      <w:color w:val="0070C0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150" w:beforeAutospacing="0" w:after="150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2">
    <w:name w:val="bold"/>
    <w:basedOn w:val="1"/>
    <w:uiPriority w:val="0"/>
    <w:pPr>
      <w:jc w:val="left"/>
    </w:pPr>
    <w:rPr>
      <w:b/>
      <w:bCs/>
      <w:kern w:val="0"/>
      <w:lang w:val="en-US" w:eastAsia="zh-CN" w:bidi="ar"/>
    </w:rPr>
  </w:style>
  <w:style w:type="character" w:customStyle="1" w:styleId="13">
    <w:name w:val="bold1"/>
    <w:basedOn w:val="11"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2026-05-19T02:48:57Z</dcterms:created>
  <cp:lastModifiedBy>.</cp:lastModifiedBy>
  <dcterms:modified xsi:type="dcterms:W3CDTF">2026-05-19T02:48:58Z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374E3FD9242C4A94A1D18F95AFDAB6F7_13</vt:lpwstr>
  </property>
</Properties>
</file>