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40"/>
        <w:rPr/>
      </w:pPr>
      <w:r>
        <w:rPr/>
        <w:t>Full Completion Additional Experiment Tables</w:t>
      </w:r>
    </w:p>
    <w:p>
      <w:pPr>
        <w:pStyle w:val="TextBody"/>
        <w:bidi w:val="0"/>
        <w:spacing w:lineRule="auto" w:line="276" w:before="100" w:after="100"/>
        <w:ind w:left="100" w:right="100" w:hanging="0"/>
        <w:jc w:val="left"/>
        <w:rPr/>
      </w:pPr>
      <w:r>
        <w:rPr>
          <w:b/>
        </w:rPr>
        <w:t>Purpose.</w:t>
      </w:r>
      <w:r>
        <w:rPr/>
        <w:t xml:space="preserve"> This table package replaces the prior Gisette placeholder coverage rows with numeric rerun results where the completion artifacts exist. It keeps mixed results visible instead of turning every row into a positive narrative.</w:t>
      </w:r>
    </w:p>
    <w:p>
      <w:pPr>
        <w:pStyle w:val="TextBodynote"/>
        <w:bidi w:val="0"/>
        <w:jc w:val="left"/>
        <w:rPr/>
      </w:pPr>
      <w:r>
        <w:rPr>
          <w:b/>
        </w:rPr>
        <w:t>Key caveats.</w:t>
      </w:r>
      <w:r>
        <w:rPr/>
        <w:t xml:space="preserve"> Gisette lambda/seed rows are fixed-fold seed reruns, the Gisette sequential row is a fixed-fold schedule comparison with a mixed outcome, and the Gisette correlated-feature row remains a representative top-100 subset stress test.</w:t>
      </w:r>
    </w:p>
    <w:p>
      <w:pPr>
        <w:pStyle w:val="Heading2"/>
        <w:bidi w:val="0"/>
        <w:jc w:val="left"/>
        <w:rPr/>
      </w:pPr>
      <w:r>
        <w:rPr/>
        <w:t>Coverage Matrix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8"/>
        <w:gridCol w:w="796"/>
        <w:gridCol w:w="796"/>
        <w:gridCol w:w="976"/>
        <w:gridCol w:w="1341"/>
        <w:gridCol w:w="3908"/>
      </w:tblGrid>
      <w:tr>
        <w:trPr/>
        <w:tc>
          <w:tcPr>
            <w:tcW w:w="238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evidence_block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bcwd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vowel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spambase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gisette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claim_boundary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Threshold tau sweep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4-dataset sensitivity evidence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Sparsity lambda/seed retraining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 row is fixed fold 1, seeds 0-4; avoid claiming 5-fold lambda sweep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vs Primary checkpoint attribution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4-dataset Full-Primary delta and zero hard-route overlap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Sequential vs joint schedule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 is numeric but mixed; no universal sequential-superiority claim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Architecture training-tier ablation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for attribution; preserve cases where dense/no-disjoint is higher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Correlated-copy stress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 top-100 subset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Group-level explanation under high collinearity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Product-vs-HTSK firing comparison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HTSK as numerical scale-control, not sole performance cause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Strong tabular baselines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 not claim universal dominance over all tabular baselines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SHAP/LIME local deletion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GRS explanations are complementary, not universally more faithful locally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Intrinsic rule-path metrics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Model-native rule-path evidence</w:t>
            </w:r>
          </w:p>
        </w:tc>
      </w:tr>
      <w:tr>
        <w:trPr/>
        <w:tc>
          <w:tcPr>
            <w:tcW w:w="2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Paired statistics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</w:t>
            </w:r>
          </w:p>
        </w:tc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Current revision-rerun fold evidence only</w:t>
            </w:r>
          </w:p>
        </w:tc>
      </w:tr>
    </w:tbl>
    <w:p>
      <w:pPr>
        <w:pStyle w:val="Heading2"/>
        <w:bidi w:val="0"/>
        <w:jc w:val="left"/>
        <w:rPr/>
      </w:pPr>
      <w:r>
        <w:rPr/>
        <w:t>Threshold Sensitivity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0"/>
        <w:gridCol w:w="747"/>
        <w:gridCol w:w="747"/>
        <w:gridCol w:w="747"/>
        <w:gridCol w:w="747"/>
        <w:gridCol w:w="747"/>
        <w:gridCol w:w="984"/>
        <w:gridCol w:w="1056"/>
        <w:gridCol w:w="3420"/>
      </w:tblGrid>
      <w:tr>
        <w:trPr/>
        <w:tc>
          <w:tcPr>
            <w:tcW w:w="101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tau_0.3_f1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tau_0.4_f1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tau_0.5_f1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tau_0.6_f1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tau_0.7_f1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selected_at_0.5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mask_jaccard_at_0.5</w:t>
            </w:r>
          </w:p>
        </w:tc>
        <w:tc>
          <w:tcPr>
            <w:tcW w:w="342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0.9415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0.9542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0.9524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0.9412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0.9267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75.8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0.9045</w:t>
            </w:r>
          </w:p>
        </w:tc>
        <w:tc>
          <w:tcPr>
            <w:tcW w:w="34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legacy/revision robustness summary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0.9394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0.9524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0.9606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0.9334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0.8868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0.7909</w:t>
            </w:r>
          </w:p>
        </w:tc>
        <w:tc>
          <w:tcPr>
            <w:tcW w:w="34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legacy/revision robustness summary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0.8842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0.9009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0.9120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0.8658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0.7941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48.0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0.8056</w:t>
            </w:r>
          </w:p>
        </w:tc>
        <w:tc>
          <w:tcPr>
            <w:tcW w:w="34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legacy/revision robustness summary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0.9757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0.9757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0.9758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0.6667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0.6667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2680.80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0.6011</w:t>
            </w:r>
          </w:p>
        </w:tc>
        <w:tc>
          <w:tcPr>
            <w:tcW w:w="34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/home/harp3133t/Research/03_Research/GH-ANFIS_E404/rebuttal_full_completion/artifacts/gisette_full_completion/mat5_threshold_sparsity_seed_rerun/tau_summary_by_dataset.csv</w:t>
            </w:r>
          </w:p>
        </w:tc>
      </w:tr>
    </w:tbl>
    <w:p>
      <w:pPr>
        <w:pStyle w:val="Heading2"/>
        <w:bidi w:val="0"/>
        <w:jc w:val="left"/>
        <w:rPr/>
      </w:pPr>
      <w:r>
        <w:rPr/>
        <w:t>Sparsity Lambda Seed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1"/>
        <w:gridCol w:w="796"/>
        <w:gridCol w:w="1105"/>
        <w:gridCol w:w="1105"/>
        <w:gridCol w:w="1012"/>
        <w:gridCol w:w="871"/>
        <w:gridCol w:w="829"/>
        <w:gridCol w:w="3476"/>
      </w:tblGrid>
      <w:tr>
        <w:trPr/>
        <w:tc>
          <w:tcPr>
            <w:tcW w:w="10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lambda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full_acc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full_f1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selected_features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mask_jaccard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pc_overlap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0.9714 +/- 0.0101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0.9567 +/- 0.0156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69.2 +/- 3.2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0.8102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0.9771 +/- 0.0083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0.9658 +/- 0.0126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40.6 +/- 2.7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0.7334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0.9600 +/- 0.0035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0.9402 +/- 0.0049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13.2 +/- 1.3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0.6486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0.9616 +/- 0.0118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0.9614 +/- 0.0119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26.8 +/- 1.3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0.9152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0.9545 +/- 0.0090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0.9544 +/- 0.0091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21.4 +/- 3.1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0.7880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0.9394 +/- 0.0146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0.9387 +/- 0.0146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10.0 +/- 0.0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0.9309 +/- 0.0023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0.9117 +/- 0.0033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47.4 +/- 1.4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0.8778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0.9262 +/- 0.0045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0.9055 +/- 0.0054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26.8 +/- 2.3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0.7707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0.9058 +/- 0.0064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0.8776 +/- 0.0077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9.2 +/- 0.4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0.9000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MAT-5 targeted rerun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0.9752 +/- 0.0008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0.9751 +/- 0.0008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4543.8 +/- 26.9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0.8761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/home/harp3133t/Research/03_Research/GH-ANFIS_E404/rebuttal_full_completion/artifacts/gisette_full_completion/mat5_threshold_sparsity_seed_rerun/lambda_seed_summary.csv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0.9760 +/- 0.0010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0.9759 +/- 0.0010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2399.6 +/- 12.3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0.8557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/home/harp3133t/Research/03_Research/GH-ANFIS_E404/rebuttal_full_completion/artifacts/gisette_full_completion/mat5_threshold_sparsity_seed_rerun/lambda_seed_summary.csv</w:t>
            </w:r>
          </w:p>
        </w:tc>
      </w:tr>
      <w:tr>
        <w:trPr/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0.9692 +/- 0.0020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0.9691 +/- 0.0021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358.0 +/- 5.9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0.8170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/home/harp3133t/Research/03_Research/GH-ANFIS_E404/rebuttal_full_completion/artifacts/gisette_full_completion/mat5_threshold_sparsity_seed_rerun/lambda_seed_summary.csv</w:t>
            </w:r>
          </w:p>
        </w:tc>
      </w:tr>
    </w:tbl>
    <w:p>
      <w:pPr>
        <w:pStyle w:val="Heading2"/>
        <w:bidi w:val="0"/>
        <w:jc w:val="left"/>
        <w:rPr/>
      </w:pPr>
      <w:r>
        <w:rPr/>
        <w:t>Full Vs Primary Checkpoint</w:t>
      </w:r>
    </w:p>
    <w:tbl>
      <w:tblPr>
        <w:tblW w:w="83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706"/>
        <w:gridCol w:w="1141"/>
        <w:gridCol w:w="811"/>
        <w:gridCol w:w="1636"/>
        <w:gridCol w:w="2716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full_f1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primary_f1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delta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effective_overlap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0.9630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0.9585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+0.0044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MAT-6 checkpoint attribution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0.9662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0.9651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+0.0011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MAT-6 checkpoint attribution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0.9136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0.9059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+0.0076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MAT-6 checkpoint attribution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0.9758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0.9755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+0.0003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MAT-6 checkpoint attribution</w:t>
            </w:r>
          </w:p>
        </w:tc>
      </w:tr>
    </w:tbl>
    <w:p>
      <w:pPr>
        <w:pStyle w:val="Heading2"/>
        <w:bidi w:val="0"/>
        <w:jc w:val="left"/>
        <w:rPr/>
      </w:pPr>
      <w:r>
        <w:rPr/>
        <w:t>Sequential Vs Joint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8"/>
        <w:gridCol w:w="1200"/>
        <w:gridCol w:w="1172"/>
        <w:gridCol w:w="1324"/>
        <w:gridCol w:w="1241"/>
        <w:gridCol w:w="4170"/>
      </w:tblGrid>
      <w:tr>
        <w:trPr/>
        <w:tc>
          <w:tcPr>
            <w:tcW w:w="109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sequential_f1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joint_no_freeze_f1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stage1_unfreeze_f1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effective_overlap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claim_boundary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0.9373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0.9171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0.9288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 schedule comparison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0.9708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0.9347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0.9696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 schedule comparison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0.9191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0.8045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0.9056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 schedule comparison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0.9732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0.9757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0.9784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numeric fixed-fold rerun; mixed result, so no universal sequential-superiority claim</w:t>
            </w:r>
          </w:p>
        </w:tc>
      </w:tr>
    </w:tbl>
    <w:p>
      <w:pPr>
        <w:pStyle w:val="Heading2"/>
        <w:bidi w:val="0"/>
        <w:jc w:val="left"/>
        <w:rPr/>
      </w:pPr>
      <w:r>
        <w:rPr/>
        <w:t>Architecture Ablation</w:t>
      </w:r>
    </w:p>
    <w:tbl>
      <w:tblPr>
        <w:tblW w:w="104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901"/>
        <w:gridCol w:w="1411"/>
        <w:gridCol w:w="1006"/>
        <w:gridCol w:w="1006"/>
        <w:gridCol w:w="901"/>
        <w:gridCol w:w="886"/>
        <w:gridCol w:w="961"/>
        <w:gridCol w:w="961"/>
        <w:gridCol w:w="141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variant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variant_label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full_acc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full_f1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selected_features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mask_overlap_rate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primary_f1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full_minus_primary_f1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full_grs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GRS-ANFIS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0.9556 +/- 0.0139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0.9338 +/- 0.0226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72.20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0.9246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0.0092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primary_only_same_budget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Primary-only,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0.9528 +/- 0.0097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0.9308 +/- 0.0150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0.9308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joint_training_same_budget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training,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0.9528 +/- 0.0097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0.9304 +/- 0.0149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52.60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0.9263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no_disjoint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disjoint complementary routing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0.9499 +/- 0.0064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0.9260 +/- 0.0115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73.80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0.4565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0.9257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no_hard_finetune_same_budget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hard fine-tune,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0.9413 +/- 0.0083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0.9129 +/- 0.0143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78.60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0.8957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0.0172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dense_tsk_same_rules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 TSK-ANFIS, same total rules/epochs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0.9628 +/- 0.0114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0.9462 +/- 0.0167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prod_firing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firing instead of HTSK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0.9514 +/- 0.0199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0.9286 +/- 0.0293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78.40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0.9291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-0.0004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/home/harp3133t/Research/03_Research/GH-ANFIS_E404/rebuttal_full_completion/artifacts/legacy_preprocessing_bcwvowel/mat6_architecture_bcwd/attribution_summary.csv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full_grs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GRS-ANFIS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0.9705 +/- 0.0032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0.9704 +/- 0.0032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2698.00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0.9701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primary_only_same_budget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Primary-only,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0.9710 +/- 0.0040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0.9710 +/- 0.0039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2287.00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0.9710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joint_training_same_budget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training,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0.9687 +/- 0.0037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0.9686 +/- 0.0036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3333.50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0.9687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-0.0000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no_disjoint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disjoint complementary routing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0.9722 +/- 0.0042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0.9722 +/- 0.0041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2394.50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0.3207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0.9727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-0.0005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no_hard_finetune_same_budget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hard fine-tune,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0.9675 +/- 0.0038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0.9674 +/- 0.0038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2346.50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0.9669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dense_tsk_same_rules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 TSK-ANFIS, same total rules/epochs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0.9685 +/- 0.0045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0.9684 +/- 0.0045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5000.00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prod_firing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firing instead of HTSK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0.5000 +/- 0.0000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0.3333 +/- 0.3333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0.6667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-0.3333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/home/harp3133t/Research/03_Research/GH-ANFIS_E404/rebuttal_full_completion/artifacts/gisette_full_completion/mat6_architecture_gisette/attribution_summary.csv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full_grs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GRS-ANFIS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0.9352 +/- 0.0058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0.9172 +/- 0.0080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0.9092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0.0080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primary_only_same_budget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Primary-only,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0.9333 +/- 0.0081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0.9148 +/- 0.0102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41.20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0.9148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joint_training_same_budget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training,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0.8570 +/- 0.0481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0.8336 +/- 0.0373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0.8006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0.0331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no_disjoint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disjoint complementary routing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0.9385 +/- 0.0069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0.9211 +/- 0.0096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52.40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0.3574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0.9034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0.0177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no_hard_finetune_same_budget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hard fine-tune,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0.9294 +/- 0.0074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0.9099 +/- 0.0096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56.80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0.8696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0.0403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dense_tsk_same_rules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 TSK-ANFIS, same total rules/epochs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0.9418 +/- 0.0051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0.9257 +/- 0.0062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prod_firing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firing instead of HTSK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0.9220 +/- 0.0104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0.9003 +/- 0.0143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0.9009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-0.0006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/home/harp3133t/Research/03_Research/GH-ANFIS_E404/rebuttal_full_completion/artifacts/gisette_full_completion/mat6_architecture_spambase/attribution_summary.csv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full_grs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GRS-ANFIS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0.9657 +/- 0.0074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0.9656 +/- 0.0076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0.9584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0.0073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primary_only_same_budget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Primary-only,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0.9556 +/- 0.0141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0.9555 +/- 0.0141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0.9555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joint_training_same_budget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training,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0.7899 +/- 0.0465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0.7881 +/- 0.0466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0.7311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0.0570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no_disjoint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disjoint complementary routing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0.9697 +/- 0.0055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0.9695 +/- 0.0057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0.9494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0.0201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no_hard_finetune_same_budget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hard fine-tune, same epoch budget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0.7747 +/- 0.1155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0.7731 +/- 0.1159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27.40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0.6610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0.1121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dense_tsk_same_rules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Dense TSK-ANFIS, same total rules/epochs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0.9727 +/- 0.0052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0.9726 +/- 0.0053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29.00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prod_firing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firing instead of HTSK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0.9475 +/- 0.0185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0.9474 +/- 0.0185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28.20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0.9370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0.0104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/home/harp3133t/Research/03_Research/GH-ANFIS_E404/rebuttal_full_completion/artifacts/legacy_preprocessing_bcwvowel/mat6_architecture_vowel/attribution_summary.csv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Correlated Feature Stress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1"/>
        <w:gridCol w:w="880"/>
        <w:gridCol w:w="1134"/>
        <w:gridCol w:w="1014"/>
        <w:gridCol w:w="1385"/>
        <w:gridCol w:w="2669"/>
        <w:gridCol w:w="1992"/>
      </w:tblGrid>
      <w:tr>
        <w:trPr/>
        <w:tc>
          <w:tcPr>
            <w:tcW w:w="11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acc_delta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selected_delta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raw_jaccard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collapsed_jaccard</w:t>
            </w:r>
          </w:p>
        </w:tc>
        <w:tc>
          <w:tcPr>
            <w:tcW w:w="266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role_assignment_summary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scope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+3.2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0.8003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0.8207</w:t>
            </w:r>
          </w:p>
        </w:tc>
        <w:tc>
          <w:tcPr>
            <w:tcW w:w="2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64%, single 24%, neither 12%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dataset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+0.0091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+8.2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0.9102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0.8930</w:t>
            </w:r>
          </w:p>
        </w:tc>
        <w:tc>
          <w:tcPr>
            <w:tcW w:w="2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100%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dataset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+0.0017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0.7412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0.7970</w:t>
            </w:r>
          </w:p>
        </w:tc>
        <w:tc>
          <w:tcPr>
            <w:tcW w:w="2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28%, single 44%, neither 8%, split 20%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dataset</w:t>
            </w:r>
          </w:p>
        </w:tc>
      </w:tr>
      <w:tr>
        <w:trPr/>
        <w:tc>
          <w:tcPr>
            <w:tcW w:w="1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+5.2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0.8745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0.8732</w:t>
            </w:r>
          </w:p>
        </w:tc>
        <w:tc>
          <w:tcPr>
            <w:tcW w:w="2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76%, single 4%, neither 20%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representative top-100 subset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Product Vs Htsk Firing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6"/>
        <w:gridCol w:w="751"/>
        <w:gridCol w:w="1035"/>
        <w:gridCol w:w="1035"/>
        <w:gridCol w:w="1035"/>
        <w:gridCol w:w="1035"/>
        <w:gridCol w:w="1042"/>
        <w:gridCol w:w="1051"/>
        <w:gridCol w:w="2245"/>
      </w:tblGrid>
      <w:tr>
        <w:trPr/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mode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acc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f1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base_near_zero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comp_near_zero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comp_max_weight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comp_effective_rules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HTSK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0.9557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0.9353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0.1032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10.94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MAT-9 product-vs-HTSK summary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0.9657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0.9501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0.1354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0.1482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10.16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MAT-9 product-vs-HTSK summary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HTSK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0.9733 +/- 0.0053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0.9733 +/- 0.0052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0.0914 +/- 0.0000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10.9999 +/- 0.0000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/home/harp3133t/Research/03_Research/GH-ANFIS_E404/rebuttal_full_completion/artifacts/gisette_full_completion/htsk_firing_vowel_gisette/reviewer_table.csv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0.5000 +/- 0.0000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0.4444 +/- 0.3849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0.0909 +/- 0.0000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11.0000 +/- 0.0000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/home/harp3133t/Research/03_Research/GH-ANFIS_E404/rebuttal_full_completion/artifacts/gisette_full_completion/htsk_firing_vowel_gisette/reviewer_table.csv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HTSK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0.9287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0.9078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0.1514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10.15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MAT-9 product-vs-HTSK summary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0.9270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0.9056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0.0710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0.1218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0.4449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3.84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MAT-9 product-vs-HTSK summary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HTSK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0.9444 +/- 0.0156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0.9440 +/- 0.0159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0.0909 +/- 0.0000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11.0000 +/- 0.0000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/home/harp3133t/Research/03_Research/GH-ANFIS_E404/rebuttal_full_completion/artifacts/gisette_full_completion/htsk_firing_vowel_gisette/reviewer_table.csv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0.9343 +/- 0.0126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0.9339 +/- 0.0128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0.0000 +/- 0.0000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0.0909 +/- 0.0000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11.0000 +/- 0.0000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/home/harp3133t/Research/03_Research/GH-ANFIS_E404/rebuttal_full_completion/artifacts/gisette_full_completion/htsk_firing_vowel_gisette/reviewer_table.csv</w:t>
            </w:r>
          </w:p>
        </w:tc>
      </w:tr>
    </w:tbl>
    <w:p>
      <w:pPr>
        <w:pStyle w:val="Heading2"/>
        <w:bidi w:val="0"/>
        <w:jc w:val="left"/>
        <w:rPr/>
      </w:pPr>
      <w:r>
        <w:rPr/>
        <w:t>Strong Tabular Baselines</w:t>
      </w:r>
    </w:p>
    <w:tbl>
      <w:tblPr>
        <w:tblW w:w="74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066"/>
        <w:gridCol w:w="691"/>
        <w:gridCol w:w="691"/>
        <w:gridCol w:w="916"/>
        <w:gridCol w:w="1096"/>
        <w:gridCol w:w="931"/>
        <w:gridCol w:w="736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input_dim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RF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HGB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XGBoost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LightGBM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CatBoost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EBM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0.9467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0.9377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0.9295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0.9381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0.9459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0.9588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0.9755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0.9143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0.9196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0.9390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0.9031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0.9027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0.9401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0.9374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0.9375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0.9419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0.9347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0.9345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5000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0.9700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0.9733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0.9774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0.9792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0.9732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0.9740</w:t>
            </w:r>
          </w:p>
        </w:tc>
      </w:tr>
    </w:tbl>
    <w:p>
      <w:pPr>
        <w:pStyle w:val="Heading2"/>
        <w:bidi w:val="0"/>
        <w:jc w:val="left"/>
        <w:rPr/>
      </w:pPr>
      <w:r>
        <w:rPr/>
        <w:t>Local Deletion Faithfulness</w:t>
      </w:r>
    </w:p>
    <w:tbl>
      <w:tblPr>
        <w:tblW w:w="77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231"/>
        <w:gridCol w:w="796"/>
        <w:gridCol w:w="871"/>
        <w:gridCol w:w="360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grs_intrinsic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shap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lime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-0.0089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0.1630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0.0687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SHAP strongest under local perturbation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0.7333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0.8338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0.6611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methods respond, SHAP highest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0.0693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0.1582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0.0065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SHAP strongest, LIME weak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0.00065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0.00065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-0.00001</w:t>
            </w:r>
          </w:p>
        </w:tc>
        <w:tc>
          <w:tcPr>
            <w:tcW w:w="3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deletion effect is negligible</w:t>
            </w:r>
          </w:p>
        </w:tc>
      </w:tr>
    </w:tbl>
    <w:p>
      <w:pPr>
        <w:pStyle w:val="Heading2"/>
        <w:bidi w:val="0"/>
        <w:jc w:val="left"/>
        <w:rPr/>
      </w:pPr>
      <w:r>
        <w:rPr/>
        <w:t>Intrinsic Rule Metrics</w:t>
      </w:r>
    </w:p>
    <w:tbl>
      <w:tblPr>
        <w:tblW w:w="89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426"/>
        <w:gridCol w:w="1741"/>
        <w:gridCol w:w="2401"/>
        <w:gridCol w:w="207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mask_stability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primary_coverage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complementary_coverage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top3_rule_agreement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0.9928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0.9101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0.8490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0.6571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0.9763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0.6011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1.0000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0.9998</w:t>
            </w:r>
          </w:p>
        </w:tc>
      </w:tr>
    </w:tbl>
    <w:p>
      <w:pPr>
        <w:pStyle w:val="Heading2"/>
        <w:bidi w:val="0"/>
        <w:jc w:val="left"/>
        <w:rPr/>
      </w:pPr>
      <w:r>
        <w:rPr/>
        <w:t>Paired Statistics</w:t>
      </w:r>
    </w:p>
    <w:tbl>
      <w:tblPr>
        <w:tblW w:w="62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711"/>
        <w:gridCol w:w="946"/>
        <w:gridCol w:w="706"/>
        <w:gridCol w:w="841"/>
        <w:gridCol w:w="75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comparator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acc_delta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acc_p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f1_delta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jc w:val="center"/>
              <w:rPr/>
            </w:pPr>
            <w:r>
              <w:rPr/>
              <w:t>f1_p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Breast Cancer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+0.0100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0.0249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+0.0144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0.0301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+0.1909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0.0019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+0.1944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0.0020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PSO-ANFIS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+0.1455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0.0032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+0.1466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0.0036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H-ANFIS(Avg)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+0.0273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0.0197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+0.0271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0.0202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Vowel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SVM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+0.1141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+0.1152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GRS-ANFIS(base)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+0.0061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0.0175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+0.0076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0.0216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+0.0154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0.0020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+0.0229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PSO-ANFIS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+0.0352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0.0011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+0.0520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H-ANFIS(Avg)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+0.0130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0.0026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+0.0188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0.0014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Spambase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SVM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+0.2204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+0.3624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+0.0263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+0.0268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+0.0470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+0.0469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PSO-ANFIS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+0.0527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+0.0525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&lt;0.001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Gisette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H-ANFIS(Avg)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+0.0035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0.0146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+0.0036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0.0118</w:t>
            </w:r>
          </w:p>
        </w:tc>
      </w:tr>
    </w:tbl>
    <w:p>
      <w:pPr>
        <w:pStyle w:val="TextBody"/>
        <w:bidi w:val="0"/>
        <w:spacing w:lineRule="auto" w:line="276" w:before="100" w:after="100"/>
        <w:ind w:left="100" w:right="100" w:hanging="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altName w:val="serif"/>
    <w:charset w:val="00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Times New Roman;serif" w:hAnsi="Times New Roman;serif" w:eastAsia="Times New Roman;serif" w:cs="Times New Roman;serif"/>
      <w:color w:val="11111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360" w:after="240"/>
      <w:ind w:left="360" w:right="360" w:hanging="0"/>
      <w:jc w:val="center"/>
      <w:outlineLvl w:val="0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spacing w:before="320" w:after="160"/>
      <w:ind w:left="320" w:right="320" w:hanging="0"/>
      <w:outlineLvl w:val="1"/>
    </w:pPr>
    <w:rPr>
      <w:rFonts w:ascii="Liberation Serif" w:hAnsi="Liberation Serif" w:eastAsia="Noto Serif CJK SC" w:cs="Lohit Devanagari"/>
      <w:b/>
      <w:bCs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100" w:after="100"/>
      <w:ind w:left="100" w:right="10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note">
    <w:name w:val="Text Body.note"/>
    <w:basedOn w:val="TextBody"/>
    <w:qFormat/>
    <w:pPr/>
    <w:rPr>
      <w:color w:val="4444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Full Completion Additional Experiment Tables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