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Which one of the following circumstances is the best indication that a firm is experiencing financial distress?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Some of the firm's cash customers begin to charge their purchases.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market value of the firm's stock declines by 10 percent in line with the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firm's operating cash flow is repeatedly insufficient to pay current obligations.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firm's cash distributions are eliminated and replaced with stock repurchases.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firm's accounts payable turnover rate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Insolvency can be defined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not having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having less cash than the firm needs for one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inability to pay one’s debts.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inability to increase one’s debts.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present value of payments being less than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Stock-based insolvency is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income statement measurement.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balance sheet measurement.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book value measurement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an income statement measurement and a book value measurement.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 balance sheet and a book value measurement.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Flow-based insolvency is defined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balance sheet measurement.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negative equity position.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negative cash flow in any one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negative net profit for the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insufficient operating cash flow to meet current obligations.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Periods of financial distress are most associated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continued increases in earnings.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steady growth.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dividend reductions.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growth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production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 firm has several options available to it in times of financial distress. The firm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capital and R &amp; D spending.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raise new funds by selling securities or major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file for bankruptcy.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negotiate with lenders.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take any or all of the other actions.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Rather than failing, many firms can actually benefit from financial distress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re-evaluating their core operations and restructuring their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selectively ceasing payment on some of their outstanding debts.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filing for Chapter 7 bankruptcy.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liquidating.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increasing their debt load.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Both ________ are two primary methods of financial restructuring.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private workout and a Chapter 7 bankruptcy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Chapter 7 and a Chapter 11 bankruptcy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replacing debt with equity and a private workout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private workout and a Chapter 11 bankruptcy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stock repurchase and a Chapter 11 bankruptcy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 xml:space="preserve">Firms are </w:t>
      </w:r>
      <w:r>
        <w:rPr>
          <w:rFonts w:ascii="Times New Roman"/>
          <w:b w:val="false"/>
          <w:i/>
          <w:color w:val="000000"/>
          <w:sz w:val="24"/>
        </w:rPr>
        <w:t>least</w:t>
      </w:r>
      <w:r>
        <w:rPr>
          <w:rFonts w:ascii="Times New Roman"/>
          <w:b w:val="false"/>
          <w:i w:val="false"/>
          <w:color w:val="000000"/>
          <w:sz w:val="24"/>
        </w:rPr>
        <w:t xml:space="preserve"> likely to deal with financial distress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major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merging with another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issuing new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exchanging debt for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acquiring a competitor.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Financial distress is </w:t>
      </w:r>
      <w:r>
        <w:rPr>
          <w:rFonts w:ascii="Times New Roman"/>
          <w:b w:val="false"/>
          <w:i/>
          <w:color w:val="000000"/>
          <w:sz w:val="24"/>
        </w:rPr>
        <w:t>least</w:t>
      </w:r>
      <w:r>
        <w:rPr>
          <w:rFonts w:ascii="Times New Roman"/>
          <w:b w:val="false"/>
          <w:i w:val="false"/>
          <w:color w:val="000000"/>
          <w:sz w:val="24"/>
        </w:rPr>
        <w:t xml:space="preserve"> likely to lead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restructuring.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financial restructuring.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liquidation.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issuing new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 xml:space="preserve">A Chapter 7 bankruptcy involves all of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filing a petition in federal court.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issuing new equity securities to current shareholders.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appointing of a bankruptcy trustee.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administration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distribution of liquidation proceeds.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APR, as it relates to the liquidation of a firm, means the rules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absolute profitability.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arbitration priority.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absolute priority.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arbitration profitability.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automatic profitability.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difference between liquidation and reorganization is that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reorganization terminates all operations of the firm, while a liquidation only terminates non-profitable operations.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liquidation terminates all operations immediately, while a reorganization terminates operations over two, or more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liquidation terminates all operations and a reorganization maintains the option of the firm as a going concern.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liquidation deals with net working capital, while a reorganization deals with long-term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liquidation must occur outside of bankruptcy, while a reorganization involves the bankruptcy process.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major difference between Chapter 7 and Chapter 11 proceedings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liquidation occurs in Chapter 11 but reorganization is the objective under Chapter 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there is no priority of claims under Chapter 11.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liquidation automatically occurs in Chapter 7 but may or may not occur under Chapter 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administrative or legal costs are incurred under Chapter 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Chapter 11 is voluntary and Chapter 7 is involuntary.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 firm in financial distress that reorganizes through the bankruptcy process: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continue to operate as a going concern throughout the entire process.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must have the reorganization plan approved by only its primary creditor.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cannot issue new securities to either creditors or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must file a reorganization plan within 90 days of filing the bankruptcy petition.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abide by the Section 363 provisions of Chapter 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corporation is adjudged bankrupt under Chapter 7. Based on APR, shareholders receive payment, if funds are remaining, after: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bankruptcy administrator but before the creditors.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secured creditors but before unsecured creditors.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unsecured creditors but before the IRS.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employees but before the IRS.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other parties have been paid.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From highest to lowest, APR ranks the claims in a bankruptcy liquidation in the following order: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administrative expenses, wages, government taxes, secured creditors, unsecured creditors, and stockholders.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administrative expenses, wages, government taxes, stockholders, secured creditors, and unsecured creditors.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wages, administrative expenses, secured creditors, unsecured creditors, government taxes, and stockholders.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wages, administrative expenses, secured creditors, unsecured creditors, stockholders, and government taxes.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government taxes, administrative expenses, wages, secured creditors, unsecured creditors, and stockholders.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Section 363 as it relates to a bankruptcy filing: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works like an auction to speed up the bankruptcy process.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establishes the bankruptcy judge as the assignor of all bankruptcy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permits creditors to force a firm into an involuntary bankruptcy.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allows creditors to submit a reorganization plan.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requires all employee wages and benefits be paid prior to creditors.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Chapter 11 of the Federal Bankruptcy Reform Act of 1978:</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was replaced by Section 363 in 2009.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was expanded to allow liquidations in 2010 as a result of the financial crisis of 2008.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underwent a major revision in 2011.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was amended in 2005 by the Bankruptcy Abuse Prevention and Consumer Protection Act.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never been revised or amended.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Which one of the following statements correctly identifies a condition which must be met for creditors to force a firm into involuntary bankruptcy?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creditors that represent 30 percent or more of the firm’s debt must agree on a plan prior to filing the involuntary petition.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must be at least 120 days delinquent in its debt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least one-third of a firm’s known creditors must participate in the filing.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If there are more than a dozen creditors, then at least three with claims totaling $13,475 or more must participate in the filing.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individual creditor that is owed $5,000 or more can file an involuntary petition regardless of the number of total creditors.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In a Chapter 11 bankruptcy, a class of creditors is considered to have accepted the bankruptcy plan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two-thirds of the class in dollar amount agree.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at least 51 percent of the class in number agree.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least 90 percent of the members of the class agree.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at least 51 percent of the class in dollar amount and two-thirds of the class in number agree.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one-half of the class in number and two-thirds of the class in dollar amount agree.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Private workouts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represent 75 percent of all financial restructurings.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lead to lower stock price increases than formal bankruptcy reorganizations.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exchange current financial securities for new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more costly than formal bankruptcies.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management salaries and provide employment guarantees.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 xml:space="preserve">Key reasons why a firm would choose a formal bankruptcy over a private workout include all the following </w:t>
      </w:r>
      <w:r>
        <w:rPr>
          <w:rFonts w:ascii="Times New Roman"/>
          <w:b w:val="false"/>
          <w:i/>
          <w:color w:val="000000"/>
          <w:sz w:val="24"/>
        </w:rPr>
        <w:t xml:space="preserve">except </w:t>
      </w:r>
      <w:r>
        <w:rPr>
          <w:rFonts w:ascii="Times New Roman"/>
          <w:b w:val="false"/>
          <w:i w:val="false"/>
          <w:color w:val="000000"/>
          <w:sz w:val="24"/>
        </w:rPr>
        <w:t>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issuance of debtor-in-possession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 treatment of tax loss carryforwards.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 treatment of debt forgiveness.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ability to issue new debt that is senior to all prior debts.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higher priority given to the existing stockholders.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Which one of the following circumstances is most likely to protect an individual creditor's interests in a formal bankruptcy proceeding?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bankrupt firm’s financial structure may be complicated with several groups and types of creditors.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indirect costs of bankruptcy may result in lost revenues and poor maintenance.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bankruptcy administrative costs may be high due to the length and complexity of the process.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absolute priority rule can be violated.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creditor may hold liens on specific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Prepackaged bankruptcies: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benefit only the bankrupt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 creditor approval within 7 days of filing.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a combination of a private workout and legal bankruptcy.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were replaced by Section 363 provisions.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result in a full liquidation.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In a prepackaged bankruptcy,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reaches an agreement with its creditors prior to filing the bankruptcy petition.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exchanges all debt securities with equity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pays all its secured creditors and exchanges the unsecured debt securities with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must agree with the bankruptcy plan submitted to it by its creditors.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prearranges an auction that will liquidate the firm within one month of the legal filing.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Credit scoring models are used by lenders to determine: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best discount to offer each customer.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appropriate price to charge each customer.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optimal debt-equity ratio for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borrower’s credit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percentage of their loan that will be repaid in a bankruptcy.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Altman initially developed the Z-score model for publicly traded manufacturing firms. Using financial statement data and multiple discriminant analysis, he found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 actual use, a Z-score greater than 2.99 implies bankruptcy within one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 actual use, a Z-score greater than 1.81 implied a 90 percent chance of bankruptcy within one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 actual use, a Z-score of less than 1.81 would predict bankruptcy within one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 actual use, a Z-score less than 2.99 meant nonbankruptcy within one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lower the score the lower the chance of pending bankruptcy.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key intuition of a Z-score model like Altman’s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only publicly traded firms can be evaluated.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 will be just as well off by guessing on default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corporations will default at least once.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financial profiles of bankrupt and nonbankrupt firms are very different one year prior to bankruptcy.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privately traded firms disclose better financial information to lenders.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Altman’s revised model for private firms and nonmanufacturers predicts bankruptcy when the computed value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negative.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1.23.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greater than 1.0 and less than 1.23.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than 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than 2.90.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Margo Imports is being liquidated. The firm owes $830,000 to its mortgage holder, and $128,000 to its other secured creditors. In addition, the firm owes $329,000 to its unsecured creditors. The total sum for wage and benefit payments, consumer claims, and the administrative costs of liquidation amount to $330,000. The firm owes no taxes. The building, which is mortgaged, just netted $794,000 after selling costs. The remaining assets have yielded $467,000 in net proceeds. How much will the unsecured creditors receive for each dollar they are owed?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Espinosa Art Gallery is being liquidated. The building has been sold for a net of $840,000 but the mortgage due is $954,000. The remaining assets were sold with net proceeds of $173,000. Administrative costs, wages and benefits, and consumer claims equal $156,000. The firm also owes $61,000 in taxes. The secured claims total $53,000 and the unsecured claims are $173,000. What percentage of their total claims will the secured creditors be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Yellaratu Group is reorganizing and has presented a proposal based on a going-concern value of $3 million after reorganization costs and delinquent wages, benefits, and taxes. The proposed financial structure is $680,000 in new mortgage debt, $320,000 in subordinated debt, and $2,000,000 in new equity. Secured creditors currently have a mortgage lien for $2.5 million on the factory and the unsecured creditors’ claims total $1.3 million. How much of the new debt and equity securities should the secured creditors receive?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$.68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Shoe Shine has proposed a reorganization plan based on a going-concern value of $1.3 million after court costs and delinquent wages and taxes. The proposed financial structure is $400,000 in new mortgage debt, $200,000 in subordinated debt, and $700,000 in new equity. Secured creditors currently have a mortgage lien for $600,000 and the unsecured creditors are owed $950,000. What should the unsecured creditors receive if the reorganization plan is approved?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$700,000 in equity securities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$200,000 in subordinated debt and $700,000 in equity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$950,000 in new equity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61.3 percent of the new mortgage debt, 61.3 percent of the subordinated debt, and 61.3 percent of new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82.6 percent of the subordinated debt and 82.6 percent of new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Pizza Planet has an estimated going-concern value of $2.5 million. The firm’s bankruptcy reorganization plan consists of $750,000 in new mortgage debt, $250,000 in subordinated debt, and $1,500,000 in new equity. Currently the firm has a mortgage of $1,060,000, other secured debt of $90,000, and unsecured debt of $1,370,000 million. According to the APR, what will the stockholders receive if they currently have 2 million shares with a par value of $1 each?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$1,000,000 in new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$500,000 in new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$500,000 in a combination of new debt and equity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$400,000 in new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Launchpad is being liquidated. The administrative costs of liquidation, taxes, and wage payments are expected to be $450,000. Secured creditors have a mortgage lien for $1.4 million on the real estate which was just liquidated and netted proceeds of $1.2 million. The other secured creditors have submitted claims totaling $274,000 and the unsecured submitted claims are $323,000. The remaining assets are expected to net $475,000. What payout should the unsecured creditors expect per each $1 claim?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Sunshine Products is being liquidated. The real estate has been sold and there is a remaining mortgage balance of $126,000 after applying the sale proceeds. The other assets were just auctioned off and netted $418,000 after liquidation costs, wages, and taxes. The remaining secured creditors submitted claims totaling $362,000 and the unsecured creditor claims are $211,000. The secured creditors will receive ___ per $1 claim and the unsecured creditors will receive ___ per $1 claim.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 $.1309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 $0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$.1662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 $.2654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$.0678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Parade Corporation is experiencing financial distress. The estimated “going concern” value of the firm is $3.2 million. The senior debt claim is on all fixed assets. The balance sheet of the firm has current assets of $1.1 million, fixed assets of $2.9 million, senior debt of $2.2 million, and subordinated debt of $1.8 million, with the remainder allocated to stockholders’ equity.</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Assume the firm files for formal bankruptcy and sells the firm for the estimated “goingconcern” value and nets 92 percent of that amount after administrative costs, wages, and taxes are paid. What amount will be distributed to the subordinated debtholders?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$709,000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$721,000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$744,000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$811,000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$687,000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39)</w:t>
        <w:tab/>
      </w:r>
      <w:r>
        <w:rPr>
          <w:rFonts w:ascii="Times New Roman"/>
          <w:b w:val="false"/>
          <w:i w:val="false"/>
          <w:color w:val="000000"/>
          <w:sz w:val="24"/>
        </w:rPr>
        <w:t>There are a number of ways firms can deal with financial distress. Identify at least 5 of these.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Financial distress may benefit firms if it prompts them to “restructure their assets”. Explain what this means and how it can be beneficial.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Why would a firm’s creditors voluntarily agree to a prepackaged reorganization that offers those creditors less than they are owed?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30</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Unsecured mortgage = $830,000 − 794,000</w:t>
      </w:r>
      <w:r>
        <w:br/>
      </w:r>
      <w:r>
        <w:rPr>
          <w:rFonts w:ascii="Times New Roman" w:hAnsi="Times New Roman"/>
          <w:b w:val="false"/>
          <w:i w:val="false"/>
          <w:color w:val="000000"/>
          <w:sz w:val="32"/>
        </w:rPr>
        <w:t xml:space="preserve"> Unsecured mortgage = $36,000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Funds available after expenses, wages, and consumer claims = $467,000 − 330,000</w:t>
      </w:r>
      <w:r>
        <w:br/>
      </w:r>
      <w:r>
        <w:rPr>
          <w:rFonts w:ascii="Times New Roman" w:hAnsi="Times New Roman"/>
          <w:b w:val="false"/>
          <w:i w:val="false"/>
          <w:color w:val="000000"/>
          <w:sz w:val="32"/>
        </w:rPr>
        <w:t xml:space="preserve"> Funds available after expenses, wages, and consumer claims = $137,000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Funds available after secured claims = $137,000 − 128,000</w:t>
      </w:r>
      <w:r>
        <w:br/>
      </w:r>
      <w:r>
        <w:rPr>
          <w:rFonts w:ascii="Times New Roman" w:hAnsi="Times New Roman"/>
          <w:b w:val="false"/>
          <w:i w:val="false"/>
          <w:color w:val="000000"/>
          <w:sz w:val="32"/>
        </w:rPr>
        <w:t xml:space="preserve"> Funds available after secured claims = $9,000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unsecured claims = $36,000 + 329,000</w:t>
      </w:r>
      <w:r>
        <w:br/>
      </w:r>
      <w:r>
        <w:rPr>
          <w:rFonts w:ascii="Times New Roman" w:hAnsi="Times New Roman"/>
          <w:b w:val="false"/>
          <w:i w:val="false"/>
          <w:color w:val="000000"/>
          <w:sz w:val="32"/>
        </w:rPr>
        <w:t xml:space="preserve"> Total unsecured claims = $365,000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Percent unsecured claims paid = $9,000/$365,000</w:t>
      </w:r>
      <w:r>
        <w:br/>
      </w:r>
      <w:r>
        <w:rPr>
          <w:rFonts w:ascii="Times New Roman" w:hAnsi="Times New Roman"/>
          <w:b w:val="false"/>
          <w:i w:val="false"/>
          <w:color w:val="000000"/>
          <w:sz w:val="32"/>
        </w:rPr>
        <w:t xml:space="preserve"> Percent unsecured claims paid = .025, or 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each $1 claim, the unsecured creditors will receive $.025.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Funds available after expenses, wages, claims, and taxes = MAX[$173,000 − 156,000 − 61,000,0]</w:t>
      </w:r>
      <w:r>
        <w:br/>
      </w:r>
      <w:r>
        <w:rPr>
          <w:rFonts w:ascii="Times New Roman" w:hAnsi="Times New Roman"/>
          <w:b w:val="false"/>
          <w:i w:val="false"/>
          <w:color w:val="000000"/>
          <w:sz w:val="32"/>
        </w:rPr>
        <w:t xml:space="preserve"> Funds available after expenses, wages, claims, and taxes = $0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There are no funds available for either the secured or unsecured creditors.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Secured creditors receive first priority so they should receive $2.5 million of the new $3 million of securities.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secured creditors should receive all the debt securities and the unsecured creditors should receive the $700,000 in equity securities.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Stockholder claims have the least priority in a bankruptcy. Since the debts exceed the firm’s value, there is nothing left for the current shareholders.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Unsecured mortgage = $1,400,000 − 1,200,000</w:t>
      </w:r>
      <w:r>
        <w:br/>
      </w:r>
      <w:r>
        <w:rPr>
          <w:rFonts w:ascii="Times New Roman" w:hAnsi="Times New Roman"/>
          <w:b w:val="false"/>
          <w:i w:val="false"/>
          <w:color w:val="000000"/>
          <w:sz w:val="32"/>
        </w:rPr>
        <w:t xml:space="preserve"> Unsecured mortgage = $200,000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unsecured claims = $200,000 + 323,000</w:t>
      </w:r>
      <w:r>
        <w:br/>
      </w:r>
      <w:r>
        <w:rPr>
          <w:rFonts w:ascii="Times New Roman" w:hAnsi="Times New Roman"/>
          <w:b w:val="false"/>
          <w:i w:val="false"/>
          <w:color w:val="000000"/>
          <w:sz w:val="32"/>
        </w:rPr>
        <w:t xml:space="preserve"> Total unsecured claims = $523,000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Net proceeds available to unsecured creditors = MAX[$475,000 − 450,000 − 274,000,0]</w:t>
      </w:r>
      <w:r>
        <w:br/>
      </w:r>
      <w:r>
        <w:rPr>
          <w:rFonts w:ascii="Times New Roman" w:hAnsi="Times New Roman"/>
          <w:b w:val="false"/>
          <w:i w:val="false"/>
          <w:color w:val="000000"/>
          <w:sz w:val="32"/>
        </w:rPr>
        <w:t xml:space="preserve"> Net proceeds available to unsecured creditors = $0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Secured creditors will be paid in full so they will receive $1 for each $1 in claims.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unsecured claims = $126,000 + 211,000</w:t>
      </w:r>
      <w:r>
        <w:br/>
      </w:r>
      <w:r>
        <w:rPr>
          <w:rFonts w:ascii="Times New Roman" w:hAnsi="Times New Roman"/>
          <w:b w:val="false"/>
          <w:i w:val="false"/>
          <w:color w:val="000000"/>
          <w:sz w:val="32"/>
        </w:rPr>
        <w:t xml:space="preserve"> Total unsecured claims = $337,000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Proceeds available to unsecured creditors = $418,000 − 362,000</w:t>
      </w:r>
      <w:r>
        <w:br/>
      </w:r>
      <w:r>
        <w:rPr>
          <w:rFonts w:ascii="Times New Roman" w:hAnsi="Times New Roman"/>
          <w:b w:val="false"/>
          <w:i w:val="false"/>
          <w:color w:val="000000"/>
          <w:sz w:val="32"/>
        </w:rPr>
        <w:t xml:space="preserve"> Proceeds available to unsecured creditors = $56,000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Unsecured creditors percentage = $56,000/$337,000</w:t>
      </w:r>
      <w:r>
        <w:br/>
      </w:r>
      <w:r>
        <w:rPr>
          <w:rFonts w:ascii="Times New Roman" w:hAnsi="Times New Roman"/>
          <w:b w:val="false"/>
          <w:i w:val="false"/>
          <w:color w:val="000000"/>
          <w:sz w:val="32"/>
        </w:rPr>
        <w:t xml:space="preserve"> Unsecured creditors percentage = .1662, or $.1662 per $1 claim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proceeds = .92($3,200,000)</w:t>
      </w:r>
      <w:r>
        <w:br/>
      </w:r>
      <w:r>
        <w:rPr>
          <w:rFonts w:ascii="Times New Roman" w:hAnsi="Times New Roman"/>
          <w:b w:val="false"/>
          <w:i w:val="false"/>
          <w:color w:val="000000"/>
          <w:sz w:val="32"/>
        </w:rPr>
        <w:t xml:space="preserve"> Net proceeds = $2,944,000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Proceeds available to subordinated debt holders = $2,944,000 − 2,200,000</w:t>
      </w:r>
      <w:r>
        <w:br/>
      </w:r>
      <w:r>
        <w:rPr>
          <w:rFonts w:ascii="Times New Roman" w:hAnsi="Times New Roman"/>
          <w:b w:val="false"/>
          <w:i w:val="false"/>
          <w:color w:val="000000"/>
          <w:sz w:val="32"/>
        </w:rPr>
        <w:t xml:space="preserve"> Proceeds available to subordinated debt holders = $744,000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39)   </w:t>
      </w:r>
      <w:r>
        <w:rPr>
          <w:rFonts w:ascii="Times New Roman" w:hAnsi="Times New Roman"/>
          <w:b w:val="false"/>
          <w:i w:val="false"/>
          <w:color w:val="000000"/>
          <w:sz w:val="32"/>
        </w:rPr>
        <w:t>Firms can deal with financial distress by: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selling major assets.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merging with another firm.</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reducing capital spending on R&amp;D.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issuing new securities.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negotiating with banks and creditors.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6.</w:t>
      </w:r>
      <w:r>
        <w:rPr>
          <w:rFonts w:ascii="Times New Roman" w:hAnsi="Times New Roman"/>
          <w:b w:val="false"/>
          <w:i w:val="false"/>
          <w:color w:val="000000"/>
          <w:sz w:val="32"/>
        </w:rPr>
        <w:t>exchanging debt for equity.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7.</w:t>
      </w:r>
      <w:r>
        <w:rPr>
          <w:rFonts w:ascii="Times New Roman" w:hAnsi="Times New Roman"/>
          <w:b w:val="false"/>
          <w:i w:val="false"/>
          <w:color w:val="000000"/>
          <w:sz w:val="32"/>
        </w:rPr>
        <w:t>filing for bankruptcy.</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40)   </w:t>
      </w:r>
      <w:r>
        <w:rPr>
          <w:rFonts w:ascii="Times New Roman" w:hAnsi="Times New Roman"/>
          <w:b w:val="false"/>
          <w:i w:val="false"/>
          <w:color w:val="000000"/>
          <w:sz w:val="32"/>
        </w:rPr>
        <w:t>“Restructure their assets” refers to analyzing a firm's operations and identifying the core business functions that produce profits and fit well together. The noncore functions and operations can be eliminated allowing the firm to concentrate both its assets and its energy into its profitable endeavors.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41)   </w:t>
      </w:r>
      <w:r>
        <w:rPr>
          <w:rFonts w:ascii="Times New Roman" w:hAnsi="Times New Roman"/>
          <w:b w:val="false"/>
          <w:i w:val="false"/>
          <w:color w:val="000000"/>
          <w:sz w:val="32"/>
        </w:rPr>
        <w:t>Creditors will agree with a prepack when it appears to be in their best interests. If they realize they will most likely not be paid in full anyway, they may be willing to agree so they can at least receive payment sooner. They may also realize that the prepack may help reduce reorganization costs, which should increase their payout.</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