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ICO Specification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ICO aims to raise a total of 65000 ethers to fund the Odin coin investment wallet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Details of this platform cannot be made available right 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The ICO will run from 1st December 2017 (00:00:00 GMT+2) to 31st December 2017 (23:59:59 GMT+2) with pre ICO period from 15th November 2017 to 30th November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1. Any investor can invest in the 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An investor needs to be KYC verified to send more than 3 ether to our crowdsale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If the investor is KYC approved, they can send as high an amount as they want. If an investor who is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K</w:t>
      </w:r>
      <w:r w:rsidDel="00000000" w:rsidR="00000000" w:rsidRPr="00000000">
        <w:rPr>
          <w:rtl w:val="0"/>
        </w:rPr>
        <w:t xml:space="preserve">YC approved sends an ether amount greater than 2 ether, then 2 ethers worth of tokens will be issued to him, and the remaining ether amount will be refunded.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There is a soft ether cap of 50000 ether. Once the contract receives 50000 ether, all funds will be forwarded to the ICO owners address.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If the soft ether cap is not reached at the end of the ICO, investors can connect to the contract and withdraw their funds.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If the soft ether cap is reached by the end of the ICO period, the ICO period will extend indefinitely until the funding goal is reached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The ICO can paused/unpaused and stopped (only incase of an emergency wherein the funds will be transferred to a secure wallet, and later refunded to investors)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