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PROJECT RESOURCES</w:t>
      </w:r>
    </w:p>
    <w:p>
      <w:pPr>
        <w:jc w:val="center"/>
      </w:pPr>
      <w:r>
        <w:rPr>
          <w:b/>
          <w:sz w:val="28"/>
        </w:rPr>
        <w:t>Port Authority Bus Terminal Passenger Predictions | 2026–2030</w:t>
      </w:r>
    </w:p>
    <w:p>
      <w:pPr>
        <w:jc w:val="center"/>
      </w:pPr>
      <w:r>
        <w:t>University of New Haven | BANL 6430-01 | Group 6 | Spring 2026</w:t>
      </w:r>
    </w:p>
    <w:p>
      <w:pPr>
        <w:pStyle w:val="Heading1"/>
      </w:pPr>
      <w:r>
        <w:t>Purpose</w:t>
      </w:r>
    </w:p>
    <w:p>
      <w:r>
        <w:t>This document summarizes the technologies, analytical methods, and project resources used by Group 6 to analyze Port Authority Bus Terminal passenger activity and develop passenger forecasts for 2026–2030.</w:t>
      </w:r>
    </w:p>
    <w:p>
      <w:pPr>
        <w:pStyle w:val="Heading1"/>
      </w:pPr>
      <w:r>
        <w:t>Technologies and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Technology / Method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Project Use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Primary Output</w:t>
            </w:r>
          </w:p>
        </w:tc>
      </w:tr>
      <w:tr>
        <w:tc>
          <w:tcPr>
            <w:tcW w:type="dxa" w:w="3312"/>
            <w:vAlign w:val="top"/>
          </w:tcPr>
          <w:p>
            <w:r>
              <w:t>Microsoft Excel</w:t>
            </w:r>
          </w:p>
        </w:tc>
        <w:tc>
          <w:tcPr>
            <w:tcW w:type="dxa" w:w="3312"/>
            <w:vAlign w:val="top"/>
          </w:tcPr>
          <w:p>
            <w:r>
              <w:t>Used to organize, consolidate, audit, and analyze historical operational data and to maintain forecast outputs.</w:t>
            </w:r>
          </w:p>
        </w:tc>
        <w:tc>
          <w:tcPr>
            <w:tcW w:type="dxa" w:w="3312"/>
            <w:vAlign w:val="top"/>
          </w:tcPr>
          <w:p>
            <w:r>
              <w:t>Clean analytical dataset and forecast workbooks</w:t>
            </w:r>
          </w:p>
        </w:tc>
      </w:tr>
      <w:tr>
        <w:tc>
          <w:tcPr>
            <w:tcW w:type="dxa" w:w="3312"/>
            <w:vAlign w:val="top"/>
          </w:tcPr>
          <w:p>
            <w:r>
              <w:t>Microsoft Power BI</w:t>
            </w:r>
          </w:p>
        </w:tc>
        <w:tc>
          <w:tcPr>
            <w:tcW w:type="dxa" w:w="3312"/>
            <w:vAlign w:val="top"/>
          </w:tcPr>
          <w:p>
            <w:r>
              <w:t>Used to build five dashboard views addressing passenger forecasts, predictive factors, carrier-level forecasts, peak periods, and recovery versus 2019.</w:t>
            </w:r>
          </w:p>
        </w:tc>
        <w:tc>
          <w:tcPr>
            <w:tcW w:type="dxa" w:w="3312"/>
            <w:vAlign w:val="top"/>
          </w:tcPr>
          <w:p>
            <w:r>
              <w:t>Interactive analytics dashboard (.pbix)</w:t>
            </w:r>
          </w:p>
        </w:tc>
      </w:tr>
      <w:tr>
        <w:tc>
          <w:tcPr>
            <w:tcW w:type="dxa" w:w="3312"/>
            <w:vAlign w:val="top"/>
          </w:tcPr>
          <w:p>
            <w:r>
              <w:t>Exploratory Data Analysis (EDA)</w:t>
            </w:r>
          </w:p>
        </w:tc>
        <w:tc>
          <w:tcPr>
            <w:tcW w:type="dxa" w:w="3312"/>
            <w:vAlign w:val="top"/>
          </w:tcPr>
          <w:p>
            <w:r>
              <w:t>Used to audit the data, examine historical passenger patterns, correlations, seasonality, carrier behavior, and post-COVID recovery.</w:t>
            </w:r>
          </w:p>
        </w:tc>
        <w:tc>
          <w:tcPr>
            <w:tcW w:type="dxa" w:w="3312"/>
            <w:vAlign w:val="top"/>
          </w:tcPr>
          <w:p>
            <w:r>
              <w:t>Historical and recovery insights</w:t>
            </w:r>
          </w:p>
        </w:tc>
      </w:tr>
      <w:tr>
        <w:tc>
          <w:tcPr>
            <w:tcW w:type="dxa" w:w="3312"/>
            <w:vAlign w:val="top"/>
          </w:tcPr>
          <w:p>
            <w:r>
              <w:t>ARIMA Time-Series Forecasting</w:t>
            </w:r>
          </w:p>
        </w:tc>
        <w:tc>
          <w:tcPr>
            <w:tcW w:type="dxa" w:w="3312"/>
            <w:vAlign w:val="top"/>
          </w:tcPr>
          <w:p>
            <w:r>
              <w:t>ARIMA(1,1,1) was used for terminal-wide forecasting. Individual ARIMA(1,1,0) models were used for directional carrier-level forecasts.</w:t>
            </w:r>
          </w:p>
        </w:tc>
        <w:tc>
          <w:tcPr>
            <w:tcW w:type="dxa" w:w="3312"/>
            <w:vAlign w:val="top"/>
          </w:tcPr>
          <w:p>
            <w:r>
              <w:t>2026–2030 passenger projections and 95% confidence intervals</w:t>
            </w:r>
          </w:p>
        </w:tc>
      </w:tr>
      <w:tr>
        <w:tc>
          <w:tcPr>
            <w:tcW w:type="dxa" w:w="3312"/>
            <w:vAlign w:val="top"/>
          </w:tcPr>
          <w:p>
            <w:r>
              <w:t>Ordinary Least Squares (OLS) Regression</w:t>
            </w:r>
          </w:p>
        </w:tc>
        <w:tc>
          <w:tcPr>
            <w:tcW w:type="dxa" w:w="3312"/>
            <w:vAlign w:val="top"/>
          </w:tcPr>
          <w:p>
            <w:r>
              <w:t>Used to quantify relationships between passenger volume and variables including bus departures, recovery trend, COVID-period indicators, carrier type, and seasonal/time variables.</w:t>
            </w:r>
          </w:p>
        </w:tc>
        <w:tc>
          <w:tcPr>
            <w:tcW w:type="dxa" w:w="3312"/>
            <w:vAlign w:val="top"/>
          </w:tcPr>
          <w:p>
            <w:r>
              <w:t>Predictor importance and regression coefficients</w:t>
            </w:r>
          </w:p>
        </w:tc>
      </w:tr>
      <w:tr>
        <w:tc>
          <w:tcPr>
            <w:tcW w:type="dxa" w:w="3312"/>
            <w:vAlign w:val="top"/>
          </w:tcPr>
          <w:p>
            <w:r>
              <w:t>Trend / Recovery Analysis</w:t>
            </w:r>
          </w:p>
        </w:tc>
        <w:tc>
          <w:tcPr>
            <w:tcW w:type="dxa" w:w="3312"/>
            <w:vAlign w:val="top"/>
          </w:tcPr>
          <w:p>
            <w:r>
              <w:t>Used to compare historical and projected passenger levels with the 2019 pre-COVID benchmark of approximately 125,500 weekly passengers.</w:t>
            </w:r>
          </w:p>
        </w:tc>
        <w:tc>
          <w:tcPr>
            <w:tcW w:type="dxa" w:w="3312"/>
            <w:vAlign w:val="top"/>
          </w:tcPr>
          <w:p>
            <w:r>
              <w:t>Recovery trajectory and projected baseline crossover</w:t>
            </w:r>
          </w:p>
        </w:tc>
      </w:tr>
      <w:tr>
        <w:tc>
          <w:tcPr>
            <w:tcW w:type="dxa" w:w="3312"/>
            <w:vAlign w:val="top"/>
          </w:tcPr>
          <w:p>
            <w:r>
              <w:t>Data Visualization</w:t>
            </w:r>
          </w:p>
        </w:tc>
        <w:tc>
          <w:tcPr>
            <w:tcW w:type="dxa" w:w="3312"/>
            <w:vAlign w:val="top"/>
          </w:tcPr>
          <w:p>
            <w:r>
              <w:t>Charts, tables, heatmaps, forecast views, and recovery metrics were used to communicate analytical findings for operational planning.</w:t>
            </w:r>
          </w:p>
        </w:tc>
        <w:tc>
          <w:tcPr>
            <w:tcW w:type="dxa" w:w="3312"/>
            <w:vAlign w:val="top"/>
          </w:tcPr>
          <w:p>
            <w:r>
              <w:t>Final report, presentation, and Power BI dashboard</w:t>
            </w:r>
          </w:p>
        </w:tc>
      </w:tr>
    </w:tbl>
    <w:p>
      <w:pPr>
        <w:pStyle w:val="Heading1"/>
      </w:pPr>
      <w:r>
        <w:t>Analytical Models</w:t>
      </w:r>
    </w:p>
    <w:p>
      <w:pPr>
        <w:pStyle w:val="ListBullet"/>
      </w:pPr>
      <w:r>
        <w:t>Terminal-wide forecast: ARIMA(1,1,1), trained on 158 bi-weekly observations from 2020–2025 and projected through December 2030.</w:t>
      </w:r>
    </w:p>
    <w:p>
      <w:pPr>
        <w:pStyle w:val="ListBullet"/>
      </w:pPr>
      <w:r>
        <w:t>Carrier-level forecast: ARIMA(1,1,0) models applied independently to individual carriers; these forecasts are treated as directional because of the smaller number of annualized observations.</w:t>
      </w:r>
    </w:p>
    <w:p>
      <w:pPr>
        <w:pStyle w:val="ListBullet"/>
      </w:pPr>
      <w:r>
        <w:t>OLS regression: 1,655 carrier-week observations; R² = 0.9224 and adjusted R² = 0.9219.</w:t>
      </w:r>
    </w:p>
    <w:p>
      <w:pPr>
        <w:pStyle w:val="ListBullet"/>
      </w:pPr>
      <w:r>
        <w:t>Forecast uncertainty: 95% confidence intervals were included for terminal-wide projections.</w:t>
      </w:r>
    </w:p>
    <w:p>
      <w:pPr>
        <w:pStyle w:val="Heading1"/>
      </w:pPr>
      <w:r>
        <w:t>Data Resources</w:t>
      </w:r>
    </w:p>
    <w:p>
      <w:pPr>
        <w:pStyle w:val="ListBullet"/>
      </w:pPr>
      <w:r>
        <w:t>Primary source: Port Authority Bus Terminal weekly operational reports.</w:t>
      </w:r>
    </w:p>
    <w:p>
      <w:pPr>
        <w:pStyle w:val="ListBullet"/>
      </w:pPr>
      <w:r>
        <w:t>Historical coverage: December 2020 through July 2025.</w:t>
      </w:r>
    </w:p>
    <w:p>
      <w:pPr>
        <w:pStyle w:val="ListBullet"/>
      </w:pPr>
      <w:r>
        <w:t>162 reporting periods and 1,699 carrier-level records across 12 tracked carriers.</w:t>
      </w:r>
    </w:p>
    <w:p>
      <w:pPr>
        <w:pStyle w:val="ListBullet"/>
      </w:pPr>
      <w:r>
        <w:t>Key measures included passenger volume, bus departures, passengers per bus, and comparisons with the 2019 baseline.</w:t>
      </w:r>
    </w:p>
    <w:p>
      <w:pPr>
        <w:pStyle w:val="ListBullet"/>
      </w:pPr>
      <w:r>
        <w:t>2019 planning benchmark: approximately 125,500 weekly passengers and 3,900 bus departures.</w:t>
      </w:r>
    </w:p>
    <w:p>
      <w:pPr>
        <w:pStyle w:val="Heading1"/>
      </w:pPr>
      <w:r>
        <w:t>Power BI Dashboard Components</w:t>
      </w:r>
    </w:p>
    <w:p>
      <w:pPr>
        <w:pStyle w:val="ListBullet"/>
      </w:pPr>
      <w:r>
        <w:t>Q1 — Passenger Forecast 2026–2030: historical/projected passenger trends, annual summaries, and confidence intervals.</w:t>
      </w:r>
    </w:p>
    <w:p>
      <w:pPr>
        <w:pStyle w:val="ListBullet"/>
      </w:pPr>
      <w:r>
        <w:t>Q2 — Key Predictive Factors: regression factor coefficients and factor ranking.</w:t>
      </w:r>
    </w:p>
    <w:p>
      <w:pPr>
        <w:pStyle w:val="ListBullet"/>
      </w:pPr>
      <w:r>
        <w:t>Q3 — Forecast by Carrier: carrier-level passenger trends and comparison views.</w:t>
      </w:r>
    </w:p>
    <w:p>
      <w:pPr>
        <w:pStyle w:val="ListBullet"/>
      </w:pPr>
      <w:r>
        <w:t>Q4 — Busiest Times 2026–2030: weekly/monthly demand views and peak-period analysis.</w:t>
      </w:r>
    </w:p>
    <w:p>
      <w:pPr>
        <w:pStyle w:val="ListBullet"/>
      </w:pPr>
      <w:r>
        <w:t>Q5 — Recovery vs. 2019: actual/projected recovery metrics relative to the pre-COVID baseline.</w:t>
      </w:r>
    </w:p>
    <w:p>
      <w:pPr>
        <w:pStyle w:val="Heading1"/>
      </w:pPr>
      <w:r>
        <w:t>Group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Group Member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4968"/>
          </w:tcPr>
          <w:p>
            <w:r>
              <w:t>Nista Sunuwar</w:t>
            </w:r>
          </w:p>
        </w:tc>
        <w:tc>
          <w:tcPr>
            <w:tcW w:type="dxa" w:w="4968"/>
          </w:tcPr>
          <w:p>
            <w:r>
              <w:t>Data Integration</w:t>
            </w:r>
          </w:p>
        </w:tc>
      </w:tr>
      <w:tr>
        <w:tc>
          <w:tcPr>
            <w:tcW w:type="dxa" w:w="4968"/>
          </w:tcPr>
          <w:p>
            <w:r>
              <w:t>Subhechha Khatri</w:t>
            </w:r>
          </w:p>
        </w:tc>
        <w:tc>
          <w:tcPr>
            <w:tcW w:type="dxa" w:w="4968"/>
          </w:tcPr>
          <w:p>
            <w:r>
              <w:t>ARIMA Forecasting</w:t>
            </w:r>
          </w:p>
        </w:tc>
      </w:tr>
      <w:tr>
        <w:tc>
          <w:tcPr>
            <w:tcW w:type="dxa" w:w="4968"/>
          </w:tcPr>
          <w:p>
            <w:r>
              <w:t>Nathan Peter</w:t>
            </w:r>
          </w:p>
        </w:tc>
        <w:tc>
          <w:tcPr>
            <w:tcW w:type="dxa" w:w="4968"/>
          </w:tcPr>
          <w:p>
            <w:r>
              <w:t>Regression Analysis</w:t>
            </w:r>
          </w:p>
        </w:tc>
      </w:tr>
      <w:tr>
        <w:tc>
          <w:tcPr>
            <w:tcW w:type="dxa" w:w="4968"/>
          </w:tcPr>
          <w:p>
            <w:r>
              <w:t>Agrima Bogati</w:t>
            </w:r>
          </w:p>
        </w:tc>
        <w:tc>
          <w:tcPr>
            <w:tcW w:type="dxa" w:w="4968"/>
          </w:tcPr>
          <w:p>
            <w:r>
              <w:t>Power BI Dashboard</w:t>
            </w:r>
          </w:p>
        </w:tc>
      </w:tr>
      <w:tr>
        <w:tc>
          <w:tcPr>
            <w:tcW w:type="dxa" w:w="4968"/>
          </w:tcPr>
          <w:p>
            <w:r>
              <w:t>Harpreet Singh</w:t>
            </w:r>
          </w:p>
        </w:tc>
        <w:tc>
          <w:tcPr>
            <w:tcW w:type="dxa" w:w="4968"/>
          </w:tcPr>
          <w:p>
            <w:r>
              <w:t>Exploratory Data Analysis &amp; Recovery Analysis</w:t>
            </w:r>
          </w:p>
        </w:tc>
      </w:tr>
    </w:tbl>
    <w:p>
      <w:pPr>
        <w:pStyle w:val="Heading1"/>
      </w:pPr>
      <w:r>
        <w:t>Repository Deliverables</w:t>
      </w:r>
    </w:p>
    <w:p>
      <w:pPr>
        <w:pStyle w:val="ListBullet"/>
      </w:pPr>
      <w:r>
        <w:t>Final Project Report</w:t>
      </w:r>
    </w:p>
    <w:p>
      <w:pPr>
        <w:pStyle w:val="ListBullet"/>
      </w:pPr>
      <w:r>
        <w:t>Power BI Analytics Dashboard (.pbix)</w:t>
      </w:r>
    </w:p>
    <w:p>
      <w:pPr>
        <w:pStyle w:val="ListBullet"/>
      </w:pPr>
      <w:r>
        <w:t>Project Resources document</w:t>
      </w:r>
    </w:p>
    <w:p>
      <w:pPr>
        <w:pStyle w:val="Heading1"/>
      </w:pPr>
      <w:r>
        <w:t>Methodological Considerations</w:t>
      </w:r>
    </w:p>
    <w:p>
      <w:r>
        <w:t>Reporting frequency changed from weekly to bi-weekly during the historical period. Carrier-level forecasts are less statistically robust than the terminal-wide forecast because they rely on fewer annualized observations. The forecast also assumes no major structural disruption comparable to COVID-19 through 2030; the project's confidence intervals should therefore be considered when interpreting future demand.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