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080"/>
        <w:jc w:val="center"/>
      </w:pPr>
      <w:r>
        <w:rPr>
          <w:rFonts w:ascii="Arial" w:cs="Arial" w:eastAsia="Arial" w:hAnsi="Arial"/>
          <w:b/>
          <w:bCs/>
          <w:color w:val="0F6E56"/>
          <w:sz w:val="80"/>
          <w:szCs w:val="80"/>
        </w:rPr>
        <w:t xml:space="preserve">QUROVITA</w:t>
      </w:r>
    </w:p>
    <w:p>
      <w:pPr>
        <w:spacing w:after="120" w:before="0"/>
        <w:jc w:val="center"/>
      </w:pPr>
      <w:r>
        <w:rPr>
          <w:rFonts w:ascii="Arial" w:cs="Arial" w:eastAsia="Arial" w:hAnsi="Arial"/>
          <w:color w:val="4a4a45"/>
          <w:sz w:val="34"/>
          <w:szCs w:val="34"/>
        </w:rPr>
        <w:t xml:space="preserve">Master Platform Document — Version 2.0</w:t>
      </w:r>
    </w:p>
    <w:p>
      <w:pPr>
        <w:spacing w:after="600" w:before="0"/>
        <w:jc w:val="center"/>
      </w:pPr>
      <w:r>
        <w:rPr>
          <w:rFonts w:ascii="Arial" w:cs="Arial" w:eastAsia="Arial" w:hAnsi="Arial"/>
          <w:color w:val="999999"/>
          <w:sz w:val="22"/>
          <w:szCs w:val="22"/>
        </w:rPr>
        <w:t xml:space="preserve">All strategic corrections applied · May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
            </w:r>
          </w:p>
        </w:tc>
        <w:tc>
          <w:tcPr>
            <w:tcW w:type="dxa" w:w="73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
            </w:r>
          </w:p>
        </w:tc>
      </w:tr>
      <w:tr>
        <w:tc>
          <w:tcPr>
            <w:tcW w:type="dxa" w:w="2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Purpose</w:t>
            </w:r>
          </w:p>
        </w:tc>
        <w:tc>
          <w:tcPr>
            <w:tcW w:type="dxa" w:w="7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Single source of truth for QuroVita. Supersedes all prior versions. Incorporates 7 critical corrections from independent regulatory research review (May 2026).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Legal name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QuroVita (Pty) Ltd — register CIPC immediately</w:t>
            </w:r>
          </w:p>
        </w:tc>
      </w:tr>
      <w:tr>
        <w:tc>
          <w:tcPr>
            <w:tcW w:type="dxa" w:w="2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Trademark</w:t>
            </w:r>
          </w:p>
        </w:tc>
        <w:tc>
          <w:tcPr>
            <w:tcW w:type="dxa" w:w="7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File QuroVita with CIPC IP (Classes 9 + 44) this week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2.0 — post-corrections (see Section 1 for full correction log)</w:t>
            </w:r>
          </w:p>
        </w:tc>
      </w:tr>
      <w:tr>
        <w:tc>
          <w:tcPr>
            <w:tcW w:type="dxa" w:w="2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Stack</w:t>
            </w:r>
          </w:p>
        </w:tc>
        <w:tc>
          <w:tcPr>
            <w:tcW w:type="dxa" w:w="7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React Native (MVP) → Flutter v2 (Q2 2027) · Node.js/Fastify · HAPI FHIR R4 · AWS af-south-1</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Channels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Mobile app · WhatsApp bot (Twilio) · Provider QR portal (OOB P2P architecture)</w:t>
            </w:r>
          </w:p>
        </w:tc>
      </w:tr>
      <w:tr>
        <w:tc>
          <w:tcPr>
            <w:tcW w:type="dxa" w:w="2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Compliance</w:t>
            </w:r>
          </w:p>
        </w:tc>
        <w:tc>
          <w:tcPr>
            <w:tcW w:type="dxa" w:w="7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SAHPRA Class A · POPIA · HPCSA Booklet 20 · CSIR crypto standards · FHIR R4 · NHI 2027</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Targets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10 WC PHC clinics · 5,000 users · 90% uptime · R810k revenue by Q4 2026 · R5M+ ARR 2027</w:t>
            </w:r>
          </w:p>
        </w:tc>
      </w:tr>
    </w:tbl>
    <w:p>
      <w:r>
        <w:br w:type="page"/>
      </w:r>
    </w:p>
    <w:p>
      <w:pPr>
        <w:pStyle w:val="Heading1"/>
        <w:pBdr>
          <w:bottom w:val="single" w:color="0F6E56" w:sz="8" w:space="6"/>
        </w:pBdr>
        <w:spacing w:after="180" w:before="360"/>
      </w:pPr>
      <w:r>
        <w:rPr>
          <w:rFonts w:ascii="Arial" w:cs="Arial" w:eastAsia="Arial" w:hAnsi="Arial"/>
          <w:b/>
          <w:bCs/>
          <w:color w:val="0F6E56"/>
          <w:sz w:val="36"/>
          <w:szCs w:val="36"/>
        </w:rPr>
        <w:t xml:space="preserve">1. Critical Corrections Log — Applied May 2026</w:t>
      </w:r>
    </w:p>
    <w:p>
      <w:pPr>
        <w:spacing w:after="80" w:before="60"/>
      </w:pPr>
      <w:r>
        <w:rPr>
          <w:rFonts w:ascii="Arial" w:cs="Arial" w:eastAsia="Arial" w:hAnsi="Arial"/>
          <w:color w:val="444444"/>
          <w:sz w:val="22"/>
          <w:szCs w:val="22"/>
        </w:rPr>
        <w:t xml:space="preserve">Seven mandatory corrections identified through independent regulatory research review. Each creates legal, technical, or financial exposure if ignored. All corrections have been applied to the codebase.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32D2D" w:sz="16"/>
              <w:bottom w:val="none" w:color="ffffff" w:sz="0"/>
              <w:right w:val="none" w:color="ffffff" w:sz="0"/>
            </w:tcBorders>
            <w:shd w:fill="FCEBEB" w:val="clear"/>
            <w:tcMar>
              <w:top w:type="dxa" w:w="120"/>
              <w:left w:type="dxa" w:w="200"/>
              <w:bottom w:type="dxa" w:w="120"/>
              <w:right w:type="dxa" w:w="120"/>
            </w:tcMar>
          </w:tcPr>
          <w:p>
            <w:r>
              <w:rPr>
                <w:rFonts w:ascii="Arial" w:cs="Arial" w:eastAsia="Arial" w:hAnsi="Arial"/>
                <w:color w:val="501313"/>
                <w:sz w:val="20"/>
                <w:szCs w:val="20"/>
              </w:rPr>
              <w:t xml:space="preserve">CORRECTION 1 — FATAL ARCHITECTURE FLAW (RESOLVED): The original QR code design attempted to encode a 1MB FHIR bundle directly. A Version 40 QR code holds a maximum of 2,953 bytes (≈3KB). Encoding 1MB in a QR is physically impossible. Corrected to Out-of-Band (OOB) Cryptographic Handshake.</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2060"/>
        <w:gridCol w:w="3000"/>
        <w:gridCol w:w="2200"/>
      </w:tblGrid>
      <w:tr>
        <w:tc>
          <w:tcPr>
            <w:tcW w:type="dxa" w:w="3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Correction</w:t>
            </w:r>
          </w:p>
        </w:tc>
        <w:tc>
          <w:tcPr>
            <w:tcW w:type="dxa" w:w="20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Original (wrong)</w:t>
            </w:r>
          </w:p>
        </w:tc>
        <w:tc>
          <w:tcPr>
            <w:tcW w:type="dxa" w:w="30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Corrected</w:t>
            </w:r>
          </w:p>
        </w:tc>
        <w:tc>
          <w:tcPr>
            <w:tcW w:type="dxa" w:w="22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File</w:t>
            </w:r>
          </w:p>
        </w:tc>
      </w:tr>
      <w:tr>
        <w:tc>
          <w:tcPr>
            <w:tcW w:type="dxa" w:w="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1</w:t>
            </w:r>
          </w:p>
        </w:tc>
        <w:tc>
          <w:tcPr>
            <w:tcW w:type="dxa" w:w="1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QR architecture — FATAL</w:t>
            </w:r>
          </w:p>
        </w:tc>
        <w:tc>
          <w:tcPr>
            <w:tcW w:type="dxa" w:w="20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QR encoded 1MB FHIR bundle (impossible: max 3KB)</w:t>
            </w:r>
          </w:p>
        </w:tc>
        <w:tc>
          <w:tcPr>
            <w:tcW w:type="dxa" w:w="3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OOB Handshake: QR holds session ID + ECDH key + BLE address only. FHIR bundle transfers P2P after scan.</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qr-session.ts</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Cryptographic standard</w:t>
            </w:r>
          </w:p>
        </w:tc>
        <w:tc>
          <w:tcPr>
            <w:tcW w:type="dxa" w:w="2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JWT with HS256 only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AES-256-GCM + ECDSA signatures + ECDH key exchange + 5-min TTL (CSIR mandate)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qr-session.ts</w:t>
            </w:r>
          </w:p>
        </w:tc>
      </w:tr>
      <w:tr>
        <w:tc>
          <w:tcPr>
            <w:tcW w:type="dxa" w:w="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3</w:t>
            </w:r>
          </w:p>
        </w:tc>
        <w:tc>
          <w:tcPr>
            <w:tcW w:type="dxa" w:w="1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OCR / SAHPRA</w:t>
            </w:r>
          </w:p>
        </w:tc>
        <w:tc>
          <w:tcPr>
            <w:tcW w:type="dxa" w:w="20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Extracted clinical values into UI fields (triggers Class B/C)</w:t>
            </w:r>
          </w:p>
        </w:tc>
        <w:tc>
          <w:tcPr>
            <w:tcW w:type="dxa" w:w="3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Classification and metadata tagging ONLY. No clinical values extracted. Original image = source of truth.</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ocr-safe.ts</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KYC biometric cost</w:t>
            </w:r>
          </w:p>
        </w:tc>
        <w:tc>
          <w:tcPr>
            <w:tcW w:type="dxa" w:w="2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Budget R5/user assumed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DHA 6,500% fee hike: R10-22/user. 5,000 users = R50k-110k. Budget recalibrated.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Section 5 budget</w:t>
            </w:r>
          </w:p>
        </w:tc>
      </w:tr>
      <w:tr>
        <w:tc>
          <w:tcPr>
            <w:tcW w:type="dxa" w:w="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5</w:t>
            </w:r>
          </w:p>
        </w:tc>
        <w:tc>
          <w:tcPr>
            <w:tcW w:type="dxa" w:w="1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AI / HPCSA compliance</w:t>
            </w:r>
          </w:p>
        </w:tc>
        <w:tc>
          <w:tcPr>
            <w:tcW w:type="dxa" w:w="20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AI offered to explain lab results (HPCSA Booklet 20 violation risk)</w:t>
            </w:r>
          </w:p>
        </w:tc>
        <w:tc>
          <w:tcPr>
            <w:tcW w:type="dxa" w:w="3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WHO glossary definitions ONLY. Never interprets specific patient values. Automated compliance checks.</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ai-assistant.ts</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Revenue priority</w:t>
            </w:r>
          </w:p>
        </w:tc>
        <w:tc>
          <w:tcPr>
            <w:tcW w:type="dxa" w:w="20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Medical scheme PMPM as primary revenue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B2B API micro-transactions + NGO program licences = Phase 1. Schemes = Phase 2+ after outcome data.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Section 7</w:t>
            </w:r>
          </w:p>
        </w:tc>
      </w:tr>
      <w:tr>
        <w:tc>
          <w:tcPr>
            <w:tcW w:type="dxa" w:w="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7</w:t>
            </w:r>
          </w:p>
        </w:tc>
        <w:tc>
          <w:tcPr>
            <w:tcW w:type="dxa" w:w="1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GTM strategy</w:t>
            </w:r>
          </w:p>
        </w:tc>
        <w:tc>
          <w:tcPr>
            <w:tcW w:type="dxa" w:w="20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Direct DoH procurement targeted</w:t>
            </w:r>
          </w:p>
        </w:tc>
        <w:tc>
          <w:tcPr>
            <w:tcW w:type="dxa" w:w="3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NGO-first confirmed: PFMA Section 217 procurement takes 18-24 months. NGO MOUs bypass tender blockage.</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Section 6</w:t>
            </w:r>
          </w:p>
        </w:tc>
      </w:tr>
    </w:tbl>
    <w:p>
      <w:r>
        <w:br w:type="page"/>
      </w:r>
    </w:p>
    <w:p>
      <w:pPr>
        <w:pStyle w:val="Heading1"/>
        <w:pBdr>
          <w:bottom w:val="single" w:color="0F6E56" w:sz="8" w:space="6"/>
        </w:pBdr>
        <w:spacing w:after="180" w:before="360"/>
      </w:pPr>
      <w:r>
        <w:rPr>
          <w:rFonts w:ascii="Arial" w:cs="Arial" w:eastAsia="Arial" w:hAnsi="Arial"/>
          <w:b/>
          <w:bCs/>
          <w:color w:val="0F6E56"/>
          <w:sz w:val="36"/>
          <w:szCs w:val="36"/>
        </w:rPr>
        <w:t xml:space="preserve">2. South African Health Ecosystem</w:t>
      </w:r>
    </w:p>
    <w:p>
      <w:pPr>
        <w:pStyle w:val="Heading2"/>
        <w:spacing w:after="120" w:before="240"/>
      </w:pPr>
      <w:r>
        <w:rPr>
          <w:rFonts w:ascii="Arial" w:cs="Arial" w:eastAsia="Arial" w:hAnsi="Arial"/>
          <w:b/>
          <w:bCs/>
          <w:color w:val="1a1a18"/>
          <w:sz w:val="28"/>
          <w:szCs w:val="28"/>
        </w:rPr>
        <w:t xml:space="preserve">2.1 System Fragmentation</w:t>
      </w:r>
    </w:p>
    <w:p>
      <w:pPr>
        <w:spacing w:after="80" w:before="60"/>
      </w:pPr>
      <w:r>
        <w:rPr>
          <w:rFonts w:ascii="Arial" w:cs="Arial" w:eastAsia="Arial" w:hAnsi="Arial"/>
          <w:color w:val="444444"/>
          <w:sz w:val="22"/>
          <w:szCs w:val="22"/>
        </w:rPr>
        <w:t xml:space="preserve">South Africa has a bifurcated healthcare system. The private sector serves 16% (medical scheme members) with high resources. The public sector serves 84% (52M people) across 3,900+ PHC clinics and 400+ hospitals with severe fragmentation. Patient records are trapped in institutional silos, paper registers, and 50+ incompatible electronic systems.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Dimension</w:t>
            </w:r>
          </w:p>
        </w:tc>
        <w:tc>
          <w:tcPr>
            <w:tcW w:type="dxa" w:w="358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Public sector</w:t>
            </w:r>
          </w:p>
        </w:tc>
        <w:tc>
          <w:tcPr>
            <w:tcW w:type="dxa" w:w="358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Private sector</w:t>
            </w:r>
          </w:p>
        </w:tc>
      </w:tr>
      <w:tr>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Population served</w:t>
            </w:r>
          </w:p>
        </w:tc>
        <w:tc>
          <w:tcPr>
            <w:tcW w:type="dxa" w:w="35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~52M (84%)</w:t>
            </w:r>
          </w:p>
        </w:tc>
        <w:tc>
          <w:tcPr>
            <w:tcW w:type="dxa" w:w="35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~10M (16% — scheme members)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Record system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Paper + fragmented EMRs (OpenMRS, DHIS2, provincial)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GoodX, Healthbridge, Elixir, Meditech — all siloed by practice</w:t>
            </w:r>
          </w:p>
        </w:tc>
      </w:tr>
      <w:tr>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Patient portability</w:t>
            </w:r>
          </w:p>
        </w:tc>
        <w:tc>
          <w:tcPr>
            <w:tcW w:type="dxa" w:w="35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None — records stay at facility</w:t>
            </w:r>
          </w:p>
        </w:tc>
        <w:tc>
          <w:tcPr>
            <w:tcW w:type="dxa" w:w="35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None — records stay at practice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NHI status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NHI Act 2023 — FHIR R4 mandate for CareConnect 2027</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Complementary cover design underway</w:t>
            </w:r>
          </w:p>
        </w:tc>
      </w:tr>
      <w:tr>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QuroVita entry</w:t>
            </w:r>
          </w:p>
        </w:tc>
        <w:tc>
          <w:tcPr>
            <w:tcW w:type="dxa" w:w="35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NGO-facilitated PHC pilot — HIV/TB/NCD cohorts</w:t>
            </w:r>
          </w:p>
        </w:tc>
        <w:tc>
          <w:tcPr>
            <w:tcW w:type="dxa" w:w="35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Phase 2 via scheme PMPM or hospital enterprise licence</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1a1a18"/>
          <w:sz w:val="28"/>
          <w:szCs w:val="28"/>
        </w:rPr>
        <w:t xml:space="preserve">2.2 Disease Burden — QuroVita Target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960"/>
        <w:gridCol w:w="2800"/>
      </w:tblGrid>
      <w:tr>
        <w:tc>
          <w:tcPr>
            <w:tcW w:type="dxa" w:w="16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Condition</w:t>
            </w:r>
          </w:p>
        </w:tc>
        <w:tc>
          <w:tcPr>
            <w:tcW w:type="dxa" w:w="20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SA burden</w:t>
            </w:r>
          </w:p>
        </w:tc>
        <w:tc>
          <w:tcPr>
            <w:tcW w:type="dxa" w:w="29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QuroVita value</w:t>
            </w:r>
          </w:p>
        </w:tc>
        <w:tc>
          <w:tcPr>
            <w:tcW w:type="dxa" w:w="28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System cost</w:t>
            </w:r>
          </w:p>
        </w:tc>
      </w:tr>
      <w:tr>
        <w:tc>
          <w:tcPr>
            <w:tcW w:type="dxa" w:w="1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HIV/TB co-management</w:t>
            </w:r>
          </w:p>
        </w:tc>
        <w:tc>
          <w:tcPr>
            <w:tcW w:type="dxa" w:w="2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7.7M PLHIV; 300k+ active TB</w:t>
            </w:r>
          </w:p>
        </w:tc>
        <w:tc>
          <w:tcPr>
            <w:tcW w:type="dxa" w:w="29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Continuity of ART across clinics; prevents loss to follow-up</w:t>
            </w:r>
          </w:p>
        </w:tc>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PEPFAR SA: $500M+/yr</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Hypertension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~8M diagnosed; 50%+ uncontrolled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BP, medication, labs across all providers longitudinally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R10.1B/yr direct PHC costs</w:t>
            </w:r>
          </w:p>
        </w:tc>
      </w:tr>
      <w:tr>
        <w:tc>
          <w:tcPr>
            <w:tcW w:type="dxa" w:w="1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Type 2 diabetes</w:t>
            </w:r>
          </w:p>
        </w:tc>
        <w:tc>
          <w:tcPr>
            <w:tcW w:type="dxa" w:w="2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~4.5M; rapidly rising</w:t>
            </w:r>
          </w:p>
        </w:tc>
        <w:tc>
          <w:tcPr>
            <w:tcW w:type="dxa" w:w="29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HbA1c trend, insulin, complication monitoring cross-facility</w:t>
            </w:r>
          </w:p>
        </w:tc>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R1,000-3,500/patient/yr public sector</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Maternal care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1.1M births/yr; MMR 127/100k</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Antenatal records travel with patient across clinics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Preventable complications from record loss</w:t>
            </w:r>
          </w:p>
        </w:tc>
      </w:tr>
      <w:tr>
        <w:tc>
          <w:tcPr>
            <w:tcW w:type="dxa" w:w="1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Cancer</w:t>
            </w:r>
          </w:p>
        </w:tc>
        <w:tc>
          <w:tcPr>
            <w:tcW w:type="dxa" w:w="2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~100k new diagnoses/yr</w:t>
            </w:r>
          </w:p>
        </w:tc>
        <w:tc>
          <w:tcPr>
            <w:tcW w:type="dxa" w:w="29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Chemo, pathology, imaging — most fragmented multi-specialist records</w:t>
            </w:r>
          </w:p>
        </w:tc>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High: duplicate diagnostics common</w:t>
            </w:r>
          </w:p>
        </w:tc>
      </w:tr>
    </w:tbl>
    <w:p>
      <w:r>
        <w:br w:type="page"/>
      </w:r>
    </w:p>
    <w:p>
      <w:pPr>
        <w:pStyle w:val="Heading1"/>
        <w:pBdr>
          <w:bottom w:val="single" w:color="0F6E56" w:sz="8" w:space="6"/>
        </w:pBdr>
        <w:spacing w:after="180" w:before="360"/>
      </w:pPr>
      <w:r>
        <w:rPr>
          <w:rFonts w:ascii="Arial" w:cs="Arial" w:eastAsia="Arial" w:hAnsi="Arial"/>
          <w:b/>
          <w:bCs/>
          <w:color w:val="0F6E56"/>
          <w:sz w:val="36"/>
          <w:szCs w:val="36"/>
        </w:rPr>
        <w:t xml:space="preserve">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A7517" w:sz="16"/>
              <w:bottom w:val="none" w:color="ffffff" w:sz="0"/>
              <w:right w:val="none" w:color="ffffff" w:sz="0"/>
            </w:tcBorders>
            <w:shd w:fill="FAEEDA" w:val="clear"/>
            <w:tcMar>
              <w:top w:type="dxa" w:w="120"/>
              <w:left w:type="dxa" w:w="200"/>
              <w:bottom w:type="dxa" w:w="120"/>
              <w:right w:type="dxa" w:w="120"/>
            </w:tcMar>
          </w:tcPr>
          <w:p>
            <w:r>
              <w:rPr>
                <w:rFonts w:ascii="Arial" w:cs="Arial" w:eastAsia="Arial" w:hAnsi="Arial"/>
                <w:color w:val="633806"/>
                <w:sz w:val="20"/>
                <w:szCs w:val="20"/>
              </w:rPr>
              <w:t xml:space="preserve">WCG Patient App — 60-day window: QuroVita must secure a signed WC PHC pilot MOU within 60 days. After this window, WCG will have established presence that is extremely difficult to displace. This is the single highest-priority commercial action in the entire strategy.</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960"/>
        <w:gridCol w:w="280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Competitor</w:t>
            </w:r>
          </w:p>
        </w:tc>
        <w:tc>
          <w:tcPr>
            <w:tcW w:type="dxa" w:w="14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Threat</w:t>
            </w:r>
          </w:p>
        </w:tc>
        <w:tc>
          <w:tcPr>
            <w:tcW w:type="dxa" w:w="29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QuroVita moat</w:t>
            </w:r>
          </w:p>
        </w:tc>
        <w:tc>
          <w:tcPr>
            <w:tcW w:type="dxa" w:w="28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Time to replicate</w:t>
            </w:r>
          </w:p>
        </w:tc>
      </w:tr>
      <w:tr>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WCG Patient App (WC Gov)</w:t>
            </w:r>
          </w:p>
        </w:tc>
        <w:tc>
          <w:tcPr>
            <w:tcW w:type="dxa" w:w="1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HIGHEST — already in WC PHC</w:t>
            </w:r>
          </w:p>
        </w:tc>
        <w:tc>
          <w:tcPr>
            <w:tcW w:type="dxa" w:w="29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Private sector + insurer HIE edge; patient-sovereign vs gov-owned; NGO pilot first</w:t>
            </w:r>
          </w:p>
        </w:tc>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Needs political will — slow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Helium Health ($30M+, Nigeria/Africa)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HIGH — 12-18mo SA entry</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OOB P2P offline; SAHPRA Class A; patient-sovereign model; WhatsApp bot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6-9 months to replicate</w:t>
            </w:r>
          </w:p>
        </w:tc>
      </w:tr>
      <w:tr>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Healthbridge (SA billing EMR)</w:t>
            </w:r>
          </w:p>
        </w:tc>
        <w:tc>
          <w:tcPr>
            <w:tcW w:type="dxa" w:w="1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HIGH — private lock-in</w:t>
            </w:r>
          </w:p>
        </w:tc>
        <w:tc>
          <w:tcPr>
            <w:tcW w:type="dxa" w:w="29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Public PHC NGO channel; FHIR interop on top of Healthbridge</w:t>
            </w:r>
          </w:p>
        </w:tc>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12+ months new product line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OpenMRS/DHIS2 (Free/national)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MEDIUM — DoH mandate risk</w:t>
            </w:r>
          </w:p>
        </w:tc>
        <w:tc>
          <w:tcPr>
            <w:tcW w:type="dxa" w:w="2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Patient-sovereign UX; offline P2P; cross-facility portability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No patient-sovereign roadmap</w:t>
            </w:r>
          </w:p>
        </w:tc>
      </w:tr>
      <w:tr>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Google Cloud Healthcare API</w:t>
            </w:r>
          </w:p>
        </w:tc>
        <w:tc>
          <w:tcPr>
            <w:tcW w:type="dxa" w:w="1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MEDIUM — NHI pilot talks</w:t>
            </w:r>
          </w:p>
        </w:tc>
        <w:tc>
          <w:tcPr>
            <w:tcW w:type="dxa" w:w="29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af-south-1 residency; POPIA-native; HPCSA registered; community trust</w:t>
            </w:r>
          </w:p>
        </w:tc>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6mo if Google prioritises SA</w:t>
            </w:r>
          </w:p>
        </w:tc>
      </w:tr>
    </w:tbl>
    <w:p>
      <w:r>
        <w:br w:type="page"/>
      </w:r>
    </w:p>
    <w:p>
      <w:pPr>
        <w:pStyle w:val="Heading1"/>
        <w:pBdr>
          <w:bottom w:val="single" w:color="0F6E56" w:sz="8" w:space="6"/>
        </w:pBdr>
        <w:spacing w:after="180" w:before="360"/>
      </w:pPr>
      <w:r>
        <w:rPr>
          <w:rFonts w:ascii="Arial" w:cs="Arial" w:eastAsia="Arial" w:hAnsi="Arial"/>
          <w:b/>
          <w:bCs/>
          <w:color w:val="0F6E56"/>
          <w:sz w:val="36"/>
          <w:szCs w:val="36"/>
        </w:rPr>
        <w:t xml:space="preserve">4. Technical Architecture — Corrected v2.0</w:t>
      </w:r>
    </w:p>
    <w:p>
      <w:pPr>
        <w:pStyle w:val="Heading2"/>
        <w:spacing w:after="120" w:before="240"/>
      </w:pPr>
      <w:r>
        <w:rPr>
          <w:rFonts w:ascii="Arial" w:cs="Arial" w:eastAsia="Arial" w:hAnsi="Arial"/>
          <w:b/>
          <w:bCs/>
          <w:color w:val="1a1a18"/>
          <w:sz w:val="28"/>
          <w:szCs w:val="28"/>
        </w:rPr>
        <w:t xml:space="preserve">4.1 OOB Cryptographic Handshake (Corrections #1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A7517" w:sz="16"/>
              <w:bottom w:val="none" w:color="ffffff" w:sz="0"/>
              <w:right w:val="none" w:color="ffffff" w:sz="0"/>
            </w:tcBorders>
            <w:shd w:fill="FAEEDA" w:val="clear"/>
            <w:tcMar>
              <w:top w:type="dxa" w:w="120"/>
              <w:left w:type="dxa" w:w="200"/>
              <w:bottom w:type="dxa" w:w="120"/>
              <w:right w:type="dxa" w:w="120"/>
            </w:tcMar>
          </w:tcPr>
          <w:p>
            <w:r>
              <w:rPr>
                <w:rFonts w:ascii="Arial" w:cs="Arial" w:eastAsia="Arial" w:hAnsi="Arial"/>
                <w:color w:val="633806"/>
                <w:sz w:val="20"/>
                <w:szCs w:val="20"/>
              </w:rPr>
              <w:t xml:space="preserve">PREVIOUS ARCHITECTURE WAS FATALLY FLAWED: Attempting to encode a 1MB FHIR bundle in a QR code is physically impossible. QR Version 40 maximum = 2,953 bytes. Even with CBOR serialisation + Brotli compression, reducing 1MB to 3KB cannot be achieved. The entire QR sharing architecture has been redesigned.</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6"/>
              <w:bottom w:val="none" w:color="ffffff" w:sz="0"/>
              <w:right w:val="none" w:color="ffffff" w:sz="0"/>
            </w:tcBorders>
            <w:shd w:fill="E1F5EE" w:val="clear"/>
            <w:tcMar>
              <w:top w:type="dxa" w:w="120"/>
              <w:left w:type="dxa" w:w="200"/>
              <w:bottom w:type="dxa" w:w="120"/>
              <w:right w:type="dxa" w:w="120"/>
            </w:tcMar>
          </w:tcPr>
          <w:p>
            <w:r>
              <w:rPr>
                <w:rFonts w:ascii="Arial" w:cs="Arial" w:eastAsia="Arial" w:hAnsi="Arial"/>
                <w:color w:val="085041"/>
                <w:sz w:val="20"/>
                <w:szCs w:val="20"/>
              </w:rPr>
              <w:t xml:space="preserve">CORRECTED: QR code contains ONLY a session initiator: (1) session ID, (2) server ECDH public key, (3) 5-minute TTL, (4) patient BLE MAC address or Wi-Fi Direct SSID. The FHIR bundle transfers over encrypted peer-to-peer BLE or Wi-Fi Direct after the QR is scanned. No cellular required for the data transfer.</w:t>
            </w:r>
          </w:p>
        </w:tc>
      </w:tr>
    </w:tbl>
    <w:p>
      <w:pPr>
        <w:spacing w:after="60" w:before="60"/>
      </w:pPr>
      <w:r>
        <w:rPr>
          <w:rFonts w:ascii="Arial" w:cs="Arial" w:eastAsia="Arial" w:hAnsi="Arial"/>
          <w:sz w:val="22"/>
          <w:szCs w:val="22"/>
        </w:rPr>
        <w:t xml:space="preserve"/>
      </w:r>
    </w:p>
    <w:p>
      <w:pPr>
        <w:spacing w:after="80" w:before="180"/>
      </w:pPr>
      <w:r>
        <w:rPr>
          <w:rFonts w:ascii="Arial" w:cs="Arial" w:eastAsia="Arial" w:hAnsi="Arial"/>
          <w:b/>
          <w:bCs/>
          <w:color w:val="4a4a45"/>
          <w:sz w:val="24"/>
          <w:szCs w:val="24"/>
        </w:rPr>
        <w:t xml:space="preserve">OOB Handshake — Step by Step:</w:t>
      </w:r>
    </w:p>
    <w:p>
      <w:pPr>
        <w:pStyle w:val="ListParagraph"/>
        <w:numPr>
          <w:ilvl w:val="0"/>
          <w:numId w:val="2"/>
        </w:numPr>
        <w:spacing w:after="40" w:before="40"/>
      </w:pPr>
      <w:r>
        <w:rPr>
          <w:rFonts w:ascii="Arial" w:cs="Arial" w:eastAsia="Arial" w:hAnsi="Arial"/>
          <w:color w:val="333333"/>
          <w:sz w:val="22"/>
          <w:szCs w:val="22"/>
        </w:rPr>
        <w:t xml:space="preserve">Patient selects records in app → app generates ECDH key pair → sends public key + BLE address to server</w:t>
      </w:r>
    </w:p>
    <w:p>
      <w:pPr>
        <w:pStyle w:val="ListParagraph"/>
        <w:numPr>
          <w:ilvl w:val="0"/>
          <w:numId w:val="2"/>
        </w:numPr>
        <w:spacing w:after="40" w:before="40"/>
      </w:pPr>
      <w:r>
        <w:rPr>
          <w:rFonts w:ascii="Arial" w:cs="Arial" w:eastAsia="Arial" w:hAnsi="Arial"/>
          <w:color w:val="333333"/>
          <w:sz w:val="22"/>
          <w:szCs w:val="22"/>
        </w:rPr>
        <w:t xml:space="preserve">Server generates session ECDH key pair → derives AES-256 shared key → builds QR payload (~2KB, well within 3KB limit)</w:t>
      </w:r>
    </w:p>
    <w:p>
      <w:pPr>
        <w:pStyle w:val="ListParagraph"/>
        <w:numPr>
          <w:ilvl w:val="0"/>
          <w:numId w:val="2"/>
        </w:numPr>
        <w:spacing w:after="40" w:before="40"/>
      </w:pPr>
      <w:r>
        <w:rPr>
          <w:rFonts w:ascii="Arial" w:cs="Arial" w:eastAsia="Arial" w:hAnsi="Arial"/>
          <w:color w:val="333333"/>
          <w:sz w:val="22"/>
          <w:szCs w:val="22"/>
        </w:rPr>
        <w:t xml:space="preserve">Server signs payload with ECDSA private key → app renders QR code</w:t>
      </w:r>
    </w:p>
    <w:p>
      <w:pPr>
        <w:pStyle w:val="ListParagraph"/>
        <w:numPr>
          <w:ilvl w:val="0"/>
          <w:numId w:val="2"/>
        </w:numPr>
        <w:spacing w:after="40" w:before="40"/>
      </w:pPr>
      <w:r>
        <w:rPr>
          <w:rFonts w:ascii="Arial" w:cs="Arial" w:eastAsia="Arial" w:hAnsi="Arial"/>
          <w:color w:val="333333"/>
          <w:sz w:val="22"/>
          <w:szCs w:val="22"/>
        </w:rPr>
        <w:t xml:space="preserve">Provider scans QR → Provider App verifies ECDSA signature → rejects if tampered or expired</w:t>
      </w:r>
    </w:p>
    <w:p>
      <w:pPr>
        <w:pStyle w:val="ListParagraph"/>
        <w:numPr>
          <w:ilvl w:val="0"/>
          <w:numId w:val="2"/>
        </w:numPr>
        <w:spacing w:after="40" w:before="40"/>
      </w:pPr>
      <w:r>
        <w:rPr>
          <w:rFonts w:ascii="Arial" w:cs="Arial" w:eastAsia="Arial" w:hAnsi="Arial"/>
          <w:color w:val="333333"/>
          <w:sz w:val="22"/>
          <w:szCs w:val="22"/>
        </w:rPr>
        <w:t xml:space="preserve">Provider App uses BLE MAC / Wi-Fi Direct SSID from payload → establishes encrypted P2P connection</w:t>
      </w:r>
    </w:p>
    <w:p>
      <w:pPr>
        <w:pStyle w:val="ListParagraph"/>
        <w:numPr>
          <w:ilvl w:val="0"/>
          <w:numId w:val="2"/>
        </w:numPr>
        <w:spacing w:after="40" w:before="40"/>
      </w:pPr>
      <w:r>
        <w:rPr>
          <w:rFonts w:ascii="Arial" w:cs="Arial" w:eastAsia="Arial" w:hAnsi="Arial"/>
          <w:color w:val="333333"/>
          <w:sz w:val="22"/>
          <w:szCs w:val="22"/>
        </w:rPr>
        <w:t xml:space="preserve">Patient device transmits AES-256-GCM encrypted FHIR bundle over BLE/Wi-Fi Direct → no cellular required</w:t>
      </w:r>
    </w:p>
    <w:p>
      <w:pPr>
        <w:pStyle w:val="ListParagraph"/>
        <w:numPr>
          <w:ilvl w:val="0"/>
          <w:numId w:val="2"/>
        </w:numPr>
        <w:spacing w:after="40" w:before="40"/>
      </w:pPr>
      <w:r>
        <w:rPr>
          <w:rFonts w:ascii="Arial" w:cs="Arial" w:eastAsia="Arial" w:hAnsi="Arial"/>
          <w:color w:val="333333"/>
          <w:sz w:val="22"/>
          <w:szCs w:val="22"/>
        </w:rPr>
        <w:t xml:space="preserve">Provider App decrypts with shared ECDH session key → renders records read-only</w:t>
      </w:r>
    </w:p>
    <w:p>
      <w:pPr>
        <w:pStyle w:val="ListParagraph"/>
        <w:numPr>
          <w:ilvl w:val="0"/>
          <w:numId w:val="2"/>
        </w:numPr>
        <w:spacing w:after="40" w:before="40"/>
      </w:pPr>
      <w:r>
        <w:rPr>
          <w:rFonts w:ascii="Arial" w:cs="Arial" w:eastAsia="Arial" w:hAnsi="Arial"/>
          <w:color w:val="333333"/>
          <w:sz w:val="22"/>
          <w:szCs w:val="22"/>
        </w:rPr>
        <w:t xml:space="preserve">Session auto-expires after TTL → patient can revoke anytime → POPIA audit log written on next connectivity</w:t>
      </w:r>
    </w:p>
    <w:p>
      <w:pPr>
        <w:spacing w:after="60" w:before="60"/>
      </w:pPr>
      <w:r>
        <w:rPr>
          <w:rFonts w:ascii="Arial" w:cs="Arial" w:eastAsia="Arial" w:hAnsi="Arial"/>
          <w:sz w:val="22"/>
          <w:szCs w:val="22"/>
        </w:rPr>
        <w:t xml:space="preserve"/>
      </w:r>
    </w:p>
    <w:p>
      <w:pPr>
        <w:spacing w:after="80" w:before="180"/>
      </w:pPr>
      <w:r>
        <w:rPr>
          <w:rFonts w:ascii="Arial" w:cs="Arial" w:eastAsia="Arial" w:hAnsi="Arial"/>
          <w:b/>
          <w:bCs/>
          <w:color w:val="4a4a45"/>
          <w:sz w:val="24"/>
          <w:szCs w:val="24"/>
        </w:rPr>
        <w:t xml:space="preserve">Cryptographic Standards (CSIR + POPIA Regulation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80"/>
        <w:gridCol w:w="3880"/>
      </w:tblGrid>
      <w:tr>
        <w:tc>
          <w:tcPr>
            <w:tcW w:type="dxa" w:w="14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Algorithm</w:t>
            </w:r>
          </w:p>
        </w:tc>
        <w:tc>
          <w:tcPr>
            <w:tcW w:type="dxa" w:w="408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Role</w:t>
            </w:r>
          </w:p>
        </w:tc>
        <w:tc>
          <w:tcPr>
            <w:tcW w:type="dxa" w:w="388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Quantum resilience</w:t>
            </w:r>
          </w:p>
        </w:tc>
      </w:tr>
      <w:tr>
        <w:tc>
          <w:tcPr>
            <w:tcW w:type="dxa" w:w="1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AES-256-GCM</w:t>
            </w:r>
          </w:p>
        </w:tc>
        <w:tc>
          <w:tcPr>
            <w:tcW w:type="dxa" w:w="40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FHIR bundle encryption at rest and in transit — CSIR mandated</w:t>
            </w:r>
          </w:p>
        </w:tc>
        <w:tc>
          <w:tcPr>
            <w:tcW w:type="dxa" w:w="38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Resilient — Grover reduces to effective 128-bit: unbreakable by foreseeable standards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ECDH (P-256)</w:t>
            </w:r>
          </w:p>
        </w:tc>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Session key exchange between patient and provider devices</w:t>
            </w:r>
          </w:p>
        </w:tc>
        <w:tc>
          <w:tcPr>
            <w:tcW w:type="dxa" w:w="3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Vulnerable to Shor's algorithm — plan migration by 2028 when post-quantum standards finalised</w:t>
            </w:r>
          </w:p>
        </w:tc>
      </w:tr>
      <w:tr>
        <w:tc>
          <w:tcPr>
            <w:tcW w:type="dxa" w:w="1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ECDSA (P-256)</w:t>
            </w:r>
          </w:p>
        </w:tc>
        <w:tc>
          <w:tcPr>
            <w:tcW w:type="dxa" w:w="40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QR payload signature — prevents TTL extension and session ID spoofing</w:t>
            </w:r>
          </w:p>
        </w:tc>
        <w:tc>
          <w:tcPr>
            <w:tcW w:type="dxa" w:w="38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Same as ECDH — plan migration by 2028</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HKDF-SHA256</w:t>
            </w:r>
          </w:p>
        </w:tc>
        <w:tc>
          <w:tcPr>
            <w:tcW w:type="dxa" w:w="4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Derives AES-256 session key from ECDH shared secret</w:t>
            </w:r>
          </w:p>
        </w:tc>
        <w:tc>
          <w:tcPr>
            <w:tcW w:type="dxa" w:w="3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Not directly vulnerable to known quantum attacks</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1a1a18"/>
          <w:sz w:val="28"/>
          <w:szCs w:val="28"/>
        </w:rPr>
        <w:t xml:space="preserve">4.2 SAHPRA Class A OCR Architecture (Correction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A7517" w:sz="16"/>
              <w:bottom w:val="none" w:color="ffffff" w:sz="0"/>
              <w:right w:val="none" w:color="ffffff" w:sz="0"/>
            </w:tcBorders>
            <w:shd w:fill="FAEEDA" w:val="clear"/>
            <w:tcMar>
              <w:top w:type="dxa" w:w="120"/>
              <w:left w:type="dxa" w:w="200"/>
              <w:bottom w:type="dxa" w:w="120"/>
              <w:right w:type="dxa" w:w="120"/>
            </w:tcMar>
          </w:tcPr>
          <w:p>
            <w:r>
              <w:rPr>
                <w:rFonts w:ascii="Arial" w:cs="Arial" w:eastAsia="Arial" w:hAnsi="Arial"/>
                <w:color w:val="633806"/>
                <w:sz w:val="20"/>
                <w:szCs w:val="20"/>
              </w:rPr>
              <w:t xml:space="preserve">PREVIOUS OCR APPROACH (NON-COMPLIANT): Extracting clinical values (e.g. HbA1c: 8.2%, CD4: 350) into structured UI fields. If a clinician acted on a hallucinated or misaligned OCR value, QuroVita held medical liability. This triggers SAHPRA Class B/C — ISO 13485 QMS, clinical validation studies, 2+ year approval. MVP would be blocked.</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6"/>
              <w:bottom w:val="none" w:color="ffffff" w:sz="0"/>
              <w:right w:val="none" w:color="ffffff" w:sz="0"/>
            </w:tcBorders>
            <w:shd w:fill="E1F5EE" w:val="clear"/>
            <w:tcMar>
              <w:top w:type="dxa" w:w="120"/>
              <w:left w:type="dxa" w:w="200"/>
              <w:bottom w:type="dxa" w:w="120"/>
              <w:right w:type="dxa" w:w="120"/>
            </w:tcMar>
          </w:tcPr>
          <w:p>
            <w:r>
              <w:rPr>
                <w:rFonts w:ascii="Arial" w:cs="Arial" w:eastAsia="Arial" w:hAnsi="Arial"/>
                <w:color w:val="085041"/>
                <w:sz w:val="20"/>
                <w:szCs w:val="20"/>
              </w:rPr>
              <w:t xml:space="preserve">CORRECTED OCR (SAHPRA CLASS A): OCR is used ONLY for: (1) document type classification, (2) metadata extraction for search/indexing (date, facility, patient name), (3) full-text search indexing. No clinical values are extracted into structured fields. Clinicians ALWAYS view the original source document image. Clinical interpretation liability rests entirely with the human practitioner.</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60"/>
        <w:gridCol w:w="5400"/>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OCR function</w:t>
            </w:r>
          </w:p>
        </w:tc>
        <w:tc>
          <w:tcPr>
            <w:tcW w:type="dxa" w:w="11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Class A safe?</w:t>
            </w:r>
          </w:p>
        </w:tc>
        <w:tc>
          <w:tcPr>
            <w:tcW w:type="dxa" w:w="54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Rationale</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Document type classification (lab result vs prescription)</w:t>
            </w:r>
          </w:p>
        </w:tc>
        <w:tc>
          <w:tcPr>
            <w:tcW w:type="dxa" w:w="11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YES</w:t>
            </w:r>
          </w:p>
        </w:tc>
        <w:tc>
          <w:tcPr>
            <w:tcW w:type="dxa" w:w="5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Pattern matching on document structure — no clinical reasoning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Date and facility name extraction</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YES</w:t>
            </w:r>
          </w:p>
        </w:tc>
        <w:tc>
          <w:tcPr>
            <w:tcW w:type="dxa" w:w="5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Administrative metadata only — not clinical data</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Full-text search indexing</w:t>
            </w:r>
          </w:p>
        </w:tc>
        <w:tc>
          <w:tcPr>
            <w:tcW w:type="dxa" w:w="11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YES</w:t>
            </w:r>
          </w:p>
        </w:tc>
        <w:tc>
          <w:tcPr>
            <w:tcW w:type="dxa" w:w="5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Enables record findability — no clinical 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Patient name for record linking</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YES</w:t>
            </w:r>
          </w:p>
        </w:tc>
        <w:tc>
          <w:tcPr>
            <w:tcW w:type="dxa" w:w="5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Identity management only</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Extracting lab values into structured fields</w:t>
            </w:r>
          </w:p>
        </w:tc>
        <w:tc>
          <w:tcPr>
            <w:tcW w:type="dxa" w:w="11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NO — triggers Class B</w:t>
            </w:r>
          </w:p>
        </w:tc>
        <w:tc>
          <w:tcPr>
            <w:tcW w:type="dxa" w:w="5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Software making diagnostic observations = active medical device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Flagging abnormal values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NO — triggers Class C</w:t>
            </w:r>
          </w:p>
        </w:tc>
        <w:tc>
          <w:tcPr>
            <w:tcW w:type="dxa" w:w="5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Clinical decision support = highest risk classification</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Populating medication lists from images</w:t>
            </w:r>
          </w:p>
        </w:tc>
        <w:tc>
          <w:tcPr>
            <w:tcW w:type="dxa" w:w="11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NO — triggers Class B</w:t>
            </w:r>
          </w:p>
        </w:tc>
        <w:tc>
          <w:tcPr>
            <w:tcW w:type="dxa" w:w="5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Automated drug extraction for clinical use = medical device</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1a1a18"/>
          <w:sz w:val="28"/>
          <w:szCs w:val="28"/>
        </w:rPr>
        <w:t xml:space="preserve">4.3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Technology</w:t>
            </w:r>
          </w:p>
        </w:tc>
        <w:tc>
          <w:tcPr>
            <w:tcW w:type="dxa" w:w="51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Patient mobile (MVP)</w:t>
            </w:r>
          </w:p>
        </w:tc>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React Native 0.74 (Expo 51)</w:t>
            </w:r>
          </w:p>
        </w:tc>
        <w:tc>
          <w:tcPr>
            <w:tcW w:type="dxa" w:w="51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Android-first; offline-first; WatermelonDB; AES-256 local encryption; BLE/Wi-Fi Direct P2P</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Patient mobile (v2)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Flutter (Q2 2027)</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Full rewrite; stronger BLE/Wi-Fi Direct support; better performance on entry-level Android</w:t>
            </w:r>
          </w:p>
        </w:tc>
      </w:tr>
      <w:tr>
        <w:tc>
          <w:tcPr>
            <w:tcW w:type="dxa" w:w="1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P2P offline transfer</w:t>
            </w:r>
          </w:p>
        </w:tc>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BLE + Wi-Fi Direct</w:t>
            </w:r>
          </w:p>
        </w:tc>
        <w:tc>
          <w:tcPr>
            <w:tcW w:type="dxa" w:w="51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Initiated by QR scan; AES-256-GCM encrypted; no cellular required; 1MB bundle in seconds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Backend API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Node.js 20 + Fastify 4</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TypeScript; HAPI FHIR R4; Supabase af-south-1 PostgreSQL; ECDSA signing</w:t>
            </w:r>
          </w:p>
        </w:tc>
      </w:tr>
      <w:tr>
        <w:tc>
          <w:tcPr>
            <w:tcW w:type="dxa" w:w="1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Database</w:t>
            </w:r>
          </w:p>
        </w:tc>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PostgreSQL 15 (Supabase)</w:t>
            </w:r>
          </w:p>
        </w:tc>
        <w:tc>
          <w:tcPr>
            <w:tcW w:type="dxa" w:w="51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AWS af-south-1; Row Level Security; append-only audit_log (REVOKE UPDATE/DELETE enforced)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File storage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AWS S3 (af-south-1)</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AES-256 + KMS; patient-key derived zero-knowledge; POPIA data residency mandatory</w:t>
            </w:r>
          </w:p>
        </w:tc>
      </w:tr>
      <w:tr>
        <w:tc>
          <w:tcPr>
            <w:tcW w:type="dxa" w:w="1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OCR (corrected)</w:t>
            </w:r>
          </w:p>
        </w:tc>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AWS Textract + classification</w:t>
            </w:r>
          </w:p>
        </w:tc>
        <w:tc>
          <w:tcPr>
            <w:tcW w:type="dxa" w:w="51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Document type classification ONLY — no clinical value extraction (SAHPRA Class 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WhatsApp bot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Twilio Messaging API</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3-language state machine (EN/isiZulu/Sesotho); Redis session; HPCSA-compliant AI integration</w:t>
            </w:r>
          </w:p>
        </w:tc>
      </w:tr>
      <w:tr>
        <w:tc>
          <w:tcPr>
            <w:tcW w:type="dxa" w:w="1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AI assistant</w:t>
            </w:r>
          </w:p>
        </w:tc>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Claude claude-sonnet-4-20250514</w:t>
            </w:r>
          </w:p>
        </w:tc>
        <w:tc>
          <w:tcPr>
            <w:tcW w:type="dxa" w:w="51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HPCSA Booklet 20 compliant; WHO glossary definitions only; automated compliance checks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KYC verification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Smile ID or Contactable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R10-22/user (post-DHA hike); POPIA Operator agreement required; AES-256 tablet cache encryption</w:t>
            </w:r>
          </w:p>
        </w:tc>
      </w:tr>
      <w:tr>
        <w:tc>
          <w:tcPr>
            <w:tcW w:type="dxa" w:w="1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Provider portal</w:t>
            </w:r>
          </w:p>
        </w:tc>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Next.js 14 + Tailwind CSS</w:t>
            </w:r>
          </w:p>
        </w:tc>
        <w:tc>
          <w:tcPr>
            <w:tcW w:type="dxa" w:w="51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Stateless; no provider accounts; session-scoped; OOB P2P or online encrypted bundle delivery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Infrastructure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AWS ECS Fargate + Terraform</w:t>
            </w:r>
          </w:p>
        </w:tc>
        <w:tc>
          <w:tcPr>
            <w:tcW w:type="dxa" w:w="5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af-south-1 mandatory; GitHub Actions CI/CD; Sentry + Datadog monitoring</w:t>
            </w:r>
          </w:p>
        </w:tc>
      </w:tr>
    </w:tbl>
    <w:p>
      <w:r>
        <w:br w:type="page"/>
      </w:r>
    </w:p>
    <w:p>
      <w:pPr>
        <w:pStyle w:val="Heading1"/>
        <w:pBdr>
          <w:bottom w:val="single" w:color="0F6E56" w:sz="8" w:space="6"/>
        </w:pBdr>
        <w:spacing w:after="180" w:before="360"/>
      </w:pPr>
      <w:r>
        <w:rPr>
          <w:rFonts w:ascii="Arial" w:cs="Arial" w:eastAsia="Arial" w:hAnsi="Arial"/>
          <w:b/>
          <w:bCs/>
          <w:color w:val="0F6E56"/>
          <w:sz w:val="36"/>
          <w:szCs w:val="36"/>
        </w:rPr>
        <w:t xml:space="preserve">5. Revised MVP Budget — R500k (KYC-Corrected)</w:t>
      </w:r>
    </w:p>
    <w:p>
      <w:pPr>
        <w:pStyle w:val="Heading2"/>
        <w:spacing w:after="120" w:before="240"/>
      </w:pPr>
      <w:r>
        <w:rPr>
          <w:rFonts w:ascii="Arial" w:cs="Arial" w:eastAsia="Arial" w:hAnsi="Arial"/>
          <w:b/>
          <w:bCs/>
          <w:color w:val="1a1a18"/>
          <w:sz w:val="28"/>
          <w:szCs w:val="28"/>
        </w:rPr>
        <w:t xml:space="preserve">5.1 KYC Cost Correction (Correction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32D2D" w:sz="16"/>
              <w:bottom w:val="none" w:color="ffffff" w:sz="0"/>
              <w:right w:val="none" w:color="ffffff" w:sz="0"/>
            </w:tcBorders>
            <w:shd w:fill="FCEBEB" w:val="clear"/>
            <w:tcMar>
              <w:top w:type="dxa" w:w="120"/>
              <w:left w:type="dxa" w:w="200"/>
              <w:bottom w:type="dxa" w:w="120"/>
              <w:right w:type="dxa" w:w="120"/>
            </w:tcMar>
          </w:tcPr>
          <w:p>
            <w:r>
              <w:rPr>
                <w:rFonts w:ascii="Arial" w:cs="Arial" w:eastAsia="Arial" w:hAnsi="Arial"/>
                <w:color w:val="501313"/>
                <w:sz w:val="20"/>
                <w:szCs w:val="20"/>
              </w:rPr>
              <w:t xml:space="preserve">ORIGINAL BUDGET ERROR: Assumed R5.00 per biometric verification. ACTUAL COST: DHA increased OVS fee from R0.15 to R10.00 (6,500%) effective Q3 2025. Third-party aggregators add margin: R10-22/user. For 5,000 users: R50,000-R110,000. This line item did not exist in the original budget and creates a R50k-85k shortfall.</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3440"/>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Budget line</w:t>
            </w:r>
          </w:p>
        </w:tc>
        <w:tc>
          <w:tcPr>
            <w:tcW w:type="dxa" w:w="15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Original v1</w:t>
            </w:r>
          </w:p>
        </w:tc>
        <w:tc>
          <w:tcPr>
            <w:tcW w:type="dxa" w:w="15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Corrected v2</w:t>
            </w:r>
          </w:p>
        </w:tc>
        <w:tc>
          <w:tcPr>
            <w:tcW w:type="dxa" w:w="344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Infrastructure (Supabase + AWS, 3 months)</w:t>
            </w:r>
          </w:p>
        </w:tc>
        <w:tc>
          <w:tcPr>
            <w:tcW w:type="dxa" w:w="1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R40k</w:t>
            </w:r>
          </w:p>
        </w:tc>
        <w:tc>
          <w:tcPr>
            <w:tcW w:type="dxa" w:w="1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R40k</w:t>
            </w:r>
          </w:p>
        </w:tc>
        <w:tc>
          <w:tcPr>
            <w:tcW w:type="dxa" w:w="344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No change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Backend dev (QR OOB, OCR, FHIR, audit, ECDSA)</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R60k</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R70k</w:t>
            </w:r>
          </w:p>
        </w:tc>
        <w:tc>
          <w:tcPr>
            <w:tcW w:type="dxa" w:w="3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+R10k for OOB P2P architecture complexity</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Mobile dev (React Native, offline, BLE/Wi-Fi Direct)</w:t>
            </w:r>
          </w:p>
        </w:tc>
        <w:tc>
          <w:tcPr>
            <w:tcW w:type="dxa" w:w="1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R80k</w:t>
            </w:r>
          </w:p>
        </w:tc>
        <w:tc>
          <w:tcPr>
            <w:tcW w:type="dxa" w:w="1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R90k</w:t>
            </w:r>
          </w:p>
        </w:tc>
        <w:tc>
          <w:tcPr>
            <w:tcW w:type="dxa" w:w="344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+R10k for BLE/Wi-Fi Direct P2P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WhatsApp bot + multi-language + provider portal</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R80k</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R80k</w:t>
            </w:r>
          </w:p>
        </w:tc>
        <w:tc>
          <w:tcPr>
            <w:tcW w:type="dxa" w:w="3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No change</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AI assistant + HPCSA compliance checks</w:t>
            </w:r>
          </w:p>
        </w:tc>
        <w:tc>
          <w:tcPr>
            <w:tcW w:type="dxa" w:w="1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R40k</w:t>
            </w:r>
          </w:p>
        </w:tc>
        <w:tc>
          <w:tcPr>
            <w:tcW w:type="dxa" w:w="1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R40k</w:t>
            </w:r>
          </w:p>
        </w:tc>
        <w:tc>
          <w:tcPr>
            <w:tcW w:type="dxa" w:w="344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No change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OCR tuning (classification only) + 2G optimisation</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R50k</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R50k</w:t>
            </w:r>
          </w:p>
        </w:tc>
        <w:tc>
          <w:tcPr>
            <w:tcW w:type="dxa" w:w="3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No change</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KYC biometric verification (5,000 users)</w:t>
            </w:r>
          </w:p>
        </w:tc>
        <w:tc>
          <w:tcPr>
            <w:tcW w:type="dxa" w:w="1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R25k (assumed R5/user)</w:t>
            </w:r>
          </w:p>
        </w:tc>
        <w:tc>
          <w:tcPr>
            <w:tcW w:type="dxa" w:w="1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R75k-110k (R10-22/user)</w:t>
            </w:r>
          </w:p>
        </w:tc>
        <w:tc>
          <w:tcPr>
            <w:tcW w:type="dxa" w:w="344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DHA 6,500% hike — fund via NRF grant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QA + POPIA audit + SAHPRA notification</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R60k</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R70k</w:t>
            </w:r>
          </w:p>
        </w:tc>
        <w:tc>
          <w:tcPr>
            <w:tcW w:type="dxa" w:w="3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+R10k for corrected architecture review</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WC PHC pilot (5 clinics, CHW training, NPS)</w:t>
            </w:r>
          </w:p>
        </w:tc>
        <w:tc>
          <w:tcPr>
            <w:tcW w:type="dxa" w:w="1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R90k</w:t>
            </w:r>
          </w:p>
        </w:tc>
        <w:tc>
          <w:tcPr>
            <w:tcW w:type="dxa" w:w="1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R90k</w:t>
            </w:r>
          </w:p>
        </w:tc>
        <w:tc>
          <w:tcPr>
            <w:tcW w:type="dxa" w:w="344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No change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TOTAL</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R525k</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R605k-640k</w:t>
            </w:r>
          </w:p>
        </w:tc>
        <w:tc>
          <w:tcPr>
            <w:tcW w:type="dxa" w:w="3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R80k-115k shortfall — apply NRF/DSTI grant immediately</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6"/>
              <w:bottom w:val="none" w:color="ffffff" w:sz="0"/>
              <w:right w:val="none" w:color="ffffff" w:sz="0"/>
            </w:tcBorders>
            <w:shd w:fill="E1F5EE" w:val="clear"/>
            <w:tcMar>
              <w:top w:type="dxa" w:w="120"/>
              <w:left w:type="dxa" w:w="200"/>
              <w:bottom w:type="dxa" w:w="120"/>
              <w:right w:type="dxa" w:w="120"/>
            </w:tcMar>
          </w:tcPr>
          <w:p>
            <w:r>
              <w:rPr>
                <w:rFonts w:ascii="Arial" w:cs="Arial" w:eastAsia="Arial" w:hAnsi="Arial"/>
                <w:color w:val="085041"/>
                <w:sz w:val="20"/>
                <w:szCs w:val="20"/>
              </w:rPr>
              <w:t xml:space="preserve">MITIGATION: Apply immediately for NRF Flagship Programme (R500k-2M non-dilutive). Frame KYC as national health identity infrastructure for NHI. Alternatively: CHW-facilitated batch KYC (R1/user off-peak) where workflow permits — reduces to R5,000 for 5,000 users but requires offline queue with AES-256 encrypted local cache.</w:t>
            </w:r>
          </w:p>
        </w:tc>
      </w:tr>
    </w:tbl>
    <w:p>
      <w:r>
        <w:br w:type="page"/>
      </w:r>
    </w:p>
    <w:p>
      <w:pPr>
        <w:pStyle w:val="Heading1"/>
        <w:pBdr>
          <w:bottom w:val="single" w:color="0F6E56" w:sz="8" w:space="6"/>
        </w:pBdr>
        <w:spacing w:after="180" w:before="360"/>
      </w:pPr>
      <w:r>
        <w:rPr>
          <w:rFonts w:ascii="Arial" w:cs="Arial" w:eastAsia="Arial" w:hAnsi="Arial"/>
          <w:b/>
          <w:bCs/>
          <w:color w:val="0F6E56"/>
          <w:sz w:val="36"/>
          <w:szCs w:val="36"/>
        </w:rPr>
        <w:t xml:space="preserve">6. Go-to-Market Strategy</w:t>
      </w:r>
    </w:p>
    <w:p>
      <w:pPr>
        <w:pStyle w:val="Heading2"/>
        <w:spacing w:after="120" w:before="240"/>
      </w:pPr>
      <w:r>
        <w:rPr>
          <w:rFonts w:ascii="Arial" w:cs="Arial" w:eastAsia="Arial" w:hAnsi="Arial"/>
          <w:b/>
          <w:bCs/>
          <w:color w:val="1a1a18"/>
          <w:sz w:val="28"/>
          <w:szCs w:val="28"/>
        </w:rPr>
        <w:t xml:space="preserve">6.1 NGO-First Validated (Correction #7)</w:t>
      </w:r>
    </w:p>
    <w:p>
      <w:pPr>
        <w:spacing w:after="80" w:before="60"/>
      </w:pPr>
      <w:r>
        <w:rPr>
          <w:rFonts w:ascii="Arial" w:cs="Arial" w:eastAsia="Arial" w:hAnsi="Arial"/>
          <w:color w:val="444444"/>
          <w:sz w:val="22"/>
          <w:szCs w:val="22"/>
        </w:rPr>
        <w:t xml:space="preserve">The research review confirmed through detailed PFMA and Constitutional analysis that direct government procurement is impossible in 12 weeks. Section 217 and the PFMA mandate competitive tender processes for all state procurement, including subsidized or free pilots in public facilities. Digital health pilots trigger SITA architectural reviews, HNSF conformity assessments, and data sovereignty negotiations. Historical lead time: 18-24 months minimum.</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A7517" w:sz="16"/>
              <w:bottom w:val="none" w:color="ffffff" w:sz="0"/>
              <w:right w:val="none" w:color="ffffff" w:sz="0"/>
            </w:tcBorders>
            <w:shd w:fill="FAEEDA" w:val="clear"/>
            <w:tcMar>
              <w:top w:type="dxa" w:w="120"/>
              <w:left w:type="dxa" w:w="200"/>
              <w:bottom w:type="dxa" w:w="120"/>
              <w:right w:type="dxa" w:w="120"/>
            </w:tcMar>
          </w:tcPr>
          <w:p>
            <w:r>
              <w:rPr>
                <w:rFonts w:ascii="Arial" w:cs="Arial" w:eastAsia="Arial" w:hAnsi="Arial"/>
                <w:color w:val="633806"/>
                <w:sz w:val="20"/>
                <w:szCs w:val="20"/>
              </w:rPr>
              <w:t xml:space="preserve">Direct DoH/WCG procurement: PROCEDURALLY IMPOSSIBLE in MVP timeline. Provincial health departments cannot adopt new software without full competitive vetting — even for free pilots. Any attempt creates irregular expenditure liability for DoH officials. They cannot agree without procurement compliance.</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6"/>
              <w:bottom w:val="none" w:color="ffffff" w:sz="0"/>
              <w:right w:val="none" w:color="ffffff" w:sz="0"/>
            </w:tcBorders>
            <w:shd w:fill="E1F5EE" w:val="clear"/>
            <w:tcMar>
              <w:top w:type="dxa" w:w="120"/>
              <w:left w:type="dxa" w:w="200"/>
              <w:bottom w:type="dxa" w:w="120"/>
              <w:right w:type="dxa" w:w="120"/>
            </w:tcMar>
          </w:tcPr>
          <w:p>
            <w:r>
              <w:rPr>
                <w:rFonts w:ascii="Arial" w:cs="Arial" w:eastAsia="Arial" w:hAnsi="Arial"/>
                <w:color w:val="085041"/>
                <w:sz w:val="20"/>
                <w:szCs w:val="20"/>
              </w:rPr>
              <w:t xml:space="preserve">VALIDATED PATH: Partner with PEPFAR/Global Fund NGOs who already hold DoH MOUs. These NGOs have authority to introduce digital tools into public clinics under their operational mandates. Position QuroVita as an interoperability bridge — not a competing system — which avoids triggering the procurement requirement. Vula Mobile scaled to 750k patients and 26k HCWs using exactly this model.</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900"/>
        <w:gridCol w:w="900"/>
        <w:gridCol w:w="2260"/>
        <w:gridCol w:w="3100"/>
      </w:tblGrid>
      <w:tr>
        <w:tc>
          <w:tcPr>
            <w:tcW w:type="dxa" w:w="12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Phase</w:t>
            </w:r>
          </w:p>
        </w:tc>
        <w:tc>
          <w:tcPr>
            <w:tcW w:type="dxa" w:w="10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Timeline</w:t>
            </w:r>
          </w:p>
        </w:tc>
        <w:tc>
          <w:tcPr>
            <w:tcW w:type="dxa" w:w="9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Users</w:t>
            </w:r>
          </w:p>
        </w:tc>
        <w:tc>
          <w:tcPr>
            <w:tcW w:type="dxa" w:w="9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Clinics</w:t>
            </w:r>
          </w:p>
        </w:tc>
        <w:tc>
          <w:tcPr>
            <w:tcW w:type="dxa" w:w="22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Region</w:t>
            </w:r>
          </w:p>
        </w:tc>
        <w:tc>
          <w:tcPr>
            <w:tcW w:type="dxa" w:w="31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Revenue</w:t>
            </w:r>
          </w:p>
        </w:tc>
      </w:tr>
      <w:tr>
        <w:tc>
          <w:tcPr>
            <w:tcW w:type="dxa" w:w="1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NGO pilot</w:t>
            </w:r>
          </w:p>
        </w:tc>
        <w:tc>
          <w:tcPr>
            <w:tcW w:type="dxa" w:w="1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W11-12 (MVP)</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50-100</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5</w:t>
            </w:r>
          </w:p>
        </w:tc>
        <w:tc>
          <w:tcPr>
            <w:tcW w:type="dxa" w:w="22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WC PHC (Khayelitsha/Gugulethu)</w:t>
            </w:r>
          </w:p>
        </w:tc>
        <w:tc>
          <w:tcPr>
            <w:tcW w:type="dxa" w:w="31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R0 — proof of concept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NGO scale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Q1 2027</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2,000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20</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WC + GP (Anova + TB HIV Care)</w:t>
            </w:r>
          </w:p>
        </w:tc>
        <w:tc>
          <w:tcPr>
            <w:tcW w:type="dxa" w:w="3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R180k ARR (3 NGO program licences)</w:t>
            </w:r>
          </w:p>
        </w:tc>
      </w:tr>
      <w:tr>
        <w:tc>
          <w:tcPr>
            <w:tcW w:type="dxa" w:w="1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NCD expansion</w:t>
            </w:r>
          </w:p>
        </w:tc>
        <w:tc>
          <w:tcPr>
            <w:tcW w:type="dxa" w:w="1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Q2 2027</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5,000</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50</w:t>
            </w:r>
          </w:p>
        </w:tc>
        <w:tc>
          <w:tcPr>
            <w:tcW w:type="dxa" w:w="22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WC + GP + KZN</w:t>
            </w:r>
          </w:p>
        </w:tc>
        <w:tc>
          <w:tcPr>
            <w:tcW w:type="dxa" w:w="31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R500k ARR — B2B API + NGO</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Private sector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Q3 2027</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10,000+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100+ facilities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National (scheme/employer)</w:t>
            </w:r>
          </w:p>
        </w:tc>
        <w:tc>
          <w:tcPr>
            <w:tcW w:type="dxa" w:w="3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R1M ARR — first scheme PMPM</w:t>
            </w:r>
          </w:p>
        </w:tc>
      </w:tr>
      <w:tr>
        <w:tc>
          <w:tcPr>
            <w:tcW w:type="dxa" w:w="1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NHI CareConnect</w:t>
            </w:r>
          </w:p>
        </w:tc>
        <w:tc>
          <w:tcPr>
            <w:tcW w:type="dxa" w:w="1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2028</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100,000+</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National</w:t>
            </w:r>
          </w:p>
        </w:tc>
        <w:tc>
          <w:tcPr>
            <w:tcW w:type="dxa" w:w="22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All provinces</w:t>
            </w:r>
          </w:p>
        </w:tc>
        <w:tc>
          <w:tcPr>
            <w:tcW w:type="dxa" w:w="31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R10M+ — government contract</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1a1a18"/>
          <w:sz w:val="28"/>
          <w:szCs w:val="28"/>
        </w:rPr>
        <w:t xml:space="preserve">6.2 Priority NGO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200"/>
        <w:gridCol w:w="4660"/>
      </w:tblGrid>
      <w:tr>
        <w:tc>
          <w:tcPr>
            <w:tcW w:type="dxa" w:w="16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NGO</w:t>
            </w:r>
          </w:p>
        </w:tc>
        <w:tc>
          <w:tcPr>
            <w:tcW w:type="dxa" w:w="9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Clinics</w:t>
            </w:r>
          </w:p>
        </w:tc>
        <w:tc>
          <w:tcPr>
            <w:tcW w:type="dxa" w:w="22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Focus</w:t>
            </w:r>
          </w:p>
        </w:tc>
        <w:tc>
          <w:tcPr>
            <w:tcW w:type="dxa" w:w="46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Strategic value</w:t>
            </w:r>
          </w:p>
        </w:tc>
      </w:tr>
      <w:tr>
        <w:tc>
          <w:tcPr>
            <w:tcW w:type="dxa" w:w="1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TB HIV Care</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200+</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HIV/TB community-led</w:t>
            </w:r>
          </w:p>
        </w:tc>
        <w:tc>
          <w:tcPr>
            <w:tcW w:type="dxa" w:w="46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Largest independent TB/HIV NGO in SA; PEPFAR-funded; WC + EC + KZN footprint; existing DoH MOUs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Anova Health Institute</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150+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HIV prevention + treatment</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WC-dominant; Gauteng presence; strong NHLS lab relationships; government relationships</w:t>
            </w:r>
          </w:p>
        </w:tc>
      </w:tr>
      <w:tr>
        <w:tc>
          <w:tcPr>
            <w:tcW w:type="dxa" w:w="1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Right to Care</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300+</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HIV/TB public sector support</w:t>
            </w:r>
          </w:p>
        </w:tc>
        <w:tc>
          <w:tcPr>
            <w:tcW w:type="dxa" w:w="46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National footprint; PEPFAR implementing partner; experience with digital health tools (MomConnect)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MSF Southern Africa</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30+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HIV/TB rural + informal settlements</w:t>
            </w:r>
          </w:p>
        </w:tc>
        <w:tc>
          <w:tcPr>
            <w:tcW w:type="dxa" w:w="46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Khayelitsha clinic network; credibility for underserved populations; global donor alignment</w:t>
            </w:r>
          </w:p>
        </w:tc>
      </w:tr>
      <w:tr>
        <w:tc>
          <w:tcPr>
            <w:tcW w:type="dxa" w:w="1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Stellenbosch HSRI</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Research partner</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Health systems research</w:t>
            </w:r>
          </w:p>
        </w:tc>
        <w:tc>
          <w:tcPr>
            <w:tcW w:type="dxa" w:w="46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IRB/ethics clearance pathway; academic validation; NRF grant co-application strengthens bid significantly</w:t>
            </w:r>
          </w:p>
        </w:tc>
      </w:tr>
    </w:tbl>
    <w:p>
      <w:r>
        <w:br w:type="page"/>
      </w:r>
    </w:p>
    <w:p>
      <w:pPr>
        <w:pStyle w:val="Heading1"/>
        <w:pBdr>
          <w:bottom w:val="single" w:color="0F6E56" w:sz="8" w:space="6"/>
        </w:pBdr>
        <w:spacing w:after="180" w:before="360"/>
      </w:pPr>
      <w:r>
        <w:rPr>
          <w:rFonts w:ascii="Arial" w:cs="Arial" w:eastAsia="Arial" w:hAnsi="Arial"/>
          <w:b/>
          <w:bCs/>
          <w:color w:val="0F6E56"/>
          <w:sz w:val="36"/>
          <w:szCs w:val="36"/>
        </w:rPr>
        <w:t xml:space="preserve">7. Revenue Model — Corrected Priorities</w:t>
      </w:r>
    </w:p>
    <w:p>
      <w:pPr>
        <w:pStyle w:val="Heading2"/>
        <w:spacing w:after="120" w:before="240"/>
      </w:pPr>
      <w:r>
        <w:rPr>
          <w:rFonts w:ascii="Arial" w:cs="Arial" w:eastAsia="Arial" w:hAnsi="Arial"/>
          <w:b/>
          <w:bCs/>
          <w:color w:val="1a1a18"/>
          <w:sz w:val="28"/>
          <w:szCs w:val="28"/>
        </w:rPr>
        <w:t xml:space="preserve">7.1 Priority Correction (Correction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A7517" w:sz="16"/>
              <w:bottom w:val="none" w:color="ffffff" w:sz="0"/>
              <w:right w:val="none" w:color="ffffff" w:sz="0"/>
            </w:tcBorders>
            <w:shd w:fill="FAEEDA" w:val="clear"/>
            <w:tcMar>
              <w:top w:type="dxa" w:w="120"/>
              <w:left w:type="dxa" w:w="200"/>
              <w:bottom w:type="dxa" w:w="120"/>
              <w:right w:type="dxa" w:w="120"/>
            </w:tcMar>
          </w:tcPr>
          <w:p>
            <w:r>
              <w:rPr>
                <w:rFonts w:ascii="Arial" w:cs="Arial" w:eastAsia="Arial" w:hAnsi="Arial"/>
                <w:color w:val="633806"/>
                <w:sz w:val="20"/>
                <w:szCs w:val="20"/>
              </w:rPr>
              <w:t xml:space="preserve">CORRECTED ORDER: (1) NGO program licences + grants — Phase 1. (2) B2B API micro-transactions + employer wellness — Phase 2. (3) Medical scheme PMPM — Phase 2+ only after 12+ months of outcome data proving claims ratio reduction. Medical schemes will NOT pay SaaS fees without demonstrated financial impact.</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700"/>
        <w:gridCol w:w="1200"/>
        <w:gridCol w:w="1200"/>
        <w:gridCol w:w="230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Revenue stream</w:t>
            </w:r>
          </w:p>
        </w:tc>
        <w:tc>
          <w:tcPr>
            <w:tcW w:type="dxa" w:w="17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Model</w:t>
            </w:r>
          </w:p>
        </w:tc>
        <w:tc>
          <w:tcPr>
            <w:tcW w:type="dxa" w:w="7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Q4 2026</w:t>
            </w:r>
          </w:p>
        </w:tc>
        <w:tc>
          <w:tcPr>
            <w:tcW w:type="dxa" w:w="12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2027</w:t>
            </w:r>
          </w:p>
        </w:tc>
        <w:tc>
          <w:tcPr>
            <w:tcW w:type="dxa" w:w="23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NGO program licences</w:t>
            </w:r>
          </w:p>
        </w:tc>
        <w:tc>
          <w:tcPr>
            <w:tcW w:type="dxa" w:w="17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R5k-20k/month per program</w:t>
            </w:r>
          </w:p>
        </w:tc>
        <w:tc>
          <w:tcPr>
            <w:tcW w:type="dxa" w:w="7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1</w:t>
            </w:r>
          </w:p>
        </w:tc>
        <w:tc>
          <w:tcPr>
            <w:tcW w:type="dxa" w:w="1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R180k ARR</w:t>
            </w:r>
          </w:p>
        </w:tc>
        <w:tc>
          <w:tcPr>
            <w:tcW w:type="dxa" w:w="1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R500k ARR</w:t>
            </w:r>
          </w:p>
        </w:tc>
        <w:tc>
          <w:tcPr>
            <w:tcW w:type="dxa" w:w="2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Fastest path to first revenue. 3 programs at R5k/mo = R180k.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PEPFAR/Gates grants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Non-dilutive grant</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R250k</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R2M</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Apply immediately. HIV/TB continuity = exact PEPFAR mandate.</w:t>
            </w:r>
          </w:p>
        </w:tc>
      </w:tr>
      <w:tr>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NRF/DSTI grants</w:t>
            </w:r>
          </w:p>
        </w:tc>
        <w:tc>
          <w:tcPr>
            <w:tcW w:type="dxa" w:w="17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Non-dilutive grant</w:t>
            </w:r>
          </w:p>
        </w:tc>
        <w:tc>
          <w:tcPr>
            <w:tcW w:type="dxa" w:w="7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1</w:t>
            </w:r>
          </w:p>
        </w:tc>
        <w:tc>
          <w:tcPr>
            <w:tcW w:type="dxa" w:w="1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R500k</w:t>
            </w:r>
          </w:p>
        </w:tc>
        <w:tc>
          <w:tcPr>
            <w:tcW w:type="dxa" w:w="1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R1M</w:t>
            </w:r>
          </w:p>
        </w:tc>
        <w:tc>
          <w:tcPr>
            <w:tcW w:type="dxa" w:w="2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Critical to cover KYC budget shortfall. Apply this week.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B2B FHIR API (hospital groups, insurers)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R5-50 per API pull</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R300k ARR</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Requires Phase 2 FHIR bidirectional. Patient QR consent gates every pull.</w:t>
            </w:r>
          </w:p>
        </w:tc>
      </w:tr>
      <w:tr>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Employer wellness (SME via payroll)</w:t>
            </w:r>
          </w:p>
        </w:tc>
        <w:tc>
          <w:tcPr>
            <w:tcW w:type="dxa" w:w="17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R20/employee/month</w:t>
            </w:r>
          </w:p>
        </w:tc>
        <w:tc>
          <w:tcPr>
            <w:tcW w:type="dxa" w:w="7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2</w:t>
            </w:r>
          </w:p>
        </w:tc>
        <w:tc>
          <w:tcPr>
            <w:tcW w:type="dxa" w:w="1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R0</w:t>
            </w:r>
          </w:p>
        </w:tc>
        <w:tc>
          <w:tcPr>
            <w:tcW w:type="dxa" w:w="1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R500k ARR</w:t>
            </w:r>
          </w:p>
        </w:tc>
        <w:tc>
          <w:tcPr>
            <w:tcW w:type="dxa" w:w="2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Sage/PaySpace payroll add-on. Affordable alternative to medical scheme.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Lab/pharmacy integrations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R2k-5k/month per integration</w:t>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R200k ARR</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NHLS, Lancet, Clicks. Requires bidirectional FHIR.</w:t>
            </w:r>
          </w:p>
        </w:tc>
      </w:tr>
      <w:tr>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Medical scheme PMPM</w:t>
            </w:r>
          </w:p>
        </w:tc>
        <w:tc>
          <w:tcPr>
            <w:tcW w:type="dxa" w:w="17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R20/member/month</w:t>
            </w:r>
          </w:p>
        </w:tc>
        <w:tc>
          <w:tcPr>
            <w:tcW w:type="dxa" w:w="7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2+</w:t>
            </w:r>
          </w:p>
        </w:tc>
        <w:tc>
          <w:tcPr>
            <w:tcW w:type="dxa" w:w="1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R0</w:t>
            </w:r>
          </w:p>
        </w:tc>
        <w:tc>
          <w:tcPr>
            <w:tcW w:type="dxa" w:w="1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R400k ARR (pilot)</w:t>
            </w:r>
          </w:p>
        </w:tc>
        <w:tc>
          <w:tcPr>
            <w:tcW w:type="dxa" w:w="2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Only after outcome data. Not a Phase 1 target.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TOTAL ARR run-rate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R930k (incl. grants)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R5M+</w:t>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Grants dominate Phase 1; B2B Phase 2.</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1a1a18"/>
          <w:sz w:val="28"/>
          <w:szCs w:val="28"/>
        </w:rPr>
        <w:t xml:space="preserve">7.2 Full Customer Segment Universe (47 segments identified)</w:t>
      </w:r>
    </w:p>
    <w:p>
      <w:pPr>
        <w:spacing w:after="80" w:before="60"/>
      </w:pPr>
      <w:r>
        <w:rPr>
          <w:rFonts w:ascii="Arial" w:cs="Arial" w:eastAsia="Arial" w:hAnsi="Arial"/>
          <w:color w:val="444444"/>
          <w:sz w:val="22"/>
          <w:szCs w:val="22"/>
        </w:rPr>
        <w:t xml:space="preserve">QuroVita has 47 identified customer segments across 14 categories. The top 10 by revenue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Segment</w:t>
            </w:r>
          </w:p>
        </w:tc>
        <w:tc>
          <w:tcPr>
            <w:tcW w:type="dxa" w:w="22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Model</w:t>
            </w:r>
          </w:p>
        </w:tc>
        <w:tc>
          <w:tcPr>
            <w:tcW w:type="dxa" w:w="22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Revenue potential</w:t>
            </w:r>
          </w:p>
        </w:tc>
        <w:tc>
          <w:tcPr>
            <w:tcW w:type="dxa" w:w="23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Phase</w:t>
            </w:r>
          </w:p>
        </w:tc>
      </w:tr>
      <w:tr>
        <w:tc>
          <w:tcPr>
            <w:tcW w:type="dxa" w:w="2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Medical schemes (Discovery, GEMS, Momentum, Bonitas)</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R20/member/month PMPM</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R24M ARR at scale</w:t>
            </w:r>
          </w:p>
        </w:tc>
        <w:tc>
          <w:tcPr>
            <w:tcW w:type="dxa" w:w="2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2+</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Employers (large corporate wellness)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R35/employee/month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R10M ARR potential</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2</w:t>
            </w:r>
          </w:p>
        </w:tc>
      </w:tr>
      <w:tr>
        <w:tc>
          <w:tcPr>
            <w:tcW w:type="dxa" w:w="2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NHI Fund / DoH national</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Government contract</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R8M+ ARR</w:t>
            </w:r>
          </w:p>
        </w:tc>
        <w:tc>
          <w:tcPr>
            <w:tcW w:type="dxa" w:w="2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3</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Pharma (real-world evidence data licensing)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R500k-5M/year per study (patient opt-in, IRB required)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R5M ARR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3</w:t>
            </w:r>
          </w:p>
        </w:tc>
      </w:tr>
      <w:tr>
        <w:tc>
          <w:tcPr>
            <w:tcW w:type="dxa" w:w="2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Hospital groups (Netcare, Life, Mediclinic)</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R50k-200k/year enterprise licence</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R4M ARR</w:t>
            </w:r>
          </w:p>
        </w:tc>
        <w:tc>
          <w:tcPr>
            <w:tcW w:type="dxa" w:w="2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2</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PEPFAR implementing partners (NGO)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R5k-20k/month program licence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R2.4M ARR (200 IPs)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1</w:t>
            </w:r>
          </w:p>
        </w:tc>
      </w:tr>
      <w:tr>
        <w:tc>
          <w:tcPr>
            <w:tcW w:type="dxa" w:w="2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Lab companies (NHLS, Lancet, PathCare)</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R2k-5k/month + R0.50/result</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R2.4M ARR</w:t>
            </w:r>
          </w:p>
        </w:tc>
        <w:tc>
          <w:tcPr>
            <w:tcW w:type="dxa" w:w="2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2</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Employers SME (via payroll platforms)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R20/employee/month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R2M ARR realistic</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2</w:t>
            </w:r>
          </w:p>
        </w:tc>
      </w:tr>
      <w:tr>
        <w:tc>
          <w:tcPr>
            <w:tcW w:type="dxa" w:w="2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Academic institutions (UCT, Wits, Stellenbosch)</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R50k-200k/year research licence</w:t>
            </w:r>
          </w:p>
        </w:tc>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R1M ARR</w:t>
            </w:r>
          </w:p>
        </w:tc>
        <w:tc>
          <w:tcPr>
            <w:tcW w:type="dxa" w:w="2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2</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Pharmacies (Clicks, Dis-Chem)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R2k-5k/month per chain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R600k ARR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2</w:t>
            </w:r>
          </w:p>
        </w:tc>
      </w:tr>
    </w:tbl>
    <w:p>
      <w:r>
        <w:br w:type="page"/>
      </w:r>
    </w:p>
    <w:p>
      <w:pPr>
        <w:pStyle w:val="Heading1"/>
        <w:pBdr>
          <w:bottom w:val="single" w:color="0F6E56" w:sz="8" w:space="6"/>
        </w:pBdr>
        <w:spacing w:after="180" w:before="360"/>
      </w:pPr>
      <w:r>
        <w:rPr>
          <w:rFonts w:ascii="Arial" w:cs="Arial" w:eastAsia="Arial" w:hAnsi="Arial"/>
          <w:b/>
          <w:bCs/>
          <w:color w:val="0F6E56"/>
          <w:sz w:val="36"/>
          <w:szCs w:val="36"/>
        </w:rPr>
        <w:t xml:space="preserve">8. Regulatory and Legal Framework</w:t>
      </w:r>
    </w:p>
    <w:p>
      <w:pPr>
        <w:pStyle w:val="Heading2"/>
        <w:spacing w:after="120" w:before="240"/>
      </w:pPr>
      <w:r>
        <w:rPr>
          <w:rFonts w:ascii="Arial" w:cs="Arial" w:eastAsia="Arial" w:hAnsi="Arial"/>
          <w:b/>
          <w:bCs/>
          <w:color w:val="1a1a18"/>
          <w:sz w:val="28"/>
          <w:szCs w:val="28"/>
        </w:rPr>
        <w:t xml:space="preserve">8.1 SAHPRA Class A 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6"/>
              <w:bottom w:val="none" w:color="ffffff" w:sz="0"/>
              <w:right w:val="none" w:color="ffffff" w:sz="0"/>
            </w:tcBorders>
            <w:shd w:fill="E1F5EE" w:val="clear"/>
            <w:tcMar>
              <w:top w:type="dxa" w:w="120"/>
              <w:left w:type="dxa" w:w="200"/>
              <w:bottom w:type="dxa" w:w="120"/>
              <w:right w:type="dxa" w:w="120"/>
            </w:tcMar>
          </w:tcPr>
          <w:p>
            <w:r>
              <w:rPr>
                <w:rFonts w:ascii="Arial" w:cs="Arial" w:eastAsia="Arial" w:hAnsi="Arial"/>
                <w:color w:val="085041"/>
                <w:sz w:val="20"/>
                <w:szCs w:val="20"/>
              </w:rPr>
              <w:t xml:space="preserve">QuroVita MVP is SAHPRA Class A (Notify-Only SaMD). Maintained by: (1) OCR = classification/tagging only, (2) AI = WHO glossary definitions only, (3) QR = read-only document sharing with no diagnostic function. File SaMD notification before patient launch. Free. 5-day acknowledgement.</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1a1a18"/>
          <w:sz w:val="28"/>
          <w:szCs w:val="28"/>
        </w:rPr>
        <w:t xml:space="preserve">8.2 POPIA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Requirement</w:t>
            </w:r>
          </w:p>
        </w:tc>
        <w:tc>
          <w:tcPr>
            <w:tcW w:type="dxa" w:w="45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Implementation</w:t>
            </w:r>
          </w:p>
        </w:tc>
        <w:tc>
          <w:tcPr>
            <w:tcW w:type="dxa" w:w="24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Deadline</w:t>
            </w:r>
          </w:p>
        </w:tc>
      </w:tr>
      <w:tr>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Register Information Officer</w:t>
            </w:r>
          </w:p>
        </w:tc>
        <w:tc>
          <w:tcPr>
            <w:tcW w:type="dxa" w:w="4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Email inforeg@justice.gov.za — free, 1 email, same-day</w:t>
            </w:r>
          </w:p>
        </w:tc>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This week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Publish Privacy Policy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Plain language; collected data, purpose, SA storage, deletion rights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Before first patient</w:t>
            </w:r>
          </w:p>
        </w:tc>
      </w:tr>
      <w:tr>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Explicit informed consent</w:t>
            </w:r>
          </w:p>
        </w:tc>
        <w:tc>
          <w:tcPr>
            <w:tcW w:type="dxa" w:w="4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ConsentScreen — POPIA Section 18 compliant, versioned, timestamped</w:t>
            </w:r>
          </w:p>
        </w:tc>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Before any data collection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Data residency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All data in AWS af-south-1 (Cape Town) — no cross-border transfer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Architecture enforced</w:t>
            </w:r>
          </w:p>
        </w:tc>
      </w:tr>
      <w:tr>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KYC Operator agreement</w:t>
            </w:r>
          </w:p>
        </w:tc>
        <w:tc>
          <w:tcPr>
            <w:tcW w:type="dxa" w:w="4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Written POPIA data processing agreement with KYC vendor — prohibit secondary use, mandate data destruction</w:t>
            </w:r>
          </w:p>
        </w:tc>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Before first KYC call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Biometric cache encryption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AES-256 on CHW tablets for any cached biometric data — breach = R10M fine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Before CHW deployment</w:t>
            </w:r>
          </w:p>
        </w:tc>
      </w:tr>
      <w:tr>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Append-only audit log</w:t>
            </w:r>
          </w:p>
        </w:tc>
        <w:tc>
          <w:tcPr>
            <w:tcW w:type="dxa" w:w="4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REVOKE UPDATE/DELETE on audit_log table at database level</w:t>
            </w:r>
          </w:p>
        </w:tc>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Architecture enforced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Breach notification</w:t>
            </w:r>
          </w:p>
        </w:tc>
        <w:tc>
          <w:tcPr>
            <w:tcW w:type="dxa" w:w="4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Notify Information Regulator within 72 hours — Sentry + Datadog PII breach alerts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Before launch</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1a1a18"/>
          <w:sz w:val="28"/>
          <w:szCs w:val="28"/>
        </w:rPr>
        <w:t xml:space="preserve">8.3 HPCSA Booklet 20 AI Compliance (Correction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A7517" w:sz="16"/>
              <w:bottom w:val="none" w:color="ffffff" w:sz="0"/>
              <w:right w:val="none" w:color="ffffff" w:sz="0"/>
            </w:tcBorders>
            <w:shd w:fill="FAEEDA" w:val="clear"/>
            <w:tcMar>
              <w:top w:type="dxa" w:w="120"/>
              <w:left w:type="dxa" w:w="200"/>
              <w:bottom w:type="dxa" w:w="120"/>
              <w:right w:type="dxa" w:w="120"/>
            </w:tcMar>
          </w:tcPr>
          <w:p>
            <w:r>
              <w:rPr>
                <w:rFonts w:ascii="Arial" w:cs="Arial" w:eastAsia="Arial" w:hAnsi="Arial"/>
                <w:color w:val="633806"/>
                <w:sz w:val="20"/>
                <w:szCs w:val="20"/>
              </w:rPr>
              <w:t xml:space="preserve">HPCSA Booklet 20 requires AI to NEVER supplant practitioner judgment. The human practitioner is always legally accountable. The AI system prompt is hard-coded. Do NOT modify without written sign-off from a SA health law attorney.</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AI function</w:t>
            </w:r>
          </w:p>
        </w:tc>
        <w:tc>
          <w:tcPr>
            <w:tcW w:type="dxa" w:w="14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HPCSA status</w:t>
            </w:r>
          </w:p>
        </w:tc>
        <w:tc>
          <w:tcPr>
            <w:tcW w:type="dxa" w:w="53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Implementation</w:t>
            </w:r>
          </w:p>
        </w:tc>
      </w:tr>
      <w:tr>
        <w:tc>
          <w:tcPr>
            <w:tcW w:type="dxa" w:w="2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Define medical terms using WHO standard definitions</w:t>
            </w:r>
          </w:p>
        </w:tc>
        <w:tc>
          <w:tcPr>
            <w:tcW w:type="dxa" w:w="1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PERMITTED</w:t>
            </w:r>
          </w:p>
        </w:tc>
        <w:tc>
          <w:tcPr>
            <w:tcW w:type="dxa" w:w="5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Hard-coded in system prompt. References static WHO definitions only.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Explain what a test type generally measures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PERMITTED</w:t>
            </w:r>
          </w:p>
        </w:tc>
        <w:tc>
          <w:tcPr>
            <w:tcW w:type="dxa" w:w="5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General physiology education — not patient-specific interpretation.</w:t>
            </w:r>
          </w:p>
        </w:tc>
      </w:tr>
      <w:tr>
        <w:tc>
          <w:tcPr>
            <w:tcW w:type="dxa" w:w="2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Suggest questions to ask healthcare provider</w:t>
            </w:r>
          </w:p>
        </w:tc>
        <w:tc>
          <w:tcPr>
            <w:tcW w:type="dxa" w:w="1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PERMITTED</w:t>
            </w:r>
          </w:p>
        </w:tc>
        <w:tc>
          <w:tcPr>
            <w:tcW w:type="dxa" w:w="5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Patient advocacy — does not constitute clinical advice.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Interpret specific patient test values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PROHIBITED</w:t>
            </w:r>
          </w:p>
        </w:tc>
        <w:tc>
          <w:tcPr>
            <w:tcW w:type="dxa" w:w="5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System prompt explicitly prohibits. Automated compliance check flags violations.</w:t>
            </w:r>
          </w:p>
        </w:tc>
      </w:tr>
      <w:tr>
        <w:tc>
          <w:tcPr>
            <w:tcW w:type="dxa" w:w="2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Analyse uploaded patient documents</w:t>
            </w:r>
          </w:p>
        </w:tc>
        <w:tc>
          <w:tcPr>
            <w:tcW w:type="dxa" w:w="1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PROHIBITED</w:t>
            </w:r>
          </w:p>
        </w:tc>
        <w:tc>
          <w:tcPr>
            <w:tcW w:type="dxa" w:w="5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Mode prompts avoid clinical document analysis. System prompt prohibits.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Suggest diagnoses or treatment changes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PROHIBITED</w:t>
            </w:r>
          </w:p>
        </w:tc>
        <w:tc>
          <w:tcPr>
            <w:tcW w:type="dxa" w:w="5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Hard-coded prohibition. Violation triggers audit flag + manual review queue.</w:t>
            </w:r>
          </w:p>
        </w:tc>
      </w:tr>
    </w:tbl>
    <w:p>
      <w:r>
        <w:br w:type="page"/>
      </w:r>
    </w:p>
    <w:p>
      <w:pPr>
        <w:pStyle w:val="Heading1"/>
        <w:pBdr>
          <w:bottom w:val="single" w:color="0F6E56" w:sz="8" w:space="6"/>
        </w:pBdr>
        <w:spacing w:after="180" w:before="360"/>
      </w:pPr>
      <w:r>
        <w:rPr>
          <w:rFonts w:ascii="Arial" w:cs="Arial" w:eastAsia="Arial" w:hAnsi="Arial"/>
          <w:b/>
          <w:bCs/>
          <w:color w:val="0F6E56"/>
          <w:sz w:val="36"/>
          <w:szCs w:val="36"/>
        </w:rPr>
        <w:t xml:space="preserve">9. WhatsApp Bot — Twilio (Phase 1, Day 1)</w:t>
      </w:r>
    </w:p>
    <w:p>
      <w:pPr>
        <w:spacing w:after="80" w:before="60"/>
      </w:pPr>
      <w:r>
        <w:rPr>
          <w:rFonts w:ascii="Arial" w:cs="Arial" w:eastAsia="Arial" w:hAnsi="Arial"/>
          <w:color w:val="444444"/>
          <w:sz w:val="22"/>
          <w:szCs w:val="22"/>
        </w:rPr>
        <w:t xml:space="preserve">The WhatsApp bot extends QuroVita to patients without smartphone data plans. All AI responses use the same HPCSA Booklet 20 compliant system prompt as the mobile app. The bot uses a Redis state machine for multi-turn conversations.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60"/>
        <w:gridCol w:w="5200"/>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Feature</w:t>
            </w:r>
          </w:p>
        </w:tc>
        <w:tc>
          <w:tcPr>
            <w:tcW w:type="dxa" w:w="13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Compliance note</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Medical term explainer (EN/isiZulu/Sesotho)</w:t>
            </w:r>
          </w:p>
        </w:tc>
        <w:tc>
          <w:tcPr>
            <w:tcW w:type="dxa" w:w="1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Phase 1</w:t>
            </w:r>
          </w:p>
        </w:tc>
        <w:tc>
          <w:tcPr>
            <w:tcW w:type="dxa" w:w="5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WHO definitions only — HPCSA compliant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Document text — explains test types present</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Phase 1</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Never interprets specific patient values</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Doctor question generator</w:t>
            </w:r>
          </w:p>
        </w:tc>
        <w:tc>
          <w:tcPr>
            <w:tcW w:type="dxa" w:w="1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Phase 1</w:t>
            </w:r>
          </w:p>
        </w:tc>
        <w:tc>
          <w:tcPr>
            <w:tcW w:type="dxa" w:w="5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Patient advocacy — no clinical content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Record status check (linked accounts)</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Phase 1</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Requires QuroVita app account linked to phone number</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Medication reminder push</w:t>
            </w:r>
          </w:p>
        </w:tc>
        <w:tc>
          <w:tcPr>
            <w:tcW w:type="dxa" w:w="1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Phase 1</w:t>
            </w:r>
          </w:p>
        </w:tc>
        <w:tc>
          <w:tcPr>
            <w:tcW w:type="dxa" w:w="5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BullMQ scheduler → Twilio REST → patient WhatsApp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Language switching mid-session</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Phase 1</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EN/isiZulu/Sesotho; state persists in Redis (30-min TTL)</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Appointment reminders</w:t>
            </w:r>
          </w:p>
        </w:tc>
        <w:tc>
          <w:tcPr>
            <w:tcW w:type="dxa" w:w="1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Phase 2</w:t>
            </w:r>
          </w:p>
        </w:tc>
        <w:tc>
          <w:tcPr>
            <w:tcW w:type="dxa" w:w="5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Requires clinic scheduling integration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Lab result push notifications</w:t>
            </w:r>
          </w:p>
        </w:tc>
        <w:tc>
          <w:tcPr>
            <w:tcW w:type="dxa" w:w="1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Phase 2</w:t>
            </w:r>
          </w:p>
        </w:tc>
        <w:tc>
          <w:tcPr>
            <w:tcW w:type="dxa" w:w="5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Requires NHLS/lab direct pull integration</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CHW triage workflows</w:t>
            </w:r>
          </w:p>
        </w:tc>
        <w:tc>
          <w:tcPr>
            <w:tcW w:type="dxa" w:w="1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Phase 3</w:t>
            </w:r>
          </w:p>
        </w:tc>
        <w:tc>
          <w:tcPr>
            <w:tcW w:type="dxa" w:w="5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Requires clinical governance framework + IRB clearance</w:t>
            </w:r>
          </w:p>
        </w:tc>
      </w:tr>
    </w:tbl>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1a1a18"/>
          <w:sz w:val="28"/>
          <w:szCs w:val="28"/>
        </w:rPr>
        <w:t xml:space="preserve">9.2 Twilio Setup (30 minutes)</w:t>
      </w:r>
    </w:p>
    <w:p>
      <w:pPr>
        <w:pStyle w:val="ListParagraph"/>
        <w:numPr>
          <w:ilvl w:val="0"/>
          <w:numId w:val="2"/>
        </w:numPr>
        <w:spacing w:after="40" w:before="40"/>
      </w:pPr>
      <w:r>
        <w:rPr>
          <w:rFonts w:ascii="Arial" w:cs="Arial" w:eastAsia="Arial" w:hAnsi="Arial"/>
          <w:color w:val="333333"/>
          <w:sz w:val="22"/>
          <w:szCs w:val="22"/>
        </w:rPr>
        <w:t xml:space="preserve">Create Twilio account — enable WhatsApp Business API</w:t>
      </w:r>
    </w:p>
    <w:p>
      <w:pPr>
        <w:pStyle w:val="ListParagraph"/>
        <w:numPr>
          <w:ilvl w:val="0"/>
          <w:numId w:val="2"/>
        </w:numPr>
        <w:spacing w:after="40" w:before="40"/>
      </w:pPr>
      <w:r>
        <w:rPr>
          <w:rFonts w:ascii="Arial" w:cs="Arial" w:eastAsia="Arial" w:hAnsi="Arial"/>
          <w:color w:val="333333"/>
          <w:sz w:val="22"/>
          <w:szCs w:val="22"/>
        </w:rPr>
        <w:t xml:space="preserve">Register SA WhatsApp number (+27) — Twilio provides or use existing</w:t>
      </w:r>
    </w:p>
    <w:p>
      <w:pPr>
        <w:pStyle w:val="ListParagraph"/>
        <w:numPr>
          <w:ilvl w:val="0"/>
          <w:numId w:val="2"/>
        </w:numPr>
        <w:spacing w:after="40" w:before="40"/>
      </w:pPr>
      <w:r>
        <w:rPr>
          <w:rFonts w:ascii="Arial" w:cs="Arial" w:eastAsia="Arial" w:hAnsi="Arial"/>
          <w:color w:val="333333"/>
          <w:sz w:val="22"/>
          <w:szCs w:val="22"/>
        </w:rPr>
        <w:t xml:space="preserve">Set webhook: POST https://api.qurovita.co.za/api/v1/whatsapp/webhook</w:t>
      </w:r>
    </w:p>
    <w:p>
      <w:pPr>
        <w:pStyle w:val="ListParagraph"/>
        <w:numPr>
          <w:ilvl w:val="0"/>
          <w:numId w:val="2"/>
        </w:numPr>
        <w:spacing w:after="40" w:before="40"/>
      </w:pPr>
      <w:r>
        <w:rPr>
          <w:rFonts w:ascii="Arial" w:cs="Arial" w:eastAsia="Arial" w:hAnsi="Arial"/>
          <w:color w:val="333333"/>
          <w:sz w:val="22"/>
          <w:szCs w:val="22"/>
        </w:rPr>
        <w:t xml:space="preserve">Add TWILIO_ACCOUNT_SID, TWILIO_AUTH_TOKEN, TWILIO_WHATSAPP_NUMBER to backend .env</w:t>
      </w:r>
    </w:p>
    <w:p>
      <w:pPr>
        <w:pStyle w:val="ListParagraph"/>
        <w:numPr>
          <w:ilvl w:val="0"/>
          <w:numId w:val="2"/>
        </w:numPr>
        <w:spacing w:after="40" w:before="40"/>
      </w:pPr>
      <w:r>
        <w:rPr>
          <w:rFonts w:ascii="Arial" w:cs="Arial" w:eastAsia="Arial" w:hAnsi="Arial"/>
          <w:color w:val="333333"/>
          <w:sz w:val="22"/>
          <w:szCs w:val="22"/>
        </w:rPr>
        <w:t xml:space="preserve">Add ANTHROPIC_API_KEY to backend .env — AI calls are server-side only, never in the bot client</w:t>
      </w:r>
    </w:p>
    <w:p>
      <w:pPr>
        <w:pStyle w:val="ListParagraph"/>
        <w:numPr>
          <w:ilvl w:val="0"/>
          <w:numId w:val="2"/>
        </w:numPr>
        <w:spacing w:after="40" w:before="40"/>
      </w:pPr>
      <w:r>
        <w:rPr>
          <w:rFonts w:ascii="Arial" w:cs="Arial" w:eastAsia="Arial" w:hAnsi="Arial"/>
          <w:color w:val="333333"/>
          <w:sz w:val="22"/>
          <w:szCs w:val="22"/>
        </w:rPr>
        <w:t xml:space="preserve">Test with Twilio WhatsApp Sandbox before requesting production number</w:t>
      </w:r>
    </w:p>
    <w:p>
      <w:r>
        <w:br w:type="page"/>
      </w:r>
    </w:p>
    <w:p>
      <w:pPr>
        <w:pStyle w:val="Heading1"/>
        <w:pBdr>
          <w:bottom w:val="single" w:color="0F6E56" w:sz="8" w:space="6"/>
        </w:pBdr>
        <w:spacing w:after="180" w:before="360"/>
      </w:pPr>
      <w:r>
        <w:rPr>
          <w:rFonts w:ascii="Arial" w:cs="Arial" w:eastAsia="Arial" w:hAnsi="Arial"/>
          <w:b/>
          <w:bCs/>
          <w:color w:val="0F6E56"/>
          <w:sz w:val="36"/>
          <w:szCs w:val="36"/>
        </w:rPr>
        <w:t xml:space="preserve">10. Build Team and RFP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260"/>
        <w:gridCol w:w="2400"/>
      </w:tblGrid>
      <w:tr>
        <w:tc>
          <w:tcPr>
            <w:tcW w:type="dxa" w:w="18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Role</w:t>
            </w:r>
          </w:p>
        </w:tc>
        <w:tc>
          <w:tcPr>
            <w:tcW w:type="dxa" w:w="9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Priority</w:t>
            </w:r>
          </w:p>
        </w:tc>
        <w:tc>
          <w:tcPr>
            <w:tcW w:type="dxa" w:w="42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Profile + source</w:t>
            </w:r>
          </w:p>
        </w:tc>
        <w:tc>
          <w:tcPr>
            <w:tcW w:type="dxa" w:w="24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Budget</w:t>
            </w:r>
          </w:p>
        </w:tc>
      </w:tr>
      <w:tr>
        <w:tc>
          <w:tcPr>
            <w:tcW w:type="dxa" w:w="1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FHIR Full-Stack Dev</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Day 1</w:t>
            </w:r>
          </w:p>
        </w:tc>
        <w:tc>
          <w:tcPr>
            <w:tcW w:type="dxa" w:w="42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HL7 FHIR R4 + React Native + Node.js + BLE/Wi-Fi Direct P2P. SA-based. Stellenbosch CS alumni; LinkedIn "FHIR South Africa"; Offerzen; Upwork SA</w:t>
            </w:r>
          </w:p>
        </w:tc>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R1,200-1,800/hr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PHC Nurse / Clinical Advisor</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Week 1</w:t>
            </w:r>
          </w:p>
        </w:tc>
        <w:tc>
          <w:tcPr>
            <w:tcW w:type="dxa" w:w="4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PHC or CHW with HIV/TB/NCD caseload. Understands clinic workflow. Via Stellenbosch HSRI; Right to Care; Anova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R150-300/hr part-time</w:t>
            </w:r>
          </w:p>
        </w:tc>
      </w:tr>
      <w:tr>
        <w:tc>
          <w:tcPr>
            <w:tcW w:type="dxa" w:w="1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POPIA + Health Law Attorney</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Week 1</w:t>
            </w:r>
          </w:p>
        </w:tc>
        <w:tc>
          <w:tcPr>
            <w:tcW w:type="dxa" w:w="42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SAHPRA SaMD experience + POPIA Section 26 health data. Must review KYC Operator agreements. Bowmans; Norton Rose Fulbright SA</w:t>
            </w:r>
          </w:p>
        </w:tc>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R3,000-5,000 initial review</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WhatsApp Bot Dev</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Week 2</w:t>
            </w:r>
          </w:p>
        </w:tc>
        <w:tc>
          <w:tcPr>
            <w:tcW w:type="dxa" w:w="4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Twilio API + Node.js + multilingual NLP. isiZulu/Sesotho speaker advantage. Upwork SA; WeThinkCode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R600-1,000/hr</w:t>
            </w:r>
          </w:p>
        </w:tc>
      </w:tr>
      <w:tr>
        <w:tc>
          <w:tcPr>
            <w:tcW w:type="dxa" w:w="1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CHW Onboarding Partners (2-3)</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Pilot</w:t>
            </w:r>
          </w:p>
        </w:tc>
        <w:tc>
          <w:tcPr>
            <w:tcW w:type="dxa" w:w="42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Community health workers for patient onboarding. Via NGO partners.</w:t>
            </w:r>
          </w:p>
        </w:tc>
        <w:tc>
          <w:tcPr>
            <w:tcW w:type="dxa" w:w="24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Funded via NGO program budget</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760"/>
        <w:gridCol w:w="2000"/>
      </w:tblGrid>
      <w:tr>
        <w:tc>
          <w:tcPr>
            <w:tcW w:type="dxa" w:w="16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Firm</w:t>
            </w:r>
          </w:p>
        </w:tc>
        <w:tc>
          <w:tcPr>
            <w:tcW w:type="dxa" w:w="12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City</w:t>
            </w:r>
          </w:p>
        </w:tc>
        <w:tc>
          <w:tcPr>
            <w:tcW w:type="dxa" w:w="47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Why QuroVita</w:t>
            </w:r>
          </w:p>
        </w:tc>
        <w:tc>
          <w:tcPr>
            <w:tcW w:type="dxa" w:w="20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Rate</w:t>
            </w:r>
          </w:p>
        </w:tc>
      </w:tr>
      <w:tr>
        <w:tc>
          <w:tcPr>
            <w:tcW w:type="dxa" w:w="1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Specno</w:t>
            </w:r>
          </w:p>
        </w:tc>
        <w:tc>
          <w:tcPr>
            <w:tcW w:type="dxa" w:w="1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Cape Town</w:t>
            </w:r>
          </w:p>
        </w:tc>
        <w:tc>
          <w:tcPr>
            <w:tcW w:type="dxa" w:w="47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Multiple SA health apps; FHIR-certified team; WCG relationships; understand clinic workflow</w:t>
            </w:r>
          </w:p>
        </w:tc>
        <w:tc>
          <w:tcPr>
            <w:tcW w:type="dxa" w:w="2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R1,200-1,800/hr</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Altron HealthTech</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Johannesburg</w:t>
            </w:r>
          </w:p>
        </w:tc>
        <w:tc>
          <w:tcPr>
            <w:tcW w:type="dxa" w:w="4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NHI pilot experience; HAPI FHIR deployment; government relationships; CareConnect pathway advice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R1,500-2,500/hr</w:t>
            </w:r>
          </w:p>
        </w:tc>
      </w:tr>
      <w:tr>
        <w:tc>
          <w:tcPr>
            <w:tcW w:type="dxa" w:w="16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Genoa Technology</w:t>
            </w:r>
          </w:p>
        </w:tc>
        <w:tc>
          <w:tcPr>
            <w:tcW w:type="dxa" w:w="1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Cape Town</w:t>
            </w:r>
          </w:p>
        </w:tc>
        <w:tc>
          <w:tcPr>
            <w:tcW w:type="dxa" w:w="47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SAHPRA SaMD notification experience; POPIA governance audits; essential for compliance sign-off</w:t>
            </w:r>
          </w:p>
        </w:tc>
        <w:tc>
          <w:tcPr>
            <w:tcW w:type="dxa" w:w="2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R2,000-3,500/hr</w:t>
            </w:r>
          </w:p>
        </w:tc>
      </w:tr>
    </w:tbl>
    <w:p>
      <w:r>
        <w:br w:type="page"/>
      </w:r>
    </w:p>
    <w:p>
      <w:pPr>
        <w:pStyle w:val="Heading1"/>
        <w:pBdr>
          <w:bottom w:val="single" w:color="0F6E56" w:sz="8" w:space="6"/>
        </w:pBdr>
        <w:spacing w:after="180" w:before="360"/>
      </w:pPr>
      <w:r>
        <w:rPr>
          <w:rFonts w:ascii="Arial" w:cs="Arial" w:eastAsia="Arial" w:hAnsi="Arial"/>
          <w:b/>
          <w:bCs/>
          <w:color w:val="0F6E56"/>
          <w:sz w:val="36"/>
          <w:szCs w:val="36"/>
        </w:rPr>
        <w:t xml:space="preserve">11. Funding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9E75" w:sz="16"/>
              <w:bottom w:val="none" w:color="ffffff" w:sz="0"/>
              <w:right w:val="none" w:color="ffffff" w:sz="0"/>
            </w:tcBorders>
            <w:shd w:fill="E1F5EE" w:val="clear"/>
            <w:tcMar>
              <w:top w:type="dxa" w:w="120"/>
              <w:left w:type="dxa" w:w="200"/>
              <w:bottom w:type="dxa" w:w="120"/>
              <w:right w:type="dxa" w:w="120"/>
            </w:tcMar>
          </w:tcPr>
          <w:p>
            <w:r>
              <w:rPr>
                <w:rFonts w:ascii="Arial" w:cs="Arial" w:eastAsia="Arial" w:hAnsi="Arial"/>
                <w:color w:val="085041"/>
                <w:sz w:val="20"/>
                <w:szCs w:val="20"/>
              </w:rPr>
              <w:t xml:space="preserve">Non-dilutive first. No venture capital until post-pilot with outcome data. Grants and NGO program licences fund MVP. This preserves founder equity and aligns with WHO Digital Public Good positioning that unlocks the largest grant pools.</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760"/>
        <w:gridCol w:w="4040"/>
      </w:tblGrid>
      <w:tr>
        <w:tc>
          <w:tcPr>
            <w:tcW w:type="dxa" w:w="20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Funder</w:t>
            </w:r>
          </w:p>
        </w:tc>
        <w:tc>
          <w:tcPr>
            <w:tcW w:type="dxa" w:w="15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Amount</w:t>
            </w:r>
          </w:p>
        </w:tc>
        <w:tc>
          <w:tcPr>
            <w:tcW w:type="dxa" w:w="17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Type</w:t>
            </w:r>
          </w:p>
        </w:tc>
        <w:tc>
          <w:tcPr>
            <w:tcW w:type="dxa" w:w="404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Action</w:t>
            </w:r>
          </w:p>
        </w:tc>
      </w:tr>
      <w:tr>
        <w:tc>
          <w:tcPr>
            <w:tcW w:type="dxa" w:w="2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NRF Flagship Programme</w:t>
            </w:r>
          </w:p>
        </w:tc>
        <w:tc>
          <w:tcPr>
            <w:tcW w:type="dxa" w:w="1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R500k-2M</w:t>
            </w:r>
          </w:p>
        </w:tc>
        <w:tc>
          <w:tcPr>
            <w:tcW w:type="dxa" w:w="17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Non-dilutive grant</w:t>
            </w:r>
          </w:p>
        </w:tc>
        <w:tc>
          <w:tcPr>
            <w:tcW w:type="dxa" w:w="404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APPLY THIS WEEK. Covers KYC budget shortfall. Frame as NHI health identity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DSTI Healthtech Challenge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R500k-1M</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Grant + incubation</w:t>
            </w:r>
          </w:p>
        </w:tc>
        <w:tc>
          <w:tcPr>
            <w:tcW w:type="dxa" w:w="40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APPLY THIS WEEK. Rolling applications. Fastest SA government grant. Direct fit.</w:t>
            </w:r>
          </w:p>
        </w:tc>
      </w:tr>
      <w:tr>
        <w:tc>
          <w:tcPr>
            <w:tcW w:type="dxa" w:w="2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PEPFAR/USAID OHA SA</w:t>
            </w:r>
          </w:p>
        </w:tc>
        <w:tc>
          <w:tcPr>
            <w:tcW w:type="dxa" w:w="1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R1M-5M/yr</w:t>
            </w:r>
          </w:p>
        </w:tc>
        <w:tc>
          <w:tcPr>
            <w:tcW w:type="dxa" w:w="17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Annual grant (NOFO)</w:t>
            </w:r>
          </w:p>
        </w:tc>
        <w:tc>
          <w:tcPr>
            <w:tcW w:type="dxa" w:w="404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Apply now via SA PEPFAR IPs (Right to Care, TB HIV Care). HIV/TB continuity = exact mandate.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IDC Healthtech Fund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R2M-20M</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Quasi-equity (post-MVP)</w:t>
            </w:r>
          </w:p>
        </w:tc>
        <w:tc>
          <w:tcPr>
            <w:tcW w:type="dxa" w:w="40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Apply Q2 2027 after pilot data. Patient terms. IDC actively seeks NHI-aligned healthtech.</w:t>
            </w:r>
          </w:p>
        </w:tc>
      </w:tr>
      <w:tr>
        <w:tc>
          <w:tcPr>
            <w:tcW w:type="dxa" w:w="20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Gates Foundation</w:t>
            </w:r>
          </w:p>
        </w:tc>
        <w:tc>
          <w:tcPr>
            <w:tcW w:type="dxa" w:w="15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R1M-5M</w:t>
            </w:r>
          </w:p>
        </w:tc>
        <w:tc>
          <w:tcPr>
            <w:tcW w:type="dxa" w:w="17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Grant (twice-yearly)</w:t>
            </w:r>
          </w:p>
        </w:tc>
        <w:tc>
          <w:tcPr>
            <w:tcW w:type="dxa" w:w="404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Patient-sovereign LMIC records is core Gates focus. Apply after WHO DPG Registry listing.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EU Digital Health Initiative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R2M-10M</w:t>
            </w:r>
          </w:p>
        </w:tc>
        <w:tc>
          <w:tcPr>
            <w:tcW w:type="dxa" w:w="1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Competitive grant</w:t>
            </w:r>
          </w:p>
        </w:tc>
        <w:tc>
          <w:tcPr>
            <w:tcW w:type="dxa" w:w="40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Consortium with Stellenbosch/UCT. Best as Phase 2 application with pilot outcome data.</w:t>
            </w:r>
          </w:p>
        </w:tc>
      </w:tr>
    </w:tbl>
    <w:p>
      <w:r>
        <w:br w:type="page"/>
      </w:r>
    </w:p>
    <w:p>
      <w:pPr>
        <w:pStyle w:val="Heading1"/>
        <w:pBdr>
          <w:bottom w:val="single" w:color="0F6E56" w:sz="8" w:space="6"/>
        </w:pBdr>
        <w:spacing w:after="180" w:before="360"/>
      </w:pPr>
      <w:r>
        <w:rPr>
          <w:rFonts w:ascii="Arial" w:cs="Arial" w:eastAsia="Arial" w:hAnsi="Arial"/>
          <w:b/>
          <w:bCs/>
          <w:color w:val="0F6E56"/>
          <w:sz w:val="36"/>
          <w:szCs w:val="36"/>
        </w:rPr>
        <w:t xml:space="preserve">12. KPIs and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80"/>
        <w:gridCol w:w="4480"/>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KPI</w:t>
            </w:r>
          </w:p>
        </w:tc>
        <w:tc>
          <w:tcPr>
            <w:tcW w:type="dxa" w:w="208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Q4 2026 Target</w:t>
            </w:r>
          </w:p>
        </w:tc>
        <w:tc>
          <w:tcPr>
            <w:tcW w:type="dxa" w:w="448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Measurement</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Active patients (MAU)</w:t>
            </w:r>
          </w:p>
        </w:tc>
        <w:tc>
          <w:tcPr>
            <w:tcW w:type="dxa" w:w="20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5,000</w:t>
            </w:r>
          </w:p>
        </w:tc>
        <w:tc>
          <w:tcPr>
            <w:tcW w:type="dxa" w:w="44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Supabase monthly active users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PHC clinics live</w:t>
            </w:r>
          </w:p>
        </w:tc>
        <w:tc>
          <w:tcPr>
            <w:tcW w:type="dxa" w:w="2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10</w:t>
            </w:r>
          </w:p>
        </w:tc>
        <w:tc>
          <w:tcPr>
            <w:tcW w:type="dxa" w:w="4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Clinics with active QR sessions/week</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FHIR sync success rate</w:t>
            </w:r>
          </w:p>
        </w:tc>
        <w:tc>
          <w:tcPr>
            <w:tcW w:type="dxa" w:w="20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95%+</w:t>
            </w:r>
          </w:p>
        </w:tc>
        <w:tc>
          <w:tcPr>
            <w:tcW w:type="dxa" w:w="44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BullMQ job success / total attempts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OCR classification accuracy</w:t>
            </w:r>
          </w:p>
        </w:tc>
        <w:tc>
          <w:tcPr>
            <w:tcW w:type="dxa" w:w="2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90%+ (document type only)</w:t>
            </w:r>
          </w:p>
        </w:tc>
        <w:tc>
          <w:tcPr>
            <w:tcW w:type="dxa" w:w="4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Manual audit 200 docs/month vs expected type</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OOB P2P transfer success</w:t>
            </w:r>
          </w:p>
        </w:tc>
        <w:tc>
          <w:tcPr>
            <w:tcW w:type="dxa" w:w="20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95%+</w:t>
            </w:r>
          </w:p>
        </w:tc>
        <w:tc>
          <w:tcPr>
            <w:tcW w:type="dxa" w:w="44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BLE/Wi-Fi Direct handshake success logs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WhatsApp bot MAU</w:t>
            </w:r>
          </w:p>
        </w:tc>
        <w:tc>
          <w:tcPr>
            <w:tcW w:type="dxa" w:w="2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500+</w:t>
            </w:r>
          </w:p>
        </w:tc>
        <w:tc>
          <w:tcPr>
            <w:tcW w:type="dxa" w:w="4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Twilio unique senders/month</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Patient churn rate</w:t>
            </w:r>
          </w:p>
        </w:tc>
        <w:tc>
          <w:tcPr>
            <w:tcW w:type="dxa" w:w="20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&lt;10%/month</w:t>
            </w:r>
          </w:p>
        </w:tc>
        <w:tc>
          <w:tcPr>
            <w:tcW w:type="dxa" w:w="44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MAU / prior month MAU</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Provider session NPS</w:t>
            </w:r>
          </w:p>
        </w:tc>
        <w:tc>
          <w:tcPr>
            <w:tcW w:type="dxa" w:w="2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&gt;80</w:t>
            </w:r>
          </w:p>
        </w:tc>
        <w:tc>
          <w:tcPr>
            <w:tcW w:type="dxa" w:w="4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Post-session SMS survey via Twilio</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AI compliance check pass</w:t>
            </w:r>
          </w:p>
        </w:tc>
        <w:tc>
          <w:tcPr>
            <w:tcW w:type="dxa" w:w="20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100%</w:t>
            </w:r>
          </w:p>
        </w:tc>
        <w:tc>
          <w:tcPr>
            <w:tcW w:type="dxa" w:w="44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Automated HPCSA Booklet 20 monitor (zero violations)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System uptime</w:t>
            </w:r>
          </w:p>
        </w:tc>
        <w:tc>
          <w:tcPr>
            <w:tcW w:type="dxa" w:w="2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99%+</w:t>
            </w:r>
          </w:p>
        </w:tc>
        <w:tc>
          <w:tcPr>
            <w:tcW w:type="dxa" w:w="4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Datadog uptime monitor af-south-1</w:t>
            </w:r>
          </w:p>
        </w:tc>
      </w:tr>
      <w:tr>
        <w:tc>
          <w:tcPr>
            <w:tcW w:type="dxa" w:w="2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ARR run-rate</w:t>
            </w:r>
          </w:p>
        </w:tc>
        <w:tc>
          <w:tcPr>
            <w:tcW w:type="dxa" w:w="20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R810k (incl. grants)</w:t>
            </w:r>
          </w:p>
        </w:tc>
        <w:tc>
          <w:tcPr>
            <w:tcW w:type="dxa" w:w="448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Monthly recurring + grant income × 12</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4360"/>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Risk</w:t>
            </w:r>
          </w:p>
        </w:tc>
        <w:tc>
          <w:tcPr>
            <w:tcW w:type="dxa" w:w="9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Likelihood</w:t>
            </w:r>
          </w:p>
        </w:tc>
        <w:tc>
          <w:tcPr>
            <w:tcW w:type="dxa" w:w="9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Impact</w:t>
            </w:r>
          </w:p>
        </w:tc>
        <w:tc>
          <w:tcPr>
            <w:tcW w:type="dxa" w:w="43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Mitigation</w:t>
            </w:r>
          </w:p>
        </w:tc>
      </w:tr>
      <w:tr>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WCG locks out WC PHC before pilot MOU signed</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High</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Existential</w:t>
            </w:r>
          </w:p>
        </w:tc>
        <w:tc>
          <w:tcPr>
            <w:tcW w:type="dxa" w:w="4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Sign MOU with TB HIV Care or Anova within 60 days. Position as complement to WCG app, not competitor.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DHA KYC fees rise further or batch option removed</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High — budget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Negotiate volume discount with Smile ID/Contactable. CHW batch KYC as primary path (R1/user).</w:t>
            </w:r>
          </w:p>
        </w:tc>
      </w:tr>
      <w:tr>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BLE/Wi-Fi Direct unreliable on older Android devices</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High</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High — core feature broken</w:t>
            </w:r>
          </w:p>
        </w:tc>
        <w:tc>
          <w:tcPr>
            <w:tcW w:type="dxa" w:w="4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Test on Android 8.0+. Implement online fallback (server-delivered encrypted bundle) for connected clinics.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SAHPRA reclassifies OCR or AI as Class B</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Low-Medium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High — launch delay</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Get written SAHPRA Class A opinion before launch. OCR classification-only + WHO-definitions AI = safe.</w:t>
            </w:r>
          </w:p>
        </w:tc>
      </w:tr>
      <w:tr>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Helium Health enters SA with patient-sovereign product</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Medium (12-18mo)</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High</w:t>
            </w:r>
          </w:p>
        </w:tc>
        <w:tc>
          <w:tcPr>
            <w:tcW w:type="dxa" w:w="4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Build FHIR interoperability with Helium. Become the patient layer on top of any EMR including theirs.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PEPFAR SA funding cut (US policy shift)</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Diversify: Gates, EU, NRF. Never &gt;40% from single funder.</w:t>
            </w:r>
          </w:p>
        </w:tc>
      </w:tr>
      <w:tr>
        <w:tc>
          <w:tcPr>
            <w:tcW w:type="dxa" w:w="22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OCR hallucination causes patient harm via incorrect data</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Medium</w:t>
            </w:r>
          </w:p>
        </w:tc>
        <w:tc>
          <w:tcPr>
            <w:tcW w:type="dxa" w:w="9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Existential</w:t>
            </w:r>
          </w:p>
        </w:tc>
        <w:tc>
          <w:tcPr>
            <w:tcW w:type="dxa" w:w="43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OCR classification only. Clinician ALWAYS views original image. No clinical values extracted. Class A maintained.</w:t>
            </w:r>
          </w:p>
        </w:tc>
      </w:tr>
    </w:tbl>
    <w:p>
      <w:r>
        <w:br w:type="page"/>
      </w:r>
    </w:p>
    <w:p>
      <w:pPr>
        <w:pStyle w:val="Heading1"/>
        <w:pBdr>
          <w:bottom w:val="single" w:color="0F6E56" w:sz="8" w:space="6"/>
        </w:pBdr>
        <w:spacing w:after="180" w:before="360"/>
      </w:pPr>
      <w:r>
        <w:rPr>
          <w:rFonts w:ascii="Arial" w:cs="Arial" w:eastAsia="Arial" w:hAnsi="Arial"/>
          <w:b/>
          <w:bCs/>
          <w:color w:val="0F6E56"/>
          <w:sz w:val="36"/>
          <w:szCs w:val="36"/>
        </w:rPr>
        <w:t xml:space="preserve">13. Essential Reading List — 15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60"/>
        <w:gridCol w:w="5800"/>
      </w:tblGrid>
      <w:tr>
        <w:tc>
          <w:tcPr>
            <w:tcW w:type="dxa" w:w="3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w:t>
            </w:r>
          </w:p>
        </w:tc>
        <w:tc>
          <w:tcPr>
            <w:tcW w:type="dxa" w:w="326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Title and source</w:t>
            </w:r>
          </w:p>
        </w:tc>
        <w:tc>
          <w:tcPr>
            <w:tcW w:type="dxa" w:w="5800"/>
            <w:tcBorders>
              <w:top w:val="single" w:color="cccccc" w:sz="1"/>
              <w:left w:val="single" w:color="cccccc" w:sz="1"/>
              <w:bottom w:val="single" w:color="cccccc" w:sz="1"/>
              <w:right w:val="single" w:color="cccccc" w:sz="1"/>
            </w:tcBorders>
            <w:shd w:fill="0F6E56" w:val="clear"/>
            <w:tcMar>
              <w:top w:type="dxa" w:w="80"/>
              <w:left w:type="dxa" w:w="100"/>
              <w:bottom w:type="dxa" w:w="80"/>
              <w:right w:type="dxa" w:w="60"/>
            </w:tcMar>
          </w:tcPr>
          <w:p>
            <w:r>
              <w:rPr>
                <w:rFonts w:ascii="Arial" w:cs="Arial" w:eastAsia="Arial" w:hAnsi="Arial"/>
                <w:b/>
                <w:bCs/>
                <w:color w:val="ffffff"/>
                <w:sz w:val="18"/>
                <w:szCs w:val="18"/>
              </w:rPr>
              <w:t xml:space="preserve">Why it matters</w:t>
            </w:r>
          </w:p>
        </w:tc>
      </w:tr>
      <w:tr>
        <w:tc>
          <w:tcPr>
            <w:tcW w:type="dxa" w:w="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1</w:t>
            </w:r>
          </w:p>
        </w:tc>
        <w:tc>
          <w:tcPr>
            <w:tcW w:type="dxa" w:w="32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NHI Act 2023, Chapter 7 — gov.za</w:t>
            </w:r>
          </w:p>
        </w:tc>
        <w:tc>
          <w:tcPr>
            <w:tcW w:type="dxa" w:w="5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Mandates FHIR R4 for CareConnect accreditation. The 2027 target QuroVita must hit.</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2</w:t>
            </w:r>
          </w:p>
        </w:tc>
        <w:tc>
          <w:tcPr>
            <w:tcW w:type="dxa" w:w="3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SA National Digital Health Strategy 2019-2024 — health.gov.za</w:t>
            </w:r>
          </w:p>
        </w:tc>
        <w:tc>
          <w:tcPr>
            <w:tcW w:type="dxa" w:w="5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HPID patient ID standard, FHIR mandate, governance framework.</w:t>
            </w:r>
          </w:p>
        </w:tc>
      </w:tr>
      <w:tr>
        <w:tc>
          <w:tcPr>
            <w:tcW w:type="dxa" w:w="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3</w:t>
            </w:r>
          </w:p>
        </w:tc>
        <w:tc>
          <w:tcPr>
            <w:tcW w:type="dxa" w:w="32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SAHPRA SaMD Guidance Note — sahpra.org.za</w:t>
            </w:r>
          </w:p>
        </w:tc>
        <w:tc>
          <w:tcPr>
            <w:tcW w:type="dxa" w:w="5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Class A-D classification. OCR-only + WHO-definitions AI = Class A. Read before any new feature.</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4</w:t>
            </w:r>
          </w:p>
        </w:tc>
        <w:tc>
          <w:tcPr>
            <w:tcW w:type="dxa" w:w="3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POPIA Sections 19, 22, 26 — justice.gov.za/inforeg</w:t>
            </w:r>
          </w:p>
        </w:tc>
        <w:tc>
          <w:tcPr>
            <w:tcW w:type="dxa" w:w="5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Health data security, 72-hr breach notification, special personal information rules.</w:t>
            </w:r>
          </w:p>
        </w:tc>
      </w:tr>
      <w:tr>
        <w:tc>
          <w:tcPr>
            <w:tcW w:type="dxa" w:w="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5</w:t>
            </w:r>
          </w:p>
        </w:tc>
        <w:tc>
          <w:tcPr>
            <w:tcW w:type="dxa" w:w="32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POPIA Health Data Regulations March 2026 — itlawco.com</w:t>
            </w:r>
          </w:p>
        </w:tc>
        <w:tc>
          <w:tcPr>
            <w:tcW w:type="dxa" w:w="5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New 2026 regulations. KYC Operator agreement requirements specifically.</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6</w:t>
            </w:r>
          </w:p>
        </w:tc>
        <w:tc>
          <w:tcPr>
            <w:tcW w:type="dxa" w:w="3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HL7 FHIR R4 Specification — hl7.org/fhir/R4</w:t>
            </w:r>
          </w:p>
        </w:tc>
        <w:tc>
          <w:tcPr>
            <w:tcW w:type="dxa" w:w="5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Patient, Observation, MedicationStatement, DocumentReference, Bundle — QuroVita core resources.</w:t>
            </w:r>
          </w:p>
        </w:tc>
      </w:tr>
      <w:tr>
        <w:tc>
          <w:tcPr>
            <w:tcW w:type="dxa" w:w="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7</w:t>
            </w:r>
          </w:p>
        </w:tc>
        <w:tc>
          <w:tcPr>
            <w:tcW w:type="dxa" w:w="32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HPCSA Booklet 9: Keeping of Patient Health Records — hpcsa.co.za</w:t>
            </w:r>
          </w:p>
        </w:tc>
        <w:tc>
          <w:tcPr>
            <w:tcW w:type="dxa" w:w="5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Immutable audit log required. Clinician always accountable for record accuracy.</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8</w:t>
            </w:r>
          </w:p>
        </w:tc>
        <w:tc>
          <w:tcPr>
            <w:tcW w:type="dxa" w:w="3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HPCSA Booklet 20: AI Ethical Guidelines — hpcsa-blogs.co.za</w:t>
            </w:r>
          </w:p>
        </w:tc>
        <w:tc>
          <w:tcPr>
            <w:tcW w:type="dxa" w:w="5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Hard-coded system prompt requirements. Human practitioner always accountable.</w:t>
            </w:r>
          </w:p>
        </w:tc>
      </w:tr>
      <w:tr>
        <w:tc>
          <w:tcPr>
            <w:tcW w:type="dxa" w:w="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9</w:t>
            </w:r>
          </w:p>
        </w:tc>
        <w:tc>
          <w:tcPr>
            <w:tcW w:type="dxa" w:w="32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DHA OVS Fee Hike (6,500%) — weetracker.com, businesstech.co.za</w:t>
            </w:r>
          </w:p>
        </w:tc>
        <w:tc>
          <w:tcPr>
            <w:tcW w:type="dxa" w:w="5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KYC budget correction source. R10/real-time verification. Monitor court challenge outcome.</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10</w:t>
            </w:r>
          </w:p>
        </w:tc>
        <w:tc>
          <w:tcPr>
            <w:tcW w:type="dxa" w:w="3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Smile ID 2025 Digital Identity Fraud Report — usesmileid.com</w:t>
            </w:r>
          </w:p>
        </w:tc>
        <w:tc>
          <w:tcPr>
            <w:tcW w:type="dxa" w:w="5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87% of SA failed verifications = AI spoofing. Liveness detection mandatory.</w:t>
            </w:r>
          </w:p>
        </w:tc>
      </w:tr>
      <w:tr>
        <w:tc>
          <w:tcPr>
            <w:tcW w:type="dxa" w:w="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11</w:t>
            </w:r>
          </w:p>
        </w:tc>
        <w:tc>
          <w:tcPr>
            <w:tcW w:type="dxa" w:w="32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CSIR Post-Quantum Cryptography for SA EHRs — journal-isi.org</w:t>
            </w:r>
          </w:p>
        </w:tc>
        <w:tc>
          <w:tcPr>
            <w:tcW w:type="dxa" w:w="5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AES-256 resilience. ECDH/ECDSA migration timeline. CSIR cryptographic mandates.</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12</w:t>
            </w:r>
          </w:p>
        </w:tc>
        <w:tc>
          <w:tcPr>
            <w:tcW w:type="dxa" w:w="3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Vula Mobile Case Study — disruptafrica.com</w:t>
            </w:r>
          </w:p>
        </w:tc>
        <w:tc>
          <w:tcPr>
            <w:tcW w:type="dxa" w:w="5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NGO-first deployment validated. 750k patients, 26k HCWs — no government procurement.</w:t>
            </w:r>
          </w:p>
        </w:tc>
      </w:tr>
      <w:tr>
        <w:tc>
          <w:tcPr>
            <w:tcW w:type="dxa" w:w="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13</w:t>
            </w:r>
          </w:p>
        </w:tc>
        <w:tc>
          <w:tcPr>
            <w:tcW w:type="dxa" w:w="32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PFMA + Section 217 Procurement — treasury.gov.za</w:t>
            </w:r>
          </w:p>
        </w:tc>
        <w:tc>
          <w:tcPr>
            <w:tcW w:type="dxa" w:w="5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18-24 month direct DoH procurement timeline. Legal basis for NGO-first strategy.</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14</w:t>
            </w:r>
          </w:p>
        </w:tc>
        <w:tc>
          <w:tcPr>
            <w:tcW w:type="dxa" w:w="3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HNSF Interoperability Standards — gov.za/hnsf</w:t>
            </w:r>
          </w:p>
        </w:tc>
        <w:tc>
          <w:tcPr>
            <w:tcW w:type="dxa" w:w="5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60"/>
            </w:tcMar>
          </w:tcPr>
          <w:p>
            <w:r>
              <w:rPr>
                <w:rFonts w:ascii="Arial" w:cs="Arial" w:eastAsia="Arial" w:hAnsi="Arial"/>
                <w:color w:val="222222"/>
                <w:sz w:val="18"/>
                <w:szCs w:val="18"/>
              </w:rPr>
              <w:t xml:space="preserve">FHIR R4 conformity for SA health information system integration.</w:t>
            </w:r>
          </w:p>
        </w:tc>
      </w:tr>
      <w:tr>
        <w:tc>
          <w:tcPr>
            <w:tcW w:type="dxa" w:w="3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15</w:t>
            </w:r>
          </w:p>
        </w:tc>
        <w:tc>
          <w:tcPr>
            <w:tcW w:type="dxa" w:w="326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WHO Digital Health Intervention Classification — who.int</w:t>
            </w:r>
          </w:p>
        </w:tc>
        <w:tc>
          <w:tcPr>
            <w:tcW w:type="dxa" w:w="5800"/>
            <w:tcBorders>
              <w:top w:val="single" w:color="cccccc" w:sz="1"/>
              <w:left w:val="single" w:color="cccccc" w:sz="1"/>
              <w:bottom w:val="single" w:color="cccccc" w:sz="1"/>
              <w:right w:val="single" w:color="cccccc" w:sz="1"/>
            </w:tcBorders>
            <w:shd w:fill="F2F0E8" w:val="clear"/>
            <w:tcMar>
              <w:top w:type="dxa" w:w="70"/>
              <w:left w:type="dxa" w:w="100"/>
              <w:bottom w:type="dxa" w:w="70"/>
              <w:right w:type="dxa" w:w="60"/>
            </w:tcMar>
          </w:tcPr>
          <w:p>
            <w:r>
              <w:rPr>
                <w:rFonts w:ascii="Arial" w:cs="Arial" w:eastAsia="Arial" w:hAnsi="Arial"/>
                <w:color w:val="222222"/>
                <w:sz w:val="18"/>
                <w:szCs w:val="18"/>
              </w:rPr>
              <w:t xml:space="preserve">QuroVita as DPG candidate. Unlocks Gates, PEPFAR, EU, WHO grant pools.</w:t>
            </w:r>
          </w:p>
        </w:tc>
      </w:tr>
    </w:tbl>
    <w:p>
      <w:r>
        <w:br w:type="page"/>
      </w:r>
    </w:p>
    <w:p>
      <w:pPr>
        <w:pStyle w:val="Heading1"/>
        <w:pBdr>
          <w:bottom w:val="single" w:color="0F6E56" w:sz="8" w:space="6"/>
        </w:pBdr>
        <w:spacing w:after="180" w:before="360"/>
      </w:pPr>
      <w:r>
        <w:rPr>
          <w:rFonts w:ascii="Arial" w:cs="Arial" w:eastAsia="Arial" w:hAnsi="Arial"/>
          <w:b/>
          <w:bCs/>
          <w:color w:val="0F6E56"/>
          <w:sz w:val="36"/>
          <w:szCs w:val="36"/>
        </w:rPr>
        <w:t xml:space="preserve">14. Implementation Checklist</w:t>
      </w:r>
    </w:p>
    <w:p>
      <w:pPr>
        <w:pStyle w:val="Heading2"/>
        <w:spacing w:after="120" w:before="240"/>
      </w:pPr>
      <w:r>
        <w:rPr>
          <w:rFonts w:ascii="Arial" w:cs="Arial" w:eastAsia="Arial" w:hAnsi="Arial"/>
          <w:b/>
          <w:bCs/>
          <w:color w:val="1a1a18"/>
          <w:sz w:val="28"/>
          <w:szCs w:val="28"/>
        </w:rPr>
        <w:t xml:space="preserve">This week — before any development:</w:t>
      </w:r>
    </w:p>
    <w:p>
      <w:pPr>
        <w:pStyle w:val="ListParagraph"/>
        <w:numPr>
          <w:ilvl w:val="0"/>
          <w:numId w:val="2"/>
        </w:numPr>
        <w:spacing w:after="40" w:before="40"/>
      </w:pPr>
      <w:r>
        <w:rPr>
          <w:rFonts w:ascii="Arial" w:cs="Arial" w:eastAsia="Arial" w:hAnsi="Arial"/>
          <w:color w:val="333333"/>
          <w:sz w:val="22"/>
          <w:szCs w:val="22"/>
        </w:rPr>
        <w:t xml:space="preserve">Register QuroVita (Pty) Ltd at CIPC (cipc.co.za) — R175, online, 1-2 days</w:t>
      </w:r>
    </w:p>
    <w:p>
      <w:pPr>
        <w:pStyle w:val="ListParagraph"/>
        <w:numPr>
          <w:ilvl w:val="0"/>
          <w:numId w:val="2"/>
        </w:numPr>
        <w:spacing w:after="40" w:before="40"/>
      </w:pPr>
      <w:r>
        <w:rPr>
          <w:rFonts w:ascii="Arial" w:cs="Arial" w:eastAsia="Arial" w:hAnsi="Arial"/>
          <w:color w:val="333333"/>
          <w:sz w:val="22"/>
          <w:szCs w:val="22"/>
        </w:rPr>
        <w:t xml:space="preserve">File QuroVita trademark at CIPC IP division — Classes 9 (software) + 44 (health services) — R590/class</w:t>
      </w:r>
    </w:p>
    <w:p>
      <w:pPr>
        <w:pStyle w:val="ListParagraph"/>
        <w:numPr>
          <w:ilvl w:val="0"/>
          <w:numId w:val="2"/>
        </w:numPr>
        <w:spacing w:after="40" w:before="40"/>
      </w:pPr>
      <w:r>
        <w:rPr>
          <w:rFonts w:ascii="Arial" w:cs="Arial" w:eastAsia="Arial" w:hAnsi="Arial"/>
          <w:color w:val="333333"/>
          <w:sz w:val="22"/>
          <w:szCs w:val="22"/>
        </w:rPr>
        <w:t xml:space="preserve">Register domains: qurovita.co.za + qurovita.com + qurovita.health</w:t>
      </w:r>
    </w:p>
    <w:p>
      <w:pPr>
        <w:pStyle w:val="ListParagraph"/>
        <w:numPr>
          <w:ilvl w:val="0"/>
          <w:numId w:val="2"/>
        </w:numPr>
        <w:spacing w:after="40" w:before="40"/>
      </w:pPr>
      <w:r>
        <w:rPr>
          <w:rFonts w:ascii="Arial" w:cs="Arial" w:eastAsia="Arial" w:hAnsi="Arial"/>
          <w:color w:val="333333"/>
          <w:sz w:val="22"/>
          <w:szCs w:val="22"/>
        </w:rPr>
        <w:t xml:space="preserve">Register Google Play Developer account ($25) + Apple Developer account ($99)</w:t>
      </w:r>
    </w:p>
    <w:p>
      <w:pPr>
        <w:pStyle w:val="ListParagraph"/>
        <w:numPr>
          <w:ilvl w:val="0"/>
          <w:numId w:val="2"/>
        </w:numPr>
        <w:spacing w:after="40" w:before="40"/>
      </w:pPr>
      <w:r>
        <w:rPr>
          <w:rFonts w:ascii="Arial" w:cs="Arial" w:eastAsia="Arial" w:hAnsi="Arial"/>
          <w:color w:val="333333"/>
          <w:sz w:val="22"/>
          <w:szCs w:val="22"/>
        </w:rPr>
        <w:t xml:space="preserve">Register as Information Officer — email inforeg@justice.gov.za (free, immediate)</w:t>
      </w:r>
    </w:p>
    <w:p>
      <w:pPr>
        <w:pStyle w:val="ListParagraph"/>
        <w:numPr>
          <w:ilvl w:val="0"/>
          <w:numId w:val="2"/>
        </w:numPr>
        <w:spacing w:after="40" w:before="40"/>
      </w:pPr>
      <w:r>
        <w:rPr>
          <w:rFonts w:ascii="Arial" w:cs="Arial" w:eastAsia="Arial" w:hAnsi="Arial"/>
          <w:color w:val="333333"/>
          <w:sz w:val="22"/>
          <w:szCs w:val="22"/>
        </w:rPr>
        <w:t xml:space="preserve">Contact TB HIV Care and Anova Health for pilot MOU discussion — 60-day window is open NOW</w:t>
      </w:r>
    </w:p>
    <w:p>
      <w:pPr>
        <w:pStyle w:val="ListParagraph"/>
        <w:numPr>
          <w:ilvl w:val="0"/>
          <w:numId w:val="2"/>
        </w:numPr>
        <w:spacing w:after="40" w:before="40"/>
      </w:pPr>
      <w:r>
        <w:rPr>
          <w:rFonts w:ascii="Arial" w:cs="Arial" w:eastAsia="Arial" w:hAnsi="Arial"/>
          <w:color w:val="333333"/>
          <w:sz w:val="22"/>
          <w:szCs w:val="22"/>
        </w:rPr>
        <w:t xml:space="preserve">Apply for NRF Flagship Programme grant — KYC budget depends on this</w:t>
      </w:r>
    </w:p>
    <w:p>
      <w:pPr>
        <w:pStyle w:val="ListParagraph"/>
        <w:numPr>
          <w:ilvl w:val="0"/>
          <w:numId w:val="2"/>
        </w:numPr>
        <w:spacing w:after="40" w:before="40"/>
      </w:pPr>
      <w:r>
        <w:rPr>
          <w:rFonts w:ascii="Arial" w:cs="Arial" w:eastAsia="Arial" w:hAnsi="Arial"/>
          <w:color w:val="333333"/>
          <w:sz w:val="22"/>
          <w:szCs w:val="22"/>
        </w:rPr>
        <w:t xml:space="preserve">Apply for DSTI Healthtech Challenge — fastest SA government grant</w:t>
      </w:r>
    </w:p>
    <w:p>
      <w:pPr>
        <w:pStyle w:val="ListParagraph"/>
        <w:numPr>
          <w:ilvl w:val="0"/>
          <w:numId w:val="2"/>
        </w:numPr>
        <w:spacing w:after="40" w:before="40"/>
      </w:pPr>
      <w:r>
        <w:rPr>
          <w:rFonts w:ascii="Arial" w:cs="Arial" w:eastAsia="Arial" w:hAnsi="Arial"/>
          <w:color w:val="333333"/>
          <w:sz w:val="22"/>
          <w:szCs w:val="22"/>
        </w:rPr>
        <w:t xml:space="preserve">Brief health law attorney on corrected OOB architecture + SAHPRA Class A confirmation</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1a1a18"/>
          <w:sz w:val="28"/>
          <w:szCs w:val="28"/>
        </w:rPr>
        <w:t xml:space="preserve">Before development starts:</w:t>
      </w:r>
    </w:p>
    <w:p>
      <w:pPr>
        <w:pStyle w:val="ListParagraph"/>
        <w:numPr>
          <w:ilvl w:val="0"/>
          <w:numId w:val="2"/>
        </w:numPr>
        <w:spacing w:after="40" w:before="40"/>
      </w:pPr>
      <w:r>
        <w:rPr>
          <w:rFonts w:ascii="Arial" w:cs="Arial" w:eastAsia="Arial" w:hAnsi="Arial"/>
          <w:color w:val="333333"/>
          <w:sz w:val="22"/>
          <w:szCs w:val="22"/>
        </w:rPr>
        <w:t xml:space="preserve">All developers read Section 4 (OOB architecture) and confirm QR/FHIR constraint correction understood</w:t>
      </w:r>
    </w:p>
    <w:p>
      <w:pPr>
        <w:pStyle w:val="ListParagraph"/>
        <w:numPr>
          <w:ilvl w:val="0"/>
          <w:numId w:val="2"/>
        </w:numPr>
        <w:spacing w:after="40" w:before="40"/>
      </w:pPr>
      <w:r>
        <w:rPr>
          <w:rFonts w:ascii="Arial" w:cs="Arial" w:eastAsia="Arial" w:hAnsi="Arial"/>
          <w:color w:val="333333"/>
          <w:sz w:val="22"/>
          <w:szCs w:val="22"/>
        </w:rPr>
        <w:t xml:space="preserve">Create Supabase project in AWS af-south-1 region — run schema.sql</w:t>
      </w:r>
    </w:p>
    <w:p>
      <w:pPr>
        <w:pStyle w:val="ListParagraph"/>
        <w:numPr>
          <w:ilvl w:val="0"/>
          <w:numId w:val="2"/>
        </w:numPr>
        <w:spacing w:after="40" w:before="40"/>
      </w:pPr>
      <w:r>
        <w:rPr>
          <w:rFonts w:ascii="Arial" w:cs="Arial" w:eastAsia="Arial" w:hAnsi="Arial"/>
          <w:color w:val="333333"/>
          <w:sz w:val="22"/>
          <w:szCs w:val="22"/>
        </w:rPr>
        <w:t xml:space="preserve">Generate ECDSA key pair for QR signing — store private key in AWS KMS (never in code or env vars)</w:t>
      </w:r>
    </w:p>
    <w:p>
      <w:pPr>
        <w:pStyle w:val="ListParagraph"/>
        <w:numPr>
          <w:ilvl w:val="0"/>
          <w:numId w:val="2"/>
        </w:numPr>
        <w:spacing w:after="40" w:before="40"/>
      </w:pPr>
      <w:r>
        <w:rPr>
          <w:rFonts w:ascii="Arial" w:cs="Arial" w:eastAsia="Arial" w:hAnsi="Arial"/>
          <w:color w:val="333333"/>
          <w:sz w:val="22"/>
          <w:szCs w:val="22"/>
        </w:rPr>
        <w:t xml:space="preserve">Sign POPIA data processing agreement with Smile ID or Contactable (KYC vendor)</w:t>
      </w:r>
    </w:p>
    <w:p>
      <w:pPr>
        <w:pStyle w:val="ListParagraph"/>
        <w:numPr>
          <w:ilvl w:val="0"/>
          <w:numId w:val="2"/>
        </w:numPr>
        <w:spacing w:after="40" w:before="40"/>
      </w:pPr>
      <w:r>
        <w:rPr>
          <w:rFonts w:ascii="Arial" w:cs="Arial" w:eastAsia="Arial" w:hAnsi="Arial"/>
          <w:color w:val="333333"/>
          <w:sz w:val="22"/>
          <w:szCs w:val="22"/>
        </w:rPr>
        <w:t xml:space="preserve">Set up Twilio WhatsApp Sandbox for bot testing</w:t>
      </w:r>
    </w:p>
    <w:p>
      <w:pPr>
        <w:pStyle w:val="ListParagraph"/>
        <w:numPr>
          <w:ilvl w:val="0"/>
          <w:numId w:val="2"/>
        </w:numPr>
        <w:spacing w:after="40" w:before="40"/>
      </w:pPr>
      <w:r>
        <w:rPr>
          <w:rFonts w:ascii="Arial" w:cs="Arial" w:eastAsia="Arial" w:hAnsi="Arial"/>
          <w:color w:val="333333"/>
          <w:sz w:val="22"/>
          <w:szCs w:val="22"/>
        </w:rPr>
        <w:t xml:space="preserve">Create AWS S3 bucket in af-south-1 with KMS encryption and public access blocked</w:t>
      </w:r>
    </w:p>
    <w:p>
      <w:pPr>
        <w:spacing w:after="60" w:before="60"/>
      </w:pPr>
      <w:r>
        <w:rPr>
          <w:rFonts w:ascii="Arial" w:cs="Arial" w:eastAsia="Arial" w:hAnsi="Arial"/>
          <w:sz w:val="22"/>
          <w:szCs w:val="22"/>
        </w:rPr>
        <w:t xml:space="preserve"/>
      </w:r>
    </w:p>
    <w:p>
      <w:pPr>
        <w:pStyle w:val="Heading2"/>
        <w:spacing w:after="120" w:before="240"/>
      </w:pPr>
      <w:r>
        <w:rPr>
          <w:rFonts w:ascii="Arial" w:cs="Arial" w:eastAsia="Arial" w:hAnsi="Arial"/>
          <w:b/>
          <w:bCs/>
          <w:color w:val="1a1a18"/>
          <w:sz w:val="28"/>
          <w:szCs w:val="28"/>
        </w:rPr>
        <w:t xml:space="preserve">Before first patient onboards:</w:t>
      </w:r>
    </w:p>
    <w:p>
      <w:pPr>
        <w:pStyle w:val="ListParagraph"/>
        <w:numPr>
          <w:ilvl w:val="0"/>
          <w:numId w:val="2"/>
        </w:numPr>
        <w:spacing w:after="40" w:before="40"/>
      </w:pPr>
      <w:r>
        <w:rPr>
          <w:rFonts w:ascii="Arial" w:cs="Arial" w:eastAsia="Arial" w:hAnsi="Arial"/>
          <w:color w:val="333333"/>
          <w:sz w:val="22"/>
          <w:szCs w:val="22"/>
        </w:rPr>
        <w:t xml:space="preserve">SAHPRA SaMD Class A notification filed — free, 5-day acknowledgement</w:t>
      </w:r>
    </w:p>
    <w:p>
      <w:pPr>
        <w:pStyle w:val="ListParagraph"/>
        <w:numPr>
          <w:ilvl w:val="0"/>
          <w:numId w:val="2"/>
        </w:numPr>
        <w:spacing w:after="40" w:before="40"/>
      </w:pPr>
      <w:r>
        <w:rPr>
          <w:rFonts w:ascii="Arial" w:cs="Arial" w:eastAsia="Arial" w:hAnsi="Arial"/>
          <w:color w:val="333333"/>
          <w:sz w:val="22"/>
          <w:szCs w:val="22"/>
        </w:rPr>
        <w:t xml:space="preserve">Privacy policy published at qurovita.co.za/privacy</w:t>
      </w:r>
    </w:p>
    <w:p>
      <w:pPr>
        <w:pStyle w:val="ListParagraph"/>
        <w:numPr>
          <w:ilvl w:val="0"/>
          <w:numId w:val="2"/>
        </w:numPr>
        <w:spacing w:after="40" w:before="40"/>
      </w:pPr>
      <w:r>
        <w:rPr>
          <w:rFonts w:ascii="Arial" w:cs="Arial" w:eastAsia="Arial" w:hAnsi="Arial"/>
          <w:color w:val="333333"/>
          <w:sz w:val="22"/>
          <w:szCs w:val="22"/>
        </w:rPr>
        <w:t xml:space="preserve">ConsentScreen legal language approved by health law attorney</w:t>
      </w:r>
    </w:p>
    <w:p>
      <w:pPr>
        <w:pStyle w:val="ListParagraph"/>
        <w:numPr>
          <w:ilvl w:val="0"/>
          <w:numId w:val="2"/>
        </w:numPr>
        <w:spacing w:after="40" w:before="40"/>
      </w:pPr>
      <w:r>
        <w:rPr>
          <w:rFonts w:ascii="Arial" w:cs="Arial" w:eastAsia="Arial" w:hAnsi="Arial"/>
          <w:color w:val="333333"/>
          <w:sz w:val="22"/>
          <w:szCs w:val="22"/>
        </w:rPr>
        <w:t xml:space="preserve">Audit log REVOKE UPDATE/DELETE enforced and tested at database level</w:t>
      </w:r>
    </w:p>
    <w:p>
      <w:pPr>
        <w:pStyle w:val="ListParagraph"/>
        <w:numPr>
          <w:ilvl w:val="0"/>
          <w:numId w:val="2"/>
        </w:numPr>
        <w:spacing w:after="40" w:before="40"/>
      </w:pPr>
      <w:r>
        <w:rPr>
          <w:rFonts w:ascii="Arial" w:cs="Arial" w:eastAsia="Arial" w:hAnsi="Arial"/>
          <w:color w:val="333333"/>
          <w:sz w:val="22"/>
          <w:szCs w:val="22"/>
        </w:rPr>
        <w:t xml:space="preserve">CHW tablet AES-256 local storage encryption verified (biometric cache must be encrypted)</w:t>
      </w:r>
    </w:p>
    <w:p>
      <w:pPr>
        <w:pStyle w:val="ListParagraph"/>
        <w:numPr>
          <w:ilvl w:val="0"/>
          <w:numId w:val="2"/>
        </w:numPr>
        <w:spacing w:after="40" w:before="40"/>
      </w:pPr>
      <w:r>
        <w:rPr>
          <w:rFonts w:ascii="Arial" w:cs="Arial" w:eastAsia="Arial" w:hAnsi="Arial"/>
          <w:color w:val="333333"/>
          <w:sz w:val="22"/>
          <w:szCs w:val="22"/>
        </w:rPr>
        <w:t xml:space="preserve">BLE/Wi-Fi Direct P2P transfer tested successfully on minimum Android 8.0 device</w:t>
      </w:r>
    </w:p>
    <w:p>
      <w:pPr>
        <w:pStyle w:val="ListParagraph"/>
        <w:numPr>
          <w:ilvl w:val="0"/>
          <w:numId w:val="2"/>
        </w:numPr>
        <w:spacing w:after="40" w:before="40"/>
      </w:pPr>
      <w:r>
        <w:rPr>
          <w:rFonts w:ascii="Arial" w:cs="Arial" w:eastAsia="Arial" w:hAnsi="Arial"/>
          <w:color w:val="333333"/>
          <w:sz w:val="22"/>
          <w:szCs w:val="22"/>
        </w:rPr>
        <w:t xml:space="preserve">HPCSA AI compliance automated checks running — zero violations in test suite</w:t>
      </w:r>
    </w:p>
    <w:p>
      <w:pPr>
        <w:pStyle w:val="ListParagraph"/>
        <w:numPr>
          <w:ilvl w:val="0"/>
          <w:numId w:val="2"/>
        </w:numPr>
        <w:spacing w:after="40" w:before="40"/>
      </w:pPr>
      <w:r>
        <w:rPr>
          <w:rFonts w:ascii="Arial" w:cs="Arial" w:eastAsia="Arial" w:hAnsi="Arial"/>
          <w:color w:val="333333"/>
          <w:sz w:val="22"/>
          <w:szCs w:val="22"/>
        </w:rPr>
        <w:t xml:space="preserve">End-to-end QR session test: patient generates QR → provider scans → P2P transfer → records visible → session expires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Bdr>
          <w:top w:val="single" w:color="0F6E56" w:sz="4" w:space="8"/>
        </w:pBdr>
        <w:spacing w:before="480"/>
        <w:jc w:val="center"/>
      </w:pPr>
      <w:r>
        <w:rPr>
          <w:rFonts w:ascii="Arial" w:cs="Arial" w:eastAsia="Arial" w:hAnsi="Arial"/>
          <w:color w:val="999999"/>
          <w:sz w:val="18"/>
          <w:szCs w:val="18"/>
        </w:rPr>
        <w:t xml:space="preserve">QuroVita Master Platform Document v2.0 — All Corrections Applied — May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jc w:val="center"/>
    </w:pPr>
    <w:r>
      <w:rPr>
        <w:rFonts w:ascii="Arial" w:cs="Arial" w:eastAsia="Arial" w:hAnsi="Arial"/>
        <w:color w:val="999999"/>
        <w:sz w:val="16"/>
        <w:szCs w:val="16"/>
      </w:rPr>
      <w:t xml:space="preserve">QuroVita v2.0 · May 2026 · All Corrections Applied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pPr>
    <w:r>
      <w:rPr>
        <w:rFonts w:ascii="Arial" w:cs="Arial" w:eastAsia="Arial" w:hAnsi="Arial"/>
        <w:b/>
        <w:bCs/>
        <w:color w:val="0F6E56"/>
        <w:sz w:val="18"/>
        <w:szCs w:val="18"/>
      </w:rPr>
      <w:t xml:space="preserve">QuroVita — Master Platform Document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6E5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2026-05-04T10:32:20.012Z</dcterms:created>
  <dcterms:modified xsi:type="dcterms:W3CDTF">2026-05-04T10:32:20.013Z</dcterms:modified>
</cp:coreProperties>
</file>

<file path=docProps/custom.xml><?xml version="1.0" encoding="utf-8"?>
<Properties xmlns="http://schemas.openxmlformats.org/officeDocument/2006/custom-properties" xmlns:vt="http://schemas.openxmlformats.org/officeDocument/2006/docPropsVTypes"/>
</file>