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A1139" w14:textId="0CD142D5" w:rsidR="002D4156" w:rsidRDefault="00F46CE4" w:rsidP="4464AF51">
      <w:pPr>
        <w:rPr>
          <w:rFonts w:ascii="Calibri" w:eastAsia="Calibri" w:hAnsi="Calibri" w:cs="Calibri"/>
          <w:b/>
          <w:bCs/>
          <w:sz w:val="22"/>
          <w:szCs w:val="22"/>
        </w:rPr>
      </w:pPr>
      <w:r w:rsidRPr="00F46CE4">
        <w:rPr>
          <w:rFonts w:ascii="Calibri" w:eastAsia="Calibri" w:hAnsi="Calibri" w:cs="Calibri"/>
          <w:b/>
          <w:bCs/>
          <w:sz w:val="22"/>
          <w:szCs w:val="22"/>
        </w:rPr>
        <w:t>MAST5110 Coursework Assignment Assessment</w:t>
      </w:r>
    </w:p>
    <w:p w14:paraId="1878A1F1" w14:textId="38532DAD" w:rsidR="002D4156" w:rsidRDefault="005C305A" w:rsidP="4464AF51">
      <w:pPr>
        <w:rPr>
          <w:rFonts w:ascii="Calibri" w:eastAsia="Calibri" w:hAnsi="Calibri" w:cs="Calibri"/>
          <w:b/>
          <w:bCs/>
          <w:sz w:val="22"/>
          <w:szCs w:val="22"/>
        </w:rPr>
      </w:pPr>
      <w:r>
        <w:rPr>
          <w:rFonts w:ascii="Calibri" w:eastAsia="Calibri" w:hAnsi="Calibri" w:cs="Calibri"/>
          <w:b/>
          <w:bCs/>
          <w:sz w:val="22"/>
          <w:szCs w:val="22"/>
        </w:rPr>
        <w:t>h</w:t>
      </w:r>
      <w:r w:rsidR="00323B08">
        <w:rPr>
          <w:rFonts w:ascii="Calibri" w:eastAsia="Calibri" w:hAnsi="Calibri" w:cs="Calibri"/>
          <w:b/>
          <w:bCs/>
          <w:sz w:val="22"/>
          <w:szCs w:val="22"/>
        </w:rPr>
        <w:t>m</w:t>
      </w:r>
      <w:r w:rsidR="00E23628">
        <w:rPr>
          <w:rFonts w:ascii="Calibri" w:eastAsia="Calibri" w:hAnsi="Calibri" w:cs="Calibri"/>
          <w:b/>
          <w:bCs/>
          <w:sz w:val="22"/>
          <w:szCs w:val="22"/>
        </w:rPr>
        <w:t>518</w:t>
      </w:r>
    </w:p>
    <w:p w14:paraId="58DD4E1B" w14:textId="76438CAC" w:rsidR="5D7E9183" w:rsidRDefault="682CFBE7" w:rsidP="4464AF51">
      <w:pPr>
        <w:rPr>
          <w:rFonts w:ascii="Calibri" w:eastAsia="Calibri" w:hAnsi="Calibri" w:cs="Calibri"/>
          <w:b/>
          <w:bCs/>
          <w:sz w:val="22"/>
          <w:szCs w:val="22"/>
        </w:rPr>
      </w:pPr>
      <w:r w:rsidRPr="4464AF51">
        <w:rPr>
          <w:rFonts w:ascii="Calibri" w:eastAsia="Calibri" w:hAnsi="Calibri" w:cs="Calibri"/>
          <w:b/>
          <w:bCs/>
          <w:sz w:val="22"/>
          <w:szCs w:val="22"/>
        </w:rPr>
        <w:t xml:space="preserve">Introduction </w:t>
      </w:r>
    </w:p>
    <w:p w14:paraId="2872C6AE" w14:textId="07051124" w:rsidR="1C4FACCF" w:rsidRDefault="1D16A9B5" w:rsidP="4464AF51">
      <w:pPr>
        <w:rPr>
          <w:rFonts w:ascii="Calibri" w:eastAsia="Calibri" w:hAnsi="Calibri" w:cs="Calibri"/>
          <w:b/>
          <w:bCs/>
          <w:sz w:val="22"/>
          <w:szCs w:val="22"/>
        </w:rPr>
      </w:pPr>
      <w:r w:rsidRPr="4464AF51">
        <w:rPr>
          <w:rFonts w:ascii="Calibri" w:eastAsia="Calibri" w:hAnsi="Calibri" w:cs="Calibri"/>
          <w:b/>
          <w:bCs/>
          <w:sz w:val="22"/>
          <w:szCs w:val="22"/>
        </w:rPr>
        <w:t xml:space="preserve">1.1 </w:t>
      </w:r>
      <w:r w:rsidR="26066CBC" w:rsidRPr="4464AF51">
        <w:rPr>
          <w:rFonts w:ascii="Calibri" w:eastAsia="Calibri" w:hAnsi="Calibri" w:cs="Calibri"/>
          <w:b/>
          <w:bCs/>
          <w:sz w:val="22"/>
          <w:szCs w:val="22"/>
        </w:rPr>
        <w:t>W</w:t>
      </w:r>
      <w:r w:rsidRPr="4464AF51">
        <w:rPr>
          <w:rFonts w:ascii="Calibri" w:eastAsia="Calibri" w:hAnsi="Calibri" w:cs="Calibri"/>
          <w:b/>
          <w:bCs/>
          <w:sz w:val="22"/>
          <w:szCs w:val="22"/>
        </w:rPr>
        <w:t xml:space="preserve">ider </w:t>
      </w:r>
      <w:r w:rsidR="67D456DF" w:rsidRPr="4464AF51">
        <w:rPr>
          <w:rFonts w:ascii="Calibri" w:eastAsia="Calibri" w:hAnsi="Calibri" w:cs="Calibri"/>
          <w:b/>
          <w:bCs/>
          <w:sz w:val="22"/>
          <w:szCs w:val="22"/>
        </w:rPr>
        <w:t>C</w:t>
      </w:r>
      <w:r w:rsidRPr="4464AF51">
        <w:rPr>
          <w:rFonts w:ascii="Calibri" w:eastAsia="Calibri" w:hAnsi="Calibri" w:cs="Calibri"/>
          <w:b/>
          <w:bCs/>
          <w:sz w:val="22"/>
          <w:szCs w:val="22"/>
        </w:rPr>
        <w:t xml:space="preserve">ontext </w:t>
      </w:r>
    </w:p>
    <w:p w14:paraId="4E8B27F9" w14:textId="0F426FC7" w:rsidR="1C4FACCF" w:rsidRDefault="06E7801C" w:rsidP="4464AF51">
      <w:pPr>
        <w:rPr>
          <w:rFonts w:ascii="Calibri" w:eastAsia="Calibri" w:hAnsi="Calibri" w:cs="Calibri"/>
          <w:sz w:val="22"/>
          <w:szCs w:val="22"/>
        </w:rPr>
      </w:pPr>
      <w:r w:rsidRPr="4464AF51">
        <w:rPr>
          <w:rFonts w:ascii="Calibri" w:eastAsia="Calibri" w:hAnsi="Calibri" w:cs="Calibri"/>
          <w:sz w:val="22"/>
          <w:szCs w:val="22"/>
        </w:rPr>
        <w:t>Unemployment is a situation where an individual seeks for employment however are unable to secure a job. In an economy, high rates of unemployment show economic distress, while an extreme low unemployment can indicate overheated of the economy. There are several causes for unemployment in an economy, a few being recessions, depreciations, technological innovations and improvements, job outsourcing, and voluntarily leaving one job to find another.</w:t>
      </w:r>
    </w:p>
    <w:p w14:paraId="58660565" w14:textId="59F6C3C4" w:rsidR="1C4FACCF" w:rsidRDefault="06E7801C" w:rsidP="4464AF51">
      <w:pPr>
        <w:rPr>
          <w:rFonts w:ascii="Calibri" w:eastAsia="Calibri" w:hAnsi="Calibri" w:cs="Calibri"/>
          <w:sz w:val="22"/>
          <w:szCs w:val="22"/>
        </w:rPr>
      </w:pPr>
      <w:r w:rsidRPr="4464AF51">
        <w:rPr>
          <w:rFonts w:ascii="Calibri" w:eastAsia="Calibri" w:hAnsi="Calibri" w:cs="Calibri"/>
          <w:sz w:val="22"/>
          <w:szCs w:val="22"/>
        </w:rPr>
        <w:t xml:space="preserve">Fluctuations in the number or rate of unemployed women have an impact on household incomes, long-term career prospects (due to skill depreciation and "scarring"), and the macroeconomy through decreased consumer demand and lost productive capacity. This makes female unemployment a crucial indicator of gender equality and economic inclusion. The number of jobless women climbed from around 598,000 in 2019 to 713,000 in 2020, while the female unemployment rate increased from 3.6% to 4.3%, according to official ONS statistics. </w:t>
      </w:r>
    </w:p>
    <w:p w14:paraId="654FE3E2" w14:textId="505E3914" w:rsidR="1C4FACCF" w:rsidRDefault="06E7801C" w:rsidP="4464AF51">
      <w:pPr>
        <w:rPr>
          <w:rFonts w:ascii="Calibri" w:eastAsia="Calibri" w:hAnsi="Calibri" w:cs="Calibri"/>
          <w:sz w:val="22"/>
          <w:szCs w:val="22"/>
        </w:rPr>
      </w:pPr>
      <w:r w:rsidRPr="4464AF51">
        <w:rPr>
          <w:rFonts w:ascii="Calibri" w:eastAsia="Calibri" w:hAnsi="Calibri" w:cs="Calibri"/>
          <w:sz w:val="22"/>
          <w:szCs w:val="22"/>
        </w:rPr>
        <w:t>Pandemic lockdowns, sectoral shutdowns, and furloughing disproportionately impacted businesses with high female employment (retail, hospitality, personal services), exacerbating pre-existing vulnerabilities. A large amount of this decline corresponded with the COVID-19 shock.</w:t>
      </w:r>
    </w:p>
    <w:p w14:paraId="2481809E" w14:textId="5479321B" w:rsidR="1C4FACCF" w:rsidRDefault="35A5BC62" w:rsidP="4E6D0F31">
      <w:r w:rsidRPr="4464AF51">
        <w:rPr>
          <w:rFonts w:ascii="Calibri" w:eastAsia="Calibri" w:hAnsi="Calibri" w:cs="Calibri"/>
          <w:sz w:val="22"/>
          <w:szCs w:val="22"/>
        </w:rPr>
        <w:t>Lockdowns increased unpaid care duties, according to several assessments; women provided much more childcare during school closures and were more likely to cut back on paid hours or quit their jobs to meet caregiving obligations. This helps to explain the gendered labour market impact of 2020.</w:t>
      </w:r>
    </w:p>
    <w:p w14:paraId="51C7A388" w14:textId="2185E957" w:rsidR="1C4FACCF" w:rsidRDefault="35A5BC62" w:rsidP="4E6D0F31">
      <w:r w:rsidRPr="4464AF51">
        <w:rPr>
          <w:rFonts w:ascii="Calibri" w:eastAsia="Calibri" w:hAnsi="Calibri" w:cs="Calibri"/>
          <w:sz w:val="22"/>
          <w:szCs w:val="22"/>
        </w:rPr>
        <w:t>In the UK, women are far more likely than males to work part-time and to be concentrated in lower-paying, insecure professions. Additionally, mothers continue to endure a "motherhood penalty" in terms of advancement and compensation. Due to these trends, female work is more vulnerable to shocks and policy gaps like inadequate, costly daycare.</w:t>
      </w:r>
    </w:p>
    <w:p w14:paraId="55D7F3EF" w14:textId="79674B10" w:rsidR="35A5BC62" w:rsidRDefault="35A5BC62" w:rsidP="4464AF51">
      <w:r w:rsidRPr="4464AF51">
        <w:rPr>
          <w:rFonts w:ascii="Calibri" w:eastAsia="Calibri" w:hAnsi="Calibri" w:cs="Calibri"/>
          <w:sz w:val="22"/>
          <w:szCs w:val="22"/>
        </w:rPr>
        <w:t>To guide targeted labour and family-support policies, it is crucial to analyse current trends in female unemployment and determine if the increase from 2019 to 2020 is statistically significant. This is because female unemployment has both immediate distributional impacts and long-term implications for equality and growth.</w:t>
      </w:r>
    </w:p>
    <w:p w14:paraId="0601598B" w14:textId="7B23DCCD" w:rsidR="27153349" w:rsidRDefault="1806048F" w:rsidP="4464AF51">
      <w:pPr>
        <w:rPr>
          <w:rFonts w:ascii="Calibri" w:eastAsia="Calibri" w:hAnsi="Calibri" w:cs="Calibri"/>
          <w:b/>
          <w:bCs/>
          <w:sz w:val="22"/>
          <w:szCs w:val="22"/>
        </w:rPr>
      </w:pPr>
      <w:r w:rsidRPr="4464AF51">
        <w:rPr>
          <w:rFonts w:ascii="Calibri" w:eastAsia="Calibri" w:hAnsi="Calibri" w:cs="Calibri"/>
          <w:b/>
          <w:bCs/>
          <w:sz w:val="22"/>
          <w:szCs w:val="22"/>
        </w:rPr>
        <w:t xml:space="preserve">1.2 </w:t>
      </w:r>
      <w:r w:rsidR="01D39904" w:rsidRPr="4464AF51">
        <w:rPr>
          <w:rFonts w:ascii="Calibri" w:eastAsia="Calibri" w:hAnsi="Calibri" w:cs="Calibri"/>
          <w:b/>
          <w:bCs/>
          <w:sz w:val="22"/>
          <w:szCs w:val="22"/>
        </w:rPr>
        <w:t>D</w:t>
      </w:r>
      <w:r w:rsidRPr="4464AF51">
        <w:rPr>
          <w:rFonts w:ascii="Calibri" w:eastAsia="Calibri" w:hAnsi="Calibri" w:cs="Calibri"/>
          <w:b/>
          <w:bCs/>
          <w:sz w:val="22"/>
          <w:szCs w:val="22"/>
        </w:rPr>
        <w:t xml:space="preserve">escription of </w:t>
      </w:r>
      <w:r w:rsidR="7BB4FEFD" w:rsidRPr="4464AF51">
        <w:rPr>
          <w:rFonts w:ascii="Calibri" w:eastAsia="Calibri" w:hAnsi="Calibri" w:cs="Calibri"/>
          <w:b/>
          <w:bCs/>
          <w:sz w:val="22"/>
          <w:szCs w:val="22"/>
        </w:rPr>
        <w:t>C</w:t>
      </w:r>
      <w:r w:rsidRPr="4464AF51">
        <w:rPr>
          <w:rFonts w:ascii="Calibri" w:eastAsia="Calibri" w:hAnsi="Calibri" w:cs="Calibri"/>
          <w:b/>
          <w:bCs/>
          <w:sz w:val="22"/>
          <w:szCs w:val="22"/>
        </w:rPr>
        <w:t xml:space="preserve">ore </w:t>
      </w:r>
      <w:r w:rsidR="408FF0F2" w:rsidRPr="4464AF51">
        <w:rPr>
          <w:rFonts w:ascii="Calibri" w:eastAsia="Calibri" w:hAnsi="Calibri" w:cs="Calibri"/>
          <w:b/>
          <w:bCs/>
          <w:sz w:val="22"/>
          <w:szCs w:val="22"/>
        </w:rPr>
        <w:t>D</w:t>
      </w:r>
      <w:r w:rsidRPr="4464AF51">
        <w:rPr>
          <w:rFonts w:ascii="Calibri" w:eastAsia="Calibri" w:hAnsi="Calibri" w:cs="Calibri"/>
          <w:b/>
          <w:bCs/>
          <w:sz w:val="22"/>
          <w:szCs w:val="22"/>
        </w:rPr>
        <w:t xml:space="preserve">atasets </w:t>
      </w:r>
    </w:p>
    <w:p w14:paraId="0FB39F8B" w14:textId="083E3D0C" w:rsidR="27153349" w:rsidRDefault="1806048F" w:rsidP="4464AF51">
      <w:r w:rsidRPr="4464AF51">
        <w:rPr>
          <w:rFonts w:ascii="Calibri" w:eastAsia="Calibri" w:hAnsi="Calibri" w:cs="Calibri"/>
          <w:sz w:val="22"/>
          <w:szCs w:val="22"/>
        </w:rPr>
        <w:t xml:space="preserve">Two official labour market time-series datasets from the labour Force Survey (LFS) that were released by the UK Office for National Statistics (ONS) are used in this study. Because of its consistent methodology, huge sample size, and commitment to international statistical standards, the ONS, the national statistics authority of the United Kingdom, is usually considered a trustworthy source of labour market data. The first dataset (series ID: MGTR) shows how many women are employed in the United Kingdom. People 16 years of age and older who worked at least one hour for pay during the reference week or were </w:t>
      </w:r>
      <w:r w:rsidRPr="4464AF51">
        <w:rPr>
          <w:rFonts w:ascii="Calibri" w:eastAsia="Calibri" w:hAnsi="Calibri" w:cs="Calibri"/>
          <w:sz w:val="22"/>
          <w:szCs w:val="22"/>
        </w:rPr>
        <w:lastRenderedPageBreak/>
        <w:t>temporarily unemployed are considered employed. Meaningful comparisons across time are made possible by the data's monthly reporting, seasonal adjustment, and measurement in thousands of people.</w:t>
      </w:r>
    </w:p>
    <w:p w14:paraId="56F4CF0D" w14:textId="418B0E5B" w:rsidR="27153349" w:rsidRDefault="1806048F" w:rsidP="4464AF51">
      <w:pPr>
        <w:rPr>
          <w:rFonts w:ascii="Calibri" w:eastAsia="Calibri" w:hAnsi="Calibri" w:cs="Calibri"/>
          <w:sz w:val="22"/>
          <w:szCs w:val="22"/>
        </w:rPr>
      </w:pPr>
      <w:r w:rsidRPr="4464AF51">
        <w:rPr>
          <w:rFonts w:ascii="Calibri" w:eastAsia="Calibri" w:hAnsi="Calibri" w:cs="Calibri"/>
          <w:sz w:val="22"/>
          <w:szCs w:val="22"/>
        </w:rPr>
        <w:t>The number of jobless women in the UK is reported in the second dataset (series ID: MGSZ). The International Labour Organisation (ILO) defines unemployment as those without a job who actively sought employment over the preceding four weeks and are available to begin work within the following two weeks. These statistics, which span the years 1984 to 2020, are also presented monthly, seasonally adjusted, and expressed in thousands. When combined, these datasets offer complementary indicators of UK labour market outcomes for women. The unemployment series concentrates on those who are actively looking for work, whereas the employment series records total involvement in paid labour.</w:t>
      </w:r>
    </w:p>
    <w:p w14:paraId="7F611FCA" w14:textId="4D37A0C7" w:rsidR="27153349" w:rsidRDefault="0B2CA925" w:rsidP="4464AF51">
      <w:pPr>
        <w:rPr>
          <w:rFonts w:ascii="Calibri" w:eastAsia="Calibri" w:hAnsi="Calibri" w:cs="Calibri"/>
          <w:b/>
          <w:bCs/>
          <w:sz w:val="22"/>
          <w:szCs w:val="22"/>
        </w:rPr>
      </w:pPr>
      <w:r w:rsidRPr="4464AF51">
        <w:rPr>
          <w:rFonts w:ascii="Calibri" w:eastAsia="Calibri" w:hAnsi="Calibri" w:cs="Calibri"/>
          <w:b/>
          <w:bCs/>
          <w:sz w:val="22"/>
          <w:szCs w:val="22"/>
        </w:rPr>
        <w:t xml:space="preserve">An explanation of the additional data used </w:t>
      </w:r>
    </w:p>
    <w:p w14:paraId="760345C1" w14:textId="347CE2E0" w:rsidR="27153349" w:rsidRDefault="0B2CA925" w:rsidP="27153349">
      <w:r w:rsidRPr="4464AF51">
        <w:rPr>
          <w:rFonts w:ascii="Calibri" w:eastAsia="Calibri" w:hAnsi="Calibri" w:cs="Calibri"/>
          <w:sz w:val="22"/>
          <w:szCs w:val="22"/>
        </w:rPr>
        <w:t>This study includes an extra dataset on the male unemployment rate (series ID: MGSY) from the Office for National Statistics (ONS) to expand the analysis of female unemployment. The percentage of economically active males aged 16 and over who are jobless is reported in this series. It is given as a percentage of the male labour force and is recorded at a monthly, seasonally adjusted frequency. Because the dataset is derived from the same ONS Labour Market Statistics framework as the statistics on female unemployment, definitions, methodology, and data dependability are all consistent. Gender gap analysis, which enables comparisons between male and female unemployment outcomes across time, is made possible by the inclusion of male unemployment.</w:t>
      </w:r>
    </w:p>
    <w:p w14:paraId="1880915C" w14:textId="741F0C77" w:rsidR="5A302FBF" w:rsidRDefault="5A302FBF" w:rsidP="4464AF51">
      <w:pPr>
        <w:rPr>
          <w:rFonts w:ascii="Calibri" w:eastAsia="Calibri" w:hAnsi="Calibri" w:cs="Calibri"/>
          <w:b/>
          <w:bCs/>
          <w:sz w:val="22"/>
          <w:szCs w:val="22"/>
        </w:rPr>
      </w:pPr>
      <w:r w:rsidRPr="4464AF51">
        <w:rPr>
          <w:rFonts w:ascii="Calibri" w:eastAsia="Calibri" w:hAnsi="Calibri" w:cs="Calibri"/>
          <w:b/>
          <w:bCs/>
          <w:sz w:val="22"/>
          <w:szCs w:val="22"/>
        </w:rPr>
        <w:t>Descriptive statistics and Graphical summaries</w:t>
      </w:r>
    </w:p>
    <w:p w14:paraId="05D8407A" w14:textId="31862FB6" w:rsidR="0B25CEEB" w:rsidRDefault="0B25CEEB">
      <w:r w:rsidRPr="4464AF51">
        <w:rPr>
          <w:rFonts w:ascii="Calibri" w:eastAsia="Calibri" w:hAnsi="Calibri" w:cs="Calibri"/>
          <w:sz w:val="22"/>
          <w:szCs w:val="22"/>
        </w:rPr>
        <w:t>For the UK's female unemployment rate from 1971 to 2020, descriptive data were computed. The findings demonstrate that the unemployment rate fluctuated significantly over the study period, reflecting shifts in the macroeconomic environment. While lower rates are seen during extended periods of economic expansion, times of high unemployment are associated with recognised economic downturns.</w:t>
      </w:r>
    </w:p>
    <w:p w14:paraId="63178AB0" w14:textId="76599D66" w:rsidR="0B25CEEB" w:rsidRDefault="0B25CEEB" w:rsidP="4464AF51">
      <w:r w:rsidRPr="4464AF51">
        <w:rPr>
          <w:rFonts w:ascii="Calibri" w:eastAsia="Calibri" w:hAnsi="Calibri" w:cs="Calibri"/>
          <w:sz w:val="22"/>
          <w:szCs w:val="22"/>
        </w:rPr>
        <w:t xml:space="preserve">To see long-term patterns, a time-series line graph of the female unemployment rate was created. The graph shows that unemployment was comparatively high in the early 1980s and early 1990s before generally declining in the 2000s. In 2020, a significant rise is noted, coinciding with the COVID-19 pandemic. Changes throughout time may be easily recognised because to the use of a continuous time axis and uniform scale. </w:t>
      </w:r>
    </w:p>
    <w:p w14:paraId="4D7EF16D" w14:textId="0BAB886D" w:rsidR="0B25CEEB" w:rsidRDefault="0B25CEEB" w:rsidP="4464AF51">
      <w:pPr>
        <w:rPr>
          <w:rFonts w:ascii="Calibri" w:eastAsia="Calibri" w:hAnsi="Calibri" w:cs="Calibri"/>
          <w:sz w:val="22"/>
          <w:szCs w:val="22"/>
        </w:rPr>
      </w:pPr>
      <w:r w:rsidRPr="4464AF51">
        <w:rPr>
          <w:rFonts w:ascii="Calibri" w:eastAsia="Calibri" w:hAnsi="Calibri" w:cs="Calibri"/>
          <w:sz w:val="22"/>
          <w:szCs w:val="22"/>
        </w:rPr>
        <w:t>A bar graph comparing the female unemployment rate in 2019 and 2020 was created to easily compare the years of interest. This graphic illustrates the rise in unemployment during the pandemic and offers a clear comparison of the two percentages. To prevent amplification of discrepancies, appropriate axis boundaries and labels were employed.</w:t>
      </w:r>
    </w:p>
    <w:p w14:paraId="2FE95773" w14:textId="73A7DC46" w:rsidR="0B25CEEB" w:rsidRDefault="0B25CEEB" w:rsidP="4464AF51">
      <w:pPr>
        <w:rPr>
          <w:rFonts w:ascii="Calibri" w:eastAsia="Calibri" w:hAnsi="Calibri" w:cs="Calibri"/>
          <w:sz w:val="22"/>
          <w:szCs w:val="22"/>
        </w:rPr>
      </w:pPr>
      <w:r w:rsidRPr="4464AF51">
        <w:rPr>
          <w:rFonts w:ascii="Calibri" w:eastAsia="Calibri" w:hAnsi="Calibri" w:cs="Calibri"/>
          <w:sz w:val="22"/>
          <w:szCs w:val="22"/>
        </w:rPr>
        <w:t xml:space="preserve">Table 1 presents summary information for the female unemployment rate, including the mean, median, minimum, maximum, and standard deviation. When combined, the graphical representations and </w:t>
      </w:r>
      <w:r w:rsidRPr="4464AF51">
        <w:rPr>
          <w:rFonts w:ascii="Calibri" w:eastAsia="Calibri" w:hAnsi="Calibri" w:cs="Calibri"/>
          <w:sz w:val="22"/>
          <w:szCs w:val="22"/>
        </w:rPr>
        <w:lastRenderedPageBreak/>
        <w:t>numerical summaries offer a comprehensive picture of the short-term shocks and long-term patterns influencing female unemployment in the UK.</w:t>
      </w:r>
    </w:p>
    <w:p w14:paraId="0E6496D3" w14:textId="56EB2A0A" w:rsidR="569C9CE3" w:rsidRDefault="569C9CE3" w:rsidP="4464AF51">
      <w:pPr>
        <w:rPr>
          <w:rFonts w:ascii="Calibri" w:eastAsia="Calibri" w:hAnsi="Calibri" w:cs="Calibri"/>
          <w:b/>
          <w:bCs/>
          <w:sz w:val="22"/>
          <w:szCs w:val="22"/>
        </w:rPr>
      </w:pPr>
      <w:r w:rsidRPr="4464AF51">
        <w:rPr>
          <w:rFonts w:ascii="Calibri" w:eastAsia="Calibri" w:hAnsi="Calibri" w:cs="Calibri"/>
          <w:b/>
          <w:bCs/>
          <w:sz w:val="22"/>
          <w:szCs w:val="22"/>
        </w:rPr>
        <w:t>Statistical Methods</w:t>
      </w:r>
    </w:p>
    <w:p w14:paraId="7600014F" w14:textId="28ADC720" w:rsidR="569C9CE3" w:rsidRDefault="569C9CE3" w:rsidP="4464AF51">
      <w:pPr>
        <w:spacing w:before="240" w:after="240"/>
        <w:rPr>
          <w:rFonts w:ascii="Calibri" w:eastAsia="Calibri" w:hAnsi="Calibri" w:cs="Calibri"/>
          <w:sz w:val="22"/>
          <w:szCs w:val="22"/>
        </w:rPr>
      </w:pPr>
      <w:r w:rsidRPr="4464AF51">
        <w:rPr>
          <w:rFonts w:ascii="Calibri" w:eastAsia="Calibri" w:hAnsi="Calibri" w:cs="Calibri"/>
          <w:sz w:val="22"/>
          <w:szCs w:val="22"/>
        </w:rPr>
        <w:t>Two formal hypothesis tests were conducted in this study.</w:t>
      </w:r>
    </w:p>
    <w:p w14:paraId="4C674F6A" w14:textId="1F0F359F" w:rsidR="569C9CE3" w:rsidRDefault="569C9CE3" w:rsidP="4464AF51">
      <w:pPr>
        <w:spacing w:before="240" w:after="240"/>
        <w:rPr>
          <w:rFonts w:ascii="Calibri" w:eastAsia="Calibri" w:hAnsi="Calibri" w:cs="Calibri"/>
          <w:sz w:val="22"/>
          <w:szCs w:val="22"/>
        </w:rPr>
      </w:pPr>
      <w:r w:rsidRPr="4464AF51">
        <w:rPr>
          <w:rFonts w:ascii="Calibri" w:eastAsia="Calibri" w:hAnsi="Calibri" w:cs="Calibri"/>
          <w:sz w:val="22"/>
          <w:szCs w:val="22"/>
        </w:rPr>
        <w:t>Test 1: Difference in female unemployment proportions between 2019 and 2020</w:t>
      </w:r>
    </w:p>
    <w:p w14:paraId="7A20F9EC" w14:textId="27B134F5" w:rsidR="569C9CE3" w:rsidRDefault="569C9CE3">
      <w:r w:rsidRPr="4464AF51">
        <w:rPr>
          <w:rFonts w:ascii="Calibri" w:eastAsia="Calibri" w:hAnsi="Calibri" w:cs="Calibri"/>
          <w:sz w:val="22"/>
          <w:szCs w:val="22"/>
        </w:rPr>
        <w:t>The first hypothesis test looks at whether the percentage of women without jobs changed between 2019 and 2020.</w:t>
      </w:r>
    </w:p>
    <w:p w14:paraId="33BE2BE5" w14:textId="38691E3C" w:rsidR="569C9CE3" w:rsidRDefault="569C9CE3">
      <w:r w:rsidRPr="4464AF51">
        <w:rPr>
          <w:rFonts w:ascii="Calibri" w:eastAsia="Calibri" w:hAnsi="Calibri" w:cs="Calibri"/>
          <w:sz w:val="22"/>
          <w:szCs w:val="22"/>
        </w:rPr>
        <w:t>Null hypothesis (H₀): The percentage of women without jobs in 2019 is the same as the percentage in 2020.</w:t>
      </w:r>
    </w:p>
    <w:p w14:paraId="77459045" w14:textId="32CCB4D6" w:rsidR="569C9CE3" w:rsidRDefault="569C9CE3">
      <w:r w:rsidRPr="4464AF51">
        <w:rPr>
          <w:rFonts w:ascii="Calibri" w:eastAsia="Calibri" w:hAnsi="Calibri" w:cs="Calibri"/>
          <w:sz w:val="22"/>
          <w:szCs w:val="22"/>
        </w:rPr>
        <w:t>Alternative hypothesis (H₁): There is a difference in the percentage of jobless women in 2019 and 2020.</w:t>
      </w:r>
    </w:p>
    <w:p w14:paraId="2D164A91" w14:textId="51A49CB5" w:rsidR="569C9CE3" w:rsidRDefault="569C9CE3">
      <w:r w:rsidRPr="4464AF51">
        <w:rPr>
          <w:rFonts w:ascii="Calibri" w:eastAsia="Calibri" w:hAnsi="Calibri" w:cs="Calibri"/>
          <w:sz w:val="22"/>
          <w:szCs w:val="22"/>
        </w:rPr>
        <w:t>Since the data included unemployment rates in relation to the number of women in the labour force each year, a two-sample percentage test was employed. When comparing proportions from two sizable populations, this test is suitable.</w:t>
      </w:r>
    </w:p>
    <w:p w14:paraId="7E4A569F" w14:textId="00A5C5C6" w:rsidR="569C9CE3" w:rsidRDefault="569C9CE3">
      <w:r w:rsidRPr="4464AF51">
        <w:rPr>
          <w:rFonts w:ascii="Calibri" w:eastAsia="Calibri" w:hAnsi="Calibri" w:cs="Calibri"/>
          <w:sz w:val="22"/>
          <w:szCs w:val="22"/>
        </w:rPr>
        <w:t>The main presumptions are:</w:t>
      </w:r>
    </w:p>
    <w:p w14:paraId="74EC768E" w14:textId="3A599C59" w:rsidR="569C9CE3" w:rsidRDefault="569C9CE3" w:rsidP="4464AF51">
      <w:pPr>
        <w:pStyle w:val="ListParagraph"/>
        <w:numPr>
          <w:ilvl w:val="0"/>
          <w:numId w:val="4"/>
        </w:numPr>
        <w:rPr>
          <w:rFonts w:ascii="Calibri" w:eastAsia="Calibri" w:hAnsi="Calibri" w:cs="Calibri"/>
          <w:sz w:val="22"/>
          <w:szCs w:val="22"/>
        </w:rPr>
      </w:pPr>
      <w:r w:rsidRPr="4464AF51">
        <w:rPr>
          <w:rFonts w:ascii="Calibri" w:eastAsia="Calibri" w:hAnsi="Calibri" w:cs="Calibri"/>
          <w:sz w:val="22"/>
          <w:szCs w:val="22"/>
        </w:rPr>
        <w:t>Across years, observations remain independent.</w:t>
      </w:r>
    </w:p>
    <w:p w14:paraId="5941D50D" w14:textId="0DB99399" w:rsidR="569C9CE3" w:rsidRDefault="569C9CE3" w:rsidP="4464AF51">
      <w:pPr>
        <w:pStyle w:val="ListParagraph"/>
        <w:numPr>
          <w:ilvl w:val="0"/>
          <w:numId w:val="2"/>
        </w:numPr>
        <w:rPr>
          <w:rFonts w:ascii="Calibri" w:eastAsia="Calibri" w:hAnsi="Calibri" w:cs="Calibri"/>
          <w:sz w:val="22"/>
          <w:szCs w:val="22"/>
        </w:rPr>
      </w:pPr>
      <w:r w:rsidRPr="4464AF51">
        <w:rPr>
          <w:rFonts w:ascii="Calibri" w:eastAsia="Calibri" w:hAnsi="Calibri" w:cs="Calibri"/>
          <w:sz w:val="22"/>
          <w:szCs w:val="22"/>
        </w:rPr>
        <w:t>Sample sizes are big enough to support the validity of the normal approximation.</w:t>
      </w:r>
    </w:p>
    <w:p w14:paraId="5B1C3E12" w14:textId="69D0F2A3" w:rsidR="569C9CE3" w:rsidRDefault="569C9CE3" w:rsidP="4464AF51">
      <w:pPr>
        <w:pStyle w:val="ListParagraph"/>
        <w:numPr>
          <w:ilvl w:val="0"/>
          <w:numId w:val="3"/>
        </w:numPr>
        <w:rPr>
          <w:rFonts w:ascii="Calibri" w:eastAsia="Calibri" w:hAnsi="Calibri" w:cs="Calibri"/>
          <w:sz w:val="22"/>
          <w:szCs w:val="22"/>
        </w:rPr>
      </w:pPr>
      <w:r w:rsidRPr="4464AF51">
        <w:rPr>
          <w:rFonts w:ascii="Calibri" w:eastAsia="Calibri" w:hAnsi="Calibri" w:cs="Calibri"/>
          <w:sz w:val="22"/>
          <w:szCs w:val="22"/>
        </w:rPr>
        <w:t>These presumptions make sense given the size of the UK work force.</w:t>
      </w:r>
    </w:p>
    <w:p w14:paraId="4C6BDD0E" w14:textId="29542FFF" w:rsidR="4464AF51" w:rsidRDefault="4464AF51" w:rsidP="4464AF51">
      <w:pPr>
        <w:rPr>
          <w:rFonts w:ascii="Calibri" w:eastAsia="Calibri" w:hAnsi="Calibri" w:cs="Calibri"/>
          <w:sz w:val="22"/>
          <w:szCs w:val="22"/>
        </w:rPr>
      </w:pPr>
    </w:p>
    <w:p w14:paraId="176D7FE2" w14:textId="18086E12" w:rsidR="6B5655BB" w:rsidRDefault="6B5655BB">
      <w:r w:rsidRPr="4464AF51">
        <w:rPr>
          <w:rFonts w:ascii="Calibri" w:eastAsia="Calibri" w:hAnsi="Calibri" w:cs="Calibri"/>
          <w:sz w:val="22"/>
          <w:szCs w:val="22"/>
        </w:rPr>
        <w:t>Test 2: Disparities in unemployment rates by gender</w:t>
      </w:r>
    </w:p>
    <w:p w14:paraId="66E7704E" w14:textId="72D034FC" w:rsidR="6B5655BB" w:rsidRDefault="6B5655BB">
      <w:r w:rsidRPr="4464AF51">
        <w:rPr>
          <w:rFonts w:ascii="Calibri" w:eastAsia="Calibri" w:hAnsi="Calibri" w:cs="Calibri"/>
          <w:sz w:val="22"/>
          <w:szCs w:val="22"/>
        </w:rPr>
        <w:t>To determine if unemployment outcomes varied by gender, a second hypothesis test was carried out using the extra male unemployment rate information.</w:t>
      </w:r>
    </w:p>
    <w:p w14:paraId="4E006811" w14:textId="38EAABD0" w:rsidR="6B5655BB" w:rsidRDefault="6B5655BB">
      <w:r w:rsidRPr="4464AF51">
        <w:rPr>
          <w:rFonts w:ascii="Calibri" w:eastAsia="Calibri" w:hAnsi="Calibri" w:cs="Calibri"/>
          <w:sz w:val="22"/>
          <w:szCs w:val="22"/>
        </w:rPr>
        <w:t>Hypothesis null (H₀):</w:t>
      </w:r>
    </w:p>
    <w:p w14:paraId="3700ABDF" w14:textId="0166724A" w:rsidR="6B5655BB" w:rsidRDefault="6B5655BB">
      <w:r w:rsidRPr="4464AF51">
        <w:rPr>
          <w:rFonts w:ascii="Calibri" w:eastAsia="Calibri" w:hAnsi="Calibri" w:cs="Calibri"/>
          <w:sz w:val="22"/>
          <w:szCs w:val="22"/>
        </w:rPr>
        <w:t>The average unemployment rate for men and women is the same.</w:t>
      </w:r>
    </w:p>
    <w:p w14:paraId="722DF8A1" w14:textId="1E74CFF6" w:rsidR="6B5655BB" w:rsidRDefault="6B5655BB">
      <w:r w:rsidRPr="4464AF51">
        <w:rPr>
          <w:rFonts w:ascii="Calibri" w:eastAsia="Calibri" w:hAnsi="Calibri" w:cs="Calibri"/>
          <w:sz w:val="22"/>
          <w:szCs w:val="22"/>
        </w:rPr>
        <w:t>A different theory (H₁):</w:t>
      </w:r>
    </w:p>
    <w:p w14:paraId="173BC7AA" w14:textId="41759FF6" w:rsidR="6B5655BB" w:rsidRDefault="6B5655BB">
      <w:r w:rsidRPr="4464AF51">
        <w:rPr>
          <w:rFonts w:ascii="Calibri" w:eastAsia="Calibri" w:hAnsi="Calibri" w:cs="Calibri"/>
          <w:sz w:val="22"/>
          <w:szCs w:val="22"/>
        </w:rPr>
        <w:t>Males and females have different mean unemployment rates.</w:t>
      </w:r>
    </w:p>
    <w:p w14:paraId="114BCAAE" w14:textId="117A1EA9" w:rsidR="4464AF51" w:rsidRPr="008868B0" w:rsidRDefault="6B5655BB" w:rsidP="4464AF51">
      <w:r w:rsidRPr="4464AF51">
        <w:rPr>
          <w:rFonts w:ascii="Calibri" w:eastAsia="Calibri" w:hAnsi="Calibri" w:cs="Calibri"/>
          <w:sz w:val="22"/>
          <w:szCs w:val="22"/>
        </w:rPr>
        <w:t>Since the comparison incorporates mean unemployment rates across time, a two-sample t-test was used. The length of the time series and the use of seasonally adjusted data make the assumptions of near normality and independence plausible.</w:t>
      </w:r>
    </w:p>
    <w:p w14:paraId="384B9A68" w14:textId="0C06E119" w:rsidR="00F65E7F" w:rsidRPr="00212216" w:rsidRDefault="00A2727C" w:rsidP="4464AF51">
      <w:pPr>
        <w:rPr>
          <w:rFonts w:ascii="Calibri" w:eastAsia="Calibri" w:hAnsi="Calibri" w:cs="Calibri"/>
          <w:b/>
          <w:bCs/>
          <w:sz w:val="22"/>
          <w:szCs w:val="22"/>
        </w:rPr>
      </w:pPr>
      <w:r w:rsidRPr="00212216">
        <w:rPr>
          <w:rFonts w:ascii="Calibri" w:eastAsia="Calibri" w:hAnsi="Calibri" w:cs="Calibri"/>
          <w:b/>
          <w:bCs/>
          <w:sz w:val="22"/>
          <w:szCs w:val="22"/>
        </w:rPr>
        <w:t>Results and Conclusions</w:t>
      </w:r>
    </w:p>
    <w:p w14:paraId="047D175C" w14:textId="674E0CBD" w:rsidR="6BF263D6" w:rsidRDefault="6BF263D6" w:rsidP="4464AF51">
      <w:pPr>
        <w:rPr>
          <w:rFonts w:ascii="Calibri" w:eastAsia="Calibri" w:hAnsi="Calibri" w:cs="Calibri"/>
          <w:sz w:val="22"/>
          <w:szCs w:val="22"/>
        </w:rPr>
      </w:pPr>
      <w:r w:rsidRPr="4464AF51">
        <w:rPr>
          <w:rFonts w:ascii="Calibri" w:eastAsia="Calibri" w:hAnsi="Calibri" w:cs="Calibri"/>
          <w:sz w:val="22"/>
          <w:szCs w:val="22"/>
        </w:rPr>
        <w:t>A statistically significant result (p-value &lt; 0.05) was obtained from the percentage test comparing female unemployment in 2019 and 2020. This shows that the percentage of unemployed women rose</w:t>
      </w:r>
    </w:p>
    <w:p w14:paraId="2BD990F3" w14:textId="3525CCE0" w:rsidR="6BF263D6" w:rsidRDefault="6BF263D6" w:rsidP="4464AF51">
      <w:pPr>
        <w:rPr>
          <w:rFonts w:ascii="Calibri" w:eastAsia="Calibri" w:hAnsi="Calibri" w:cs="Calibri"/>
          <w:sz w:val="22"/>
          <w:szCs w:val="22"/>
        </w:rPr>
      </w:pPr>
      <w:r w:rsidRPr="4464AF51">
        <w:rPr>
          <w:rFonts w:ascii="Calibri" w:eastAsia="Calibri" w:hAnsi="Calibri" w:cs="Calibri"/>
          <w:sz w:val="22"/>
          <w:szCs w:val="22"/>
        </w:rPr>
        <w:lastRenderedPageBreak/>
        <w:t xml:space="preserve"> dramatically between 2019 and 2020, rejecting the null hypothesis. This outcome is consistent with the graphical summaries and descriptive statistics that demonstrated a definite rise in unemployment during the COVID-19 epidemic.</w:t>
      </w:r>
    </w:p>
    <w:p w14:paraId="72F60E0D" w14:textId="2A25A5C0" w:rsidR="6BF263D6" w:rsidRDefault="6BF263D6" w:rsidP="4464AF51">
      <w:r w:rsidRPr="4464AF51">
        <w:rPr>
          <w:rFonts w:ascii="Calibri" w:eastAsia="Calibri" w:hAnsi="Calibri" w:cs="Calibri"/>
          <w:sz w:val="22"/>
          <w:szCs w:val="22"/>
        </w:rPr>
        <w:t>A statistically significant gender difference was also found in the second hypothesis test comparing the jobless rates of men and women. This implies that over the examined time, male and female unemployment outcomes varied systematically. This result is in line with previous research showing the effects of gender on the employment market, especially during economic downturns.</w:t>
      </w:r>
    </w:p>
    <w:p w14:paraId="12316885" w14:textId="76AA393C" w:rsidR="00C0693F" w:rsidRPr="00C0693F" w:rsidRDefault="00C0693F" w:rsidP="00C0693F">
      <w:pPr>
        <w:rPr>
          <w:rFonts w:ascii="Calibri" w:eastAsia="Calibri" w:hAnsi="Calibri" w:cs="Calibri"/>
          <w:sz w:val="22"/>
          <w:szCs w:val="22"/>
        </w:rPr>
      </w:pPr>
      <w:r w:rsidRPr="00834E25">
        <w:rPr>
          <w:rFonts w:ascii="Calibri" w:eastAsia="Calibri" w:hAnsi="Calibri" w:cs="Calibri"/>
          <w:b/>
          <w:bCs/>
          <w:sz w:val="22"/>
          <w:szCs w:val="22"/>
        </w:rPr>
        <w:t>Findings from Extra Information</w:t>
      </w:r>
      <w:r w:rsidRPr="00C0693F">
        <w:rPr>
          <w:rFonts w:ascii="Calibri" w:eastAsia="Calibri" w:hAnsi="Calibri" w:cs="Calibri"/>
          <w:sz w:val="22"/>
          <w:szCs w:val="22"/>
        </w:rPr>
        <w:br/>
        <w:t>A more comprehensive evaluation of gender disparities in UK labour market outcomes was made possible by the inclusion of male unemployment rate data. The findings show that gender comparisons offer important background and that female unemployment patterns cannot be completely understood in isolation. This demonstrates the value of additional datasets in bolstering scientific findings and influencing policy debates around labour market resilience and gender equality.</w:t>
      </w:r>
    </w:p>
    <w:p w14:paraId="268B8057" w14:textId="7EE5CBB1" w:rsidR="27153349" w:rsidRDefault="27153349" w:rsidP="4464AF51">
      <w:pPr>
        <w:rPr>
          <w:rFonts w:ascii="Calibri" w:eastAsia="Calibri" w:hAnsi="Calibri" w:cs="Calibri"/>
          <w:sz w:val="22"/>
          <w:szCs w:val="22"/>
        </w:rPr>
      </w:pPr>
    </w:p>
    <w:p w14:paraId="4550A099" w14:textId="1A5FC173" w:rsidR="4464AF51" w:rsidRPr="000601D4" w:rsidRDefault="71DBBC20" w:rsidP="4464AF51">
      <w:pPr>
        <w:rPr>
          <w:rFonts w:ascii="Aptos" w:eastAsia="Aptos" w:hAnsi="Aptos" w:cs="Aptos"/>
          <w:b/>
          <w:bCs/>
        </w:rPr>
      </w:pPr>
      <w:r w:rsidRPr="000601D4">
        <w:rPr>
          <w:rFonts w:ascii="Aptos" w:eastAsia="Aptos" w:hAnsi="Aptos" w:cs="Aptos"/>
          <w:b/>
          <w:bCs/>
        </w:rPr>
        <w:t xml:space="preserve">References </w:t>
      </w:r>
    </w:p>
    <w:p w14:paraId="39DEF185" w14:textId="77777777" w:rsidR="004A6872" w:rsidRPr="00A85CE9" w:rsidRDefault="004A6872" w:rsidP="004A6872">
      <w:pPr>
        <w:rPr>
          <w:rFonts w:ascii="Calibri" w:eastAsia="Aptos" w:hAnsi="Calibri" w:cs="Calibri"/>
          <w:sz w:val="22"/>
          <w:szCs w:val="22"/>
        </w:rPr>
      </w:pPr>
      <w:r w:rsidRPr="00A85CE9">
        <w:rPr>
          <w:rFonts w:ascii="Calibri" w:eastAsia="Aptos" w:hAnsi="Calibri" w:cs="Calibri"/>
          <w:sz w:val="22"/>
          <w:szCs w:val="22"/>
        </w:rPr>
        <w:t xml:space="preserve">Alon, T., Doepke, M., Olmstead-Rumsey, J. and </w:t>
      </w:r>
      <w:proofErr w:type="spellStart"/>
      <w:r w:rsidRPr="00A85CE9">
        <w:rPr>
          <w:rFonts w:ascii="Calibri" w:eastAsia="Aptos" w:hAnsi="Calibri" w:cs="Calibri"/>
          <w:sz w:val="22"/>
          <w:szCs w:val="22"/>
        </w:rPr>
        <w:t>Tertilt</w:t>
      </w:r>
      <w:proofErr w:type="spellEnd"/>
      <w:r w:rsidRPr="00A85CE9">
        <w:rPr>
          <w:rFonts w:ascii="Calibri" w:eastAsia="Aptos" w:hAnsi="Calibri" w:cs="Calibri"/>
          <w:sz w:val="22"/>
          <w:szCs w:val="22"/>
        </w:rPr>
        <w:t xml:space="preserve">, M. (2020). </w:t>
      </w:r>
      <w:r w:rsidRPr="00A85CE9">
        <w:rPr>
          <w:rFonts w:ascii="Calibri" w:eastAsia="Aptos" w:hAnsi="Calibri" w:cs="Calibri"/>
          <w:i/>
          <w:iCs/>
          <w:sz w:val="22"/>
          <w:szCs w:val="22"/>
        </w:rPr>
        <w:t>The Impact of COVID-19 on Gender Equality</w:t>
      </w:r>
      <w:r w:rsidRPr="00A85CE9">
        <w:rPr>
          <w:rFonts w:ascii="Calibri" w:eastAsia="Aptos" w:hAnsi="Calibri" w:cs="Calibri"/>
          <w:sz w:val="22"/>
          <w:szCs w:val="22"/>
        </w:rPr>
        <w:t>. [online] National Bureau of Economic Research. Available at: https://www.nber.org/papers/w26947.</w:t>
      </w:r>
    </w:p>
    <w:p w14:paraId="38E43D2E" w14:textId="77777777" w:rsidR="004A6872" w:rsidRPr="00A85CE9" w:rsidRDefault="004A6872" w:rsidP="004A6872">
      <w:pPr>
        <w:rPr>
          <w:rFonts w:ascii="Calibri" w:eastAsia="Aptos" w:hAnsi="Calibri" w:cs="Calibri"/>
          <w:sz w:val="22"/>
          <w:szCs w:val="22"/>
        </w:rPr>
      </w:pPr>
      <w:r w:rsidRPr="00A85CE9">
        <w:rPr>
          <w:rFonts w:ascii="Calibri" w:eastAsia="Aptos" w:hAnsi="Calibri" w:cs="Calibri"/>
          <w:sz w:val="22"/>
          <w:szCs w:val="22"/>
        </w:rPr>
        <w:t xml:space="preserve">Office for National Statistics (2024). </w:t>
      </w:r>
      <w:r w:rsidRPr="00A85CE9">
        <w:rPr>
          <w:rFonts w:ascii="Calibri" w:eastAsia="Aptos" w:hAnsi="Calibri" w:cs="Calibri"/>
          <w:i/>
          <w:iCs/>
          <w:sz w:val="22"/>
          <w:szCs w:val="22"/>
        </w:rPr>
        <w:t>Average Actual Weekly Hours of Work for full-time Workers (seasonally adjusted) - Office for National Statistics</w:t>
      </w:r>
      <w:r w:rsidRPr="00A85CE9">
        <w:rPr>
          <w:rFonts w:ascii="Calibri" w:eastAsia="Aptos" w:hAnsi="Calibri" w:cs="Calibri"/>
          <w:sz w:val="22"/>
          <w:szCs w:val="22"/>
        </w:rPr>
        <w:t>. [online] Ons.gov.uk. Available at: https://www.ons.gov.uk/employmentandlabourmarket/peopleinwork/earningsandworkinghours/timeseries/ybuy/lms.</w:t>
      </w:r>
    </w:p>
    <w:p w14:paraId="270BDA97" w14:textId="77777777" w:rsidR="004A6872" w:rsidRPr="00A85CE9" w:rsidRDefault="004A6872" w:rsidP="004A6872">
      <w:pPr>
        <w:rPr>
          <w:rFonts w:ascii="Calibri" w:eastAsia="Aptos" w:hAnsi="Calibri" w:cs="Calibri"/>
          <w:sz w:val="22"/>
          <w:szCs w:val="22"/>
        </w:rPr>
      </w:pPr>
      <w:r w:rsidRPr="00A85CE9">
        <w:rPr>
          <w:rFonts w:ascii="Calibri" w:eastAsia="Aptos" w:hAnsi="Calibri" w:cs="Calibri"/>
          <w:sz w:val="22"/>
          <w:szCs w:val="22"/>
        </w:rPr>
        <w:t xml:space="preserve">ONS (2019). </w:t>
      </w:r>
      <w:r w:rsidRPr="00A85CE9">
        <w:rPr>
          <w:rFonts w:ascii="Calibri" w:eastAsia="Aptos" w:hAnsi="Calibri" w:cs="Calibri"/>
          <w:i/>
          <w:iCs/>
          <w:sz w:val="22"/>
          <w:szCs w:val="22"/>
        </w:rPr>
        <w:t>Female unemployment rate (aged 16 and over, seasonally adjusted) - Office for National Statistics</w:t>
      </w:r>
      <w:r w:rsidRPr="00A85CE9">
        <w:rPr>
          <w:rFonts w:ascii="Calibri" w:eastAsia="Aptos" w:hAnsi="Calibri" w:cs="Calibri"/>
          <w:sz w:val="22"/>
          <w:szCs w:val="22"/>
        </w:rPr>
        <w:t>. [online] Ons.gov.uk. Available at: https://www.ons.gov.uk/employmentandlabourmarket/peoplenotinwork/unemployment/timeseries/mgsz/lms.</w:t>
      </w:r>
    </w:p>
    <w:p w14:paraId="0CCD9445" w14:textId="77777777" w:rsidR="004A6872" w:rsidRPr="00A85CE9" w:rsidRDefault="004A6872" w:rsidP="004A6872">
      <w:pPr>
        <w:rPr>
          <w:rFonts w:ascii="Calibri" w:eastAsia="Aptos" w:hAnsi="Calibri" w:cs="Calibri"/>
          <w:sz w:val="22"/>
          <w:szCs w:val="22"/>
        </w:rPr>
      </w:pPr>
      <w:r w:rsidRPr="00A85CE9">
        <w:rPr>
          <w:rFonts w:ascii="Calibri" w:eastAsia="Aptos" w:hAnsi="Calibri" w:cs="Calibri"/>
          <w:sz w:val="22"/>
          <w:szCs w:val="22"/>
        </w:rPr>
        <w:t xml:space="preserve">team, L.M. (2025). </w:t>
      </w:r>
      <w:r w:rsidRPr="00A85CE9">
        <w:rPr>
          <w:rFonts w:ascii="Calibri" w:eastAsia="Aptos" w:hAnsi="Calibri" w:cs="Calibri"/>
          <w:i/>
          <w:iCs/>
          <w:sz w:val="22"/>
          <w:szCs w:val="22"/>
        </w:rPr>
        <w:t>Male unemployment rate (aged 16 and over, seasonally adjusted): %</w:t>
      </w:r>
      <w:r w:rsidRPr="00A85CE9">
        <w:rPr>
          <w:rFonts w:ascii="Calibri" w:eastAsia="Aptos" w:hAnsi="Calibri" w:cs="Calibri"/>
          <w:sz w:val="22"/>
          <w:szCs w:val="22"/>
        </w:rPr>
        <w:t>. [online] Ons.gov.uk. Available at: https://www.ons.gov.uk/employmentandlabourmarket/peoplenotinwork/unemployment/timeseries/mgsy/lms?utm_source=chatgpt.com [Accessed 18 Dec. 2025].</w:t>
      </w:r>
    </w:p>
    <w:p w14:paraId="45BDE47F" w14:textId="77777777" w:rsidR="004A6872" w:rsidRPr="00A85CE9" w:rsidRDefault="004A6872" w:rsidP="004A6872">
      <w:pPr>
        <w:rPr>
          <w:rFonts w:ascii="Calibri" w:eastAsia="Aptos" w:hAnsi="Calibri" w:cs="Calibri"/>
          <w:sz w:val="22"/>
          <w:szCs w:val="22"/>
        </w:rPr>
      </w:pPr>
      <w:r w:rsidRPr="00A85CE9">
        <w:rPr>
          <w:rFonts w:ascii="Calibri" w:eastAsia="Aptos" w:hAnsi="Calibri" w:cs="Calibri"/>
          <w:sz w:val="22"/>
          <w:szCs w:val="22"/>
        </w:rPr>
        <w:t xml:space="preserve">www.ons.gov.uk. (n.d.). </w:t>
      </w:r>
      <w:r w:rsidRPr="00A85CE9">
        <w:rPr>
          <w:rFonts w:ascii="Calibri" w:eastAsia="Aptos" w:hAnsi="Calibri" w:cs="Calibri"/>
          <w:i/>
          <w:iCs/>
          <w:sz w:val="22"/>
          <w:szCs w:val="22"/>
        </w:rPr>
        <w:t>LFS: ILO unemployed: UK: Female: Aged 16 and over: Thousands: NSA - Office for National Statistics</w:t>
      </w:r>
      <w:r w:rsidRPr="00A85CE9">
        <w:rPr>
          <w:rFonts w:ascii="Calibri" w:eastAsia="Aptos" w:hAnsi="Calibri" w:cs="Calibri"/>
          <w:sz w:val="22"/>
          <w:szCs w:val="22"/>
        </w:rPr>
        <w:t>. [online] Available at: https://www.ons.gov.uk/employmentandlabourmarket/peopleinwork/employmentandemployeetypes/timeseries/mgtr/lms.</w:t>
      </w:r>
    </w:p>
    <w:p w14:paraId="2A9B149E" w14:textId="77777777" w:rsidR="00E31317" w:rsidRDefault="00E31317" w:rsidP="27153349">
      <w:pPr>
        <w:rPr>
          <w:rFonts w:ascii="Aptos" w:eastAsia="Aptos" w:hAnsi="Aptos" w:cs="Aptos"/>
        </w:rPr>
      </w:pPr>
    </w:p>
    <w:p w14:paraId="752A3C68" w14:textId="77777777" w:rsidR="00E31317" w:rsidRDefault="00E31317" w:rsidP="27153349">
      <w:pPr>
        <w:rPr>
          <w:rFonts w:ascii="Aptos" w:eastAsia="Aptos" w:hAnsi="Aptos" w:cs="Aptos"/>
        </w:rPr>
      </w:pPr>
    </w:p>
    <w:p w14:paraId="007E3788" w14:textId="04992E38" w:rsidR="00796D51" w:rsidRPr="00767E42" w:rsidRDefault="00D66733" w:rsidP="27153349">
      <w:pPr>
        <w:rPr>
          <w:rFonts w:ascii="Aptos" w:eastAsia="Aptos" w:hAnsi="Aptos" w:cs="Aptos"/>
          <w:b/>
          <w:bCs/>
        </w:rPr>
      </w:pPr>
      <w:r w:rsidRPr="00767E42">
        <w:rPr>
          <w:rFonts w:ascii="Aptos" w:eastAsia="Aptos" w:hAnsi="Aptos" w:cs="Aptos"/>
          <w:b/>
          <w:bCs/>
        </w:rPr>
        <w:t xml:space="preserve">Appendix </w:t>
      </w:r>
    </w:p>
    <w:p w14:paraId="1000E1DF" w14:textId="19B308B7" w:rsidR="002728EE" w:rsidRDefault="00A1676A" w:rsidP="27153349">
      <w:pPr>
        <w:rPr>
          <w:rFonts w:ascii="Aptos" w:eastAsia="Aptos" w:hAnsi="Aptos" w:cs="Aptos"/>
          <w:b/>
          <w:bCs/>
        </w:rPr>
      </w:pPr>
      <w:r w:rsidRPr="00A1676A">
        <w:rPr>
          <w:noProof/>
        </w:rPr>
        <w:drawing>
          <wp:inline distT="0" distB="0" distL="0" distR="0" wp14:anchorId="392D6BCC" wp14:editId="55499BCC">
            <wp:extent cx="6165850" cy="4474196"/>
            <wp:effectExtent l="0" t="0" r="6350" b="3175"/>
            <wp:docPr id="1443039641" name="Picture 1">
              <a:extLst xmlns:a="http://schemas.openxmlformats.org/drawingml/2006/main">
                <a:ext uri="{FF2B5EF4-FFF2-40B4-BE49-F238E27FC236}">
                  <a16:creationId xmlns:a16="http://schemas.microsoft.com/office/drawing/2014/main" id="{AAA18271-5E9D-43E6-A24A-449D60AD6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6797" cy="4489396"/>
                    </a:xfrm>
                    <a:prstGeom prst="rect">
                      <a:avLst/>
                    </a:prstGeom>
                    <a:noFill/>
                    <a:ln>
                      <a:noFill/>
                    </a:ln>
                  </pic:spPr>
                </pic:pic>
              </a:graphicData>
            </a:graphic>
          </wp:inline>
        </w:drawing>
      </w:r>
    </w:p>
    <w:p w14:paraId="0E2EBA97" w14:textId="06496B0C" w:rsidR="00EA4E84" w:rsidRDefault="00F74E1E" w:rsidP="27153349">
      <w:pPr>
        <w:rPr>
          <w:rFonts w:ascii="Aptos" w:eastAsia="Aptos" w:hAnsi="Aptos" w:cs="Aptos"/>
          <w:b/>
          <w:bCs/>
        </w:rPr>
      </w:pPr>
      <w:r w:rsidRPr="00F74E1E">
        <w:rPr>
          <w:noProof/>
        </w:rPr>
        <w:lastRenderedPageBreak/>
        <w:drawing>
          <wp:inline distT="0" distB="0" distL="0" distR="0" wp14:anchorId="52804434" wp14:editId="2D88E1CB">
            <wp:extent cx="5251450" cy="6543555"/>
            <wp:effectExtent l="0" t="0" r="6350" b="0"/>
            <wp:docPr id="1036488077" name="Picture 2">
              <a:extLst xmlns:a="http://schemas.openxmlformats.org/drawingml/2006/main">
                <a:ext uri="{FF2B5EF4-FFF2-40B4-BE49-F238E27FC236}">
                  <a16:creationId xmlns:a16="http://schemas.microsoft.com/office/drawing/2014/main" id="{3EED980B-77CC-43F0-89C0-6835F334C8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3317" cy="6558342"/>
                    </a:xfrm>
                    <a:prstGeom prst="rect">
                      <a:avLst/>
                    </a:prstGeom>
                    <a:noFill/>
                    <a:ln>
                      <a:noFill/>
                    </a:ln>
                  </pic:spPr>
                </pic:pic>
              </a:graphicData>
            </a:graphic>
          </wp:inline>
        </w:drawing>
      </w:r>
    </w:p>
    <w:p w14:paraId="24F5B696" w14:textId="644D8D33" w:rsidR="008E1815" w:rsidRDefault="008E1815" w:rsidP="27153349">
      <w:pPr>
        <w:rPr>
          <w:rFonts w:ascii="Aptos" w:eastAsia="Aptos" w:hAnsi="Aptos" w:cs="Aptos"/>
        </w:rPr>
      </w:pPr>
    </w:p>
    <w:sectPr w:rsidR="008E1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0F94"/>
    <w:multiLevelType w:val="hybridMultilevel"/>
    <w:tmpl w:val="FFFFFFFF"/>
    <w:lvl w:ilvl="0" w:tplc="55AE8230">
      <w:start w:val="1"/>
      <w:numFmt w:val="bullet"/>
      <w:lvlText w:val="-"/>
      <w:lvlJc w:val="left"/>
      <w:pPr>
        <w:ind w:left="720" w:hanging="360"/>
      </w:pPr>
      <w:rPr>
        <w:rFonts w:ascii="Aptos" w:hAnsi="Aptos" w:hint="default"/>
      </w:rPr>
    </w:lvl>
    <w:lvl w:ilvl="1" w:tplc="E3C0F954">
      <w:start w:val="1"/>
      <w:numFmt w:val="bullet"/>
      <w:lvlText w:val="o"/>
      <w:lvlJc w:val="left"/>
      <w:pPr>
        <w:ind w:left="1440" w:hanging="360"/>
      </w:pPr>
      <w:rPr>
        <w:rFonts w:ascii="Courier New" w:hAnsi="Courier New" w:hint="default"/>
      </w:rPr>
    </w:lvl>
    <w:lvl w:ilvl="2" w:tplc="B6CAD670">
      <w:start w:val="1"/>
      <w:numFmt w:val="bullet"/>
      <w:lvlText w:val=""/>
      <w:lvlJc w:val="left"/>
      <w:pPr>
        <w:ind w:left="2160" w:hanging="360"/>
      </w:pPr>
      <w:rPr>
        <w:rFonts w:ascii="Wingdings" w:hAnsi="Wingdings" w:hint="default"/>
      </w:rPr>
    </w:lvl>
    <w:lvl w:ilvl="3" w:tplc="1DC67B92">
      <w:start w:val="1"/>
      <w:numFmt w:val="bullet"/>
      <w:lvlText w:val=""/>
      <w:lvlJc w:val="left"/>
      <w:pPr>
        <w:ind w:left="2880" w:hanging="360"/>
      </w:pPr>
      <w:rPr>
        <w:rFonts w:ascii="Symbol" w:hAnsi="Symbol" w:hint="default"/>
      </w:rPr>
    </w:lvl>
    <w:lvl w:ilvl="4" w:tplc="2E82A73A">
      <w:start w:val="1"/>
      <w:numFmt w:val="bullet"/>
      <w:lvlText w:val="o"/>
      <w:lvlJc w:val="left"/>
      <w:pPr>
        <w:ind w:left="3600" w:hanging="360"/>
      </w:pPr>
      <w:rPr>
        <w:rFonts w:ascii="Courier New" w:hAnsi="Courier New" w:hint="default"/>
      </w:rPr>
    </w:lvl>
    <w:lvl w:ilvl="5" w:tplc="CA1665B0">
      <w:start w:val="1"/>
      <w:numFmt w:val="bullet"/>
      <w:lvlText w:val=""/>
      <w:lvlJc w:val="left"/>
      <w:pPr>
        <w:ind w:left="4320" w:hanging="360"/>
      </w:pPr>
      <w:rPr>
        <w:rFonts w:ascii="Wingdings" w:hAnsi="Wingdings" w:hint="default"/>
      </w:rPr>
    </w:lvl>
    <w:lvl w:ilvl="6" w:tplc="76EA5CC4">
      <w:start w:val="1"/>
      <w:numFmt w:val="bullet"/>
      <w:lvlText w:val=""/>
      <w:lvlJc w:val="left"/>
      <w:pPr>
        <w:ind w:left="5040" w:hanging="360"/>
      </w:pPr>
      <w:rPr>
        <w:rFonts w:ascii="Symbol" w:hAnsi="Symbol" w:hint="default"/>
      </w:rPr>
    </w:lvl>
    <w:lvl w:ilvl="7" w:tplc="54A80D46">
      <w:start w:val="1"/>
      <w:numFmt w:val="bullet"/>
      <w:lvlText w:val="o"/>
      <w:lvlJc w:val="left"/>
      <w:pPr>
        <w:ind w:left="5760" w:hanging="360"/>
      </w:pPr>
      <w:rPr>
        <w:rFonts w:ascii="Courier New" w:hAnsi="Courier New" w:hint="default"/>
      </w:rPr>
    </w:lvl>
    <w:lvl w:ilvl="8" w:tplc="91CCBF44">
      <w:start w:val="1"/>
      <w:numFmt w:val="bullet"/>
      <w:lvlText w:val=""/>
      <w:lvlJc w:val="left"/>
      <w:pPr>
        <w:ind w:left="6480" w:hanging="360"/>
      </w:pPr>
      <w:rPr>
        <w:rFonts w:ascii="Wingdings" w:hAnsi="Wingdings" w:hint="default"/>
      </w:rPr>
    </w:lvl>
  </w:abstractNum>
  <w:abstractNum w:abstractNumId="1" w15:restartNumberingAfterBreak="0">
    <w:nsid w:val="127FF709"/>
    <w:multiLevelType w:val="hybridMultilevel"/>
    <w:tmpl w:val="FFFFFFFF"/>
    <w:lvl w:ilvl="0" w:tplc="C44E7A78">
      <w:start w:val="1"/>
      <w:numFmt w:val="bullet"/>
      <w:lvlText w:val="-"/>
      <w:lvlJc w:val="left"/>
      <w:pPr>
        <w:ind w:left="720" w:hanging="360"/>
      </w:pPr>
      <w:rPr>
        <w:rFonts w:ascii="Aptos" w:hAnsi="Aptos" w:hint="default"/>
      </w:rPr>
    </w:lvl>
    <w:lvl w:ilvl="1" w:tplc="DE48075A">
      <w:start w:val="1"/>
      <w:numFmt w:val="bullet"/>
      <w:lvlText w:val="o"/>
      <w:lvlJc w:val="left"/>
      <w:pPr>
        <w:ind w:left="1440" w:hanging="360"/>
      </w:pPr>
      <w:rPr>
        <w:rFonts w:ascii="Courier New" w:hAnsi="Courier New" w:hint="default"/>
      </w:rPr>
    </w:lvl>
    <w:lvl w:ilvl="2" w:tplc="51F80F80">
      <w:start w:val="1"/>
      <w:numFmt w:val="bullet"/>
      <w:lvlText w:val=""/>
      <w:lvlJc w:val="left"/>
      <w:pPr>
        <w:ind w:left="2160" w:hanging="360"/>
      </w:pPr>
      <w:rPr>
        <w:rFonts w:ascii="Wingdings" w:hAnsi="Wingdings" w:hint="default"/>
      </w:rPr>
    </w:lvl>
    <w:lvl w:ilvl="3" w:tplc="DF60EBCE">
      <w:start w:val="1"/>
      <w:numFmt w:val="bullet"/>
      <w:lvlText w:val=""/>
      <w:lvlJc w:val="left"/>
      <w:pPr>
        <w:ind w:left="2880" w:hanging="360"/>
      </w:pPr>
      <w:rPr>
        <w:rFonts w:ascii="Symbol" w:hAnsi="Symbol" w:hint="default"/>
      </w:rPr>
    </w:lvl>
    <w:lvl w:ilvl="4" w:tplc="F67A428A">
      <w:start w:val="1"/>
      <w:numFmt w:val="bullet"/>
      <w:lvlText w:val="o"/>
      <w:lvlJc w:val="left"/>
      <w:pPr>
        <w:ind w:left="3600" w:hanging="360"/>
      </w:pPr>
      <w:rPr>
        <w:rFonts w:ascii="Courier New" w:hAnsi="Courier New" w:hint="default"/>
      </w:rPr>
    </w:lvl>
    <w:lvl w:ilvl="5" w:tplc="10E209B8">
      <w:start w:val="1"/>
      <w:numFmt w:val="bullet"/>
      <w:lvlText w:val=""/>
      <w:lvlJc w:val="left"/>
      <w:pPr>
        <w:ind w:left="4320" w:hanging="360"/>
      </w:pPr>
      <w:rPr>
        <w:rFonts w:ascii="Wingdings" w:hAnsi="Wingdings" w:hint="default"/>
      </w:rPr>
    </w:lvl>
    <w:lvl w:ilvl="6" w:tplc="18C82168">
      <w:start w:val="1"/>
      <w:numFmt w:val="bullet"/>
      <w:lvlText w:val=""/>
      <w:lvlJc w:val="left"/>
      <w:pPr>
        <w:ind w:left="5040" w:hanging="360"/>
      </w:pPr>
      <w:rPr>
        <w:rFonts w:ascii="Symbol" w:hAnsi="Symbol" w:hint="default"/>
      </w:rPr>
    </w:lvl>
    <w:lvl w:ilvl="7" w:tplc="1C58E3A6">
      <w:start w:val="1"/>
      <w:numFmt w:val="bullet"/>
      <w:lvlText w:val="o"/>
      <w:lvlJc w:val="left"/>
      <w:pPr>
        <w:ind w:left="5760" w:hanging="360"/>
      </w:pPr>
      <w:rPr>
        <w:rFonts w:ascii="Courier New" w:hAnsi="Courier New" w:hint="default"/>
      </w:rPr>
    </w:lvl>
    <w:lvl w:ilvl="8" w:tplc="FE269620">
      <w:start w:val="1"/>
      <w:numFmt w:val="bullet"/>
      <w:lvlText w:val=""/>
      <w:lvlJc w:val="left"/>
      <w:pPr>
        <w:ind w:left="6480" w:hanging="360"/>
      </w:pPr>
      <w:rPr>
        <w:rFonts w:ascii="Wingdings" w:hAnsi="Wingdings" w:hint="default"/>
      </w:rPr>
    </w:lvl>
  </w:abstractNum>
  <w:abstractNum w:abstractNumId="2" w15:restartNumberingAfterBreak="0">
    <w:nsid w:val="19FDE4F0"/>
    <w:multiLevelType w:val="hybridMultilevel"/>
    <w:tmpl w:val="FFFFFFFF"/>
    <w:lvl w:ilvl="0" w:tplc="37263A7E">
      <w:start w:val="1"/>
      <w:numFmt w:val="bullet"/>
      <w:lvlText w:val="-"/>
      <w:lvlJc w:val="left"/>
      <w:pPr>
        <w:ind w:left="720" w:hanging="360"/>
      </w:pPr>
      <w:rPr>
        <w:rFonts w:ascii="Aptos" w:hAnsi="Aptos" w:hint="default"/>
      </w:rPr>
    </w:lvl>
    <w:lvl w:ilvl="1" w:tplc="7AA0DB6C">
      <w:start w:val="1"/>
      <w:numFmt w:val="bullet"/>
      <w:lvlText w:val="o"/>
      <w:lvlJc w:val="left"/>
      <w:pPr>
        <w:ind w:left="1440" w:hanging="360"/>
      </w:pPr>
      <w:rPr>
        <w:rFonts w:ascii="Courier New" w:hAnsi="Courier New" w:hint="default"/>
      </w:rPr>
    </w:lvl>
    <w:lvl w:ilvl="2" w:tplc="81C60B2E">
      <w:start w:val="1"/>
      <w:numFmt w:val="bullet"/>
      <w:lvlText w:val=""/>
      <w:lvlJc w:val="left"/>
      <w:pPr>
        <w:ind w:left="2160" w:hanging="360"/>
      </w:pPr>
      <w:rPr>
        <w:rFonts w:ascii="Wingdings" w:hAnsi="Wingdings" w:hint="default"/>
      </w:rPr>
    </w:lvl>
    <w:lvl w:ilvl="3" w:tplc="35184744">
      <w:start w:val="1"/>
      <w:numFmt w:val="bullet"/>
      <w:lvlText w:val=""/>
      <w:lvlJc w:val="left"/>
      <w:pPr>
        <w:ind w:left="2880" w:hanging="360"/>
      </w:pPr>
      <w:rPr>
        <w:rFonts w:ascii="Symbol" w:hAnsi="Symbol" w:hint="default"/>
      </w:rPr>
    </w:lvl>
    <w:lvl w:ilvl="4" w:tplc="70525B72">
      <w:start w:val="1"/>
      <w:numFmt w:val="bullet"/>
      <w:lvlText w:val="o"/>
      <w:lvlJc w:val="left"/>
      <w:pPr>
        <w:ind w:left="3600" w:hanging="360"/>
      </w:pPr>
      <w:rPr>
        <w:rFonts w:ascii="Courier New" w:hAnsi="Courier New" w:hint="default"/>
      </w:rPr>
    </w:lvl>
    <w:lvl w:ilvl="5" w:tplc="880C9D72">
      <w:start w:val="1"/>
      <w:numFmt w:val="bullet"/>
      <w:lvlText w:val=""/>
      <w:lvlJc w:val="left"/>
      <w:pPr>
        <w:ind w:left="4320" w:hanging="360"/>
      </w:pPr>
      <w:rPr>
        <w:rFonts w:ascii="Wingdings" w:hAnsi="Wingdings" w:hint="default"/>
      </w:rPr>
    </w:lvl>
    <w:lvl w:ilvl="6" w:tplc="C6D45808">
      <w:start w:val="1"/>
      <w:numFmt w:val="bullet"/>
      <w:lvlText w:val=""/>
      <w:lvlJc w:val="left"/>
      <w:pPr>
        <w:ind w:left="5040" w:hanging="360"/>
      </w:pPr>
      <w:rPr>
        <w:rFonts w:ascii="Symbol" w:hAnsi="Symbol" w:hint="default"/>
      </w:rPr>
    </w:lvl>
    <w:lvl w:ilvl="7" w:tplc="BF4EBF46">
      <w:start w:val="1"/>
      <w:numFmt w:val="bullet"/>
      <w:lvlText w:val="o"/>
      <w:lvlJc w:val="left"/>
      <w:pPr>
        <w:ind w:left="5760" w:hanging="360"/>
      </w:pPr>
      <w:rPr>
        <w:rFonts w:ascii="Courier New" w:hAnsi="Courier New" w:hint="default"/>
      </w:rPr>
    </w:lvl>
    <w:lvl w:ilvl="8" w:tplc="55B69712">
      <w:start w:val="1"/>
      <w:numFmt w:val="bullet"/>
      <w:lvlText w:val=""/>
      <w:lvlJc w:val="left"/>
      <w:pPr>
        <w:ind w:left="6480" w:hanging="360"/>
      </w:pPr>
      <w:rPr>
        <w:rFonts w:ascii="Wingdings" w:hAnsi="Wingdings" w:hint="default"/>
      </w:rPr>
    </w:lvl>
  </w:abstractNum>
  <w:abstractNum w:abstractNumId="3" w15:restartNumberingAfterBreak="0">
    <w:nsid w:val="1A80CE22"/>
    <w:multiLevelType w:val="hybridMultilevel"/>
    <w:tmpl w:val="FFFFFFFF"/>
    <w:lvl w:ilvl="0" w:tplc="62445B92">
      <w:start w:val="1"/>
      <w:numFmt w:val="bullet"/>
      <w:lvlText w:val="-"/>
      <w:lvlJc w:val="left"/>
      <w:pPr>
        <w:ind w:left="720" w:hanging="360"/>
      </w:pPr>
      <w:rPr>
        <w:rFonts w:ascii="Aptos" w:hAnsi="Aptos" w:hint="default"/>
      </w:rPr>
    </w:lvl>
    <w:lvl w:ilvl="1" w:tplc="7408E314">
      <w:start w:val="1"/>
      <w:numFmt w:val="bullet"/>
      <w:lvlText w:val="o"/>
      <w:lvlJc w:val="left"/>
      <w:pPr>
        <w:ind w:left="1440" w:hanging="360"/>
      </w:pPr>
      <w:rPr>
        <w:rFonts w:ascii="Courier New" w:hAnsi="Courier New" w:hint="default"/>
      </w:rPr>
    </w:lvl>
    <w:lvl w:ilvl="2" w:tplc="1FB240DA">
      <w:start w:val="1"/>
      <w:numFmt w:val="bullet"/>
      <w:lvlText w:val=""/>
      <w:lvlJc w:val="left"/>
      <w:pPr>
        <w:ind w:left="2160" w:hanging="360"/>
      </w:pPr>
      <w:rPr>
        <w:rFonts w:ascii="Wingdings" w:hAnsi="Wingdings" w:hint="default"/>
      </w:rPr>
    </w:lvl>
    <w:lvl w:ilvl="3" w:tplc="502ACD68">
      <w:start w:val="1"/>
      <w:numFmt w:val="bullet"/>
      <w:lvlText w:val=""/>
      <w:lvlJc w:val="left"/>
      <w:pPr>
        <w:ind w:left="2880" w:hanging="360"/>
      </w:pPr>
      <w:rPr>
        <w:rFonts w:ascii="Symbol" w:hAnsi="Symbol" w:hint="default"/>
      </w:rPr>
    </w:lvl>
    <w:lvl w:ilvl="4" w:tplc="893E9818">
      <w:start w:val="1"/>
      <w:numFmt w:val="bullet"/>
      <w:lvlText w:val="o"/>
      <w:lvlJc w:val="left"/>
      <w:pPr>
        <w:ind w:left="3600" w:hanging="360"/>
      </w:pPr>
      <w:rPr>
        <w:rFonts w:ascii="Courier New" w:hAnsi="Courier New" w:hint="default"/>
      </w:rPr>
    </w:lvl>
    <w:lvl w:ilvl="5" w:tplc="4DAC4EC2">
      <w:start w:val="1"/>
      <w:numFmt w:val="bullet"/>
      <w:lvlText w:val=""/>
      <w:lvlJc w:val="left"/>
      <w:pPr>
        <w:ind w:left="4320" w:hanging="360"/>
      </w:pPr>
      <w:rPr>
        <w:rFonts w:ascii="Wingdings" w:hAnsi="Wingdings" w:hint="default"/>
      </w:rPr>
    </w:lvl>
    <w:lvl w:ilvl="6" w:tplc="E5F2F77C">
      <w:start w:val="1"/>
      <w:numFmt w:val="bullet"/>
      <w:lvlText w:val=""/>
      <w:lvlJc w:val="left"/>
      <w:pPr>
        <w:ind w:left="5040" w:hanging="360"/>
      </w:pPr>
      <w:rPr>
        <w:rFonts w:ascii="Symbol" w:hAnsi="Symbol" w:hint="default"/>
      </w:rPr>
    </w:lvl>
    <w:lvl w:ilvl="7" w:tplc="D6BA2106">
      <w:start w:val="1"/>
      <w:numFmt w:val="bullet"/>
      <w:lvlText w:val="o"/>
      <w:lvlJc w:val="left"/>
      <w:pPr>
        <w:ind w:left="5760" w:hanging="360"/>
      </w:pPr>
      <w:rPr>
        <w:rFonts w:ascii="Courier New" w:hAnsi="Courier New" w:hint="default"/>
      </w:rPr>
    </w:lvl>
    <w:lvl w:ilvl="8" w:tplc="4F8C0F22">
      <w:start w:val="1"/>
      <w:numFmt w:val="bullet"/>
      <w:lvlText w:val=""/>
      <w:lvlJc w:val="left"/>
      <w:pPr>
        <w:ind w:left="6480" w:hanging="360"/>
      </w:pPr>
      <w:rPr>
        <w:rFonts w:ascii="Wingdings" w:hAnsi="Wingdings" w:hint="default"/>
      </w:rPr>
    </w:lvl>
  </w:abstractNum>
  <w:num w:numId="1" w16cid:durableId="1146897072">
    <w:abstractNumId w:val="2"/>
  </w:num>
  <w:num w:numId="2" w16cid:durableId="1598174592">
    <w:abstractNumId w:val="1"/>
  </w:num>
  <w:num w:numId="3" w16cid:durableId="1775058352">
    <w:abstractNumId w:val="3"/>
  </w:num>
  <w:num w:numId="4" w16cid:durableId="53149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4B2955"/>
    <w:rsid w:val="00025010"/>
    <w:rsid w:val="000601D4"/>
    <w:rsid w:val="00087D45"/>
    <w:rsid w:val="00097A12"/>
    <w:rsid w:val="000A4E4B"/>
    <w:rsid w:val="000B6C95"/>
    <w:rsid w:val="001877D6"/>
    <w:rsid w:val="001F43C2"/>
    <w:rsid w:val="00212216"/>
    <w:rsid w:val="00234CC3"/>
    <w:rsid w:val="002478F2"/>
    <w:rsid w:val="002728EE"/>
    <w:rsid w:val="002738C4"/>
    <w:rsid w:val="00276FB4"/>
    <w:rsid w:val="002D158D"/>
    <w:rsid w:val="002D4156"/>
    <w:rsid w:val="00323B08"/>
    <w:rsid w:val="00424497"/>
    <w:rsid w:val="0043116D"/>
    <w:rsid w:val="00471FBD"/>
    <w:rsid w:val="00475133"/>
    <w:rsid w:val="004A10C9"/>
    <w:rsid w:val="004A503F"/>
    <w:rsid w:val="004A6872"/>
    <w:rsid w:val="004C6138"/>
    <w:rsid w:val="005B2389"/>
    <w:rsid w:val="005C2065"/>
    <w:rsid w:val="005C305A"/>
    <w:rsid w:val="00611191"/>
    <w:rsid w:val="00611944"/>
    <w:rsid w:val="00623761"/>
    <w:rsid w:val="00677BA9"/>
    <w:rsid w:val="006A67FB"/>
    <w:rsid w:val="006B3AB0"/>
    <w:rsid w:val="006E1825"/>
    <w:rsid w:val="006F230E"/>
    <w:rsid w:val="007168CF"/>
    <w:rsid w:val="00767E42"/>
    <w:rsid w:val="00777396"/>
    <w:rsid w:val="00780604"/>
    <w:rsid w:val="00796D51"/>
    <w:rsid w:val="007F6C90"/>
    <w:rsid w:val="00821EA3"/>
    <w:rsid w:val="00834E25"/>
    <w:rsid w:val="00861B25"/>
    <w:rsid w:val="008868B0"/>
    <w:rsid w:val="008A65D3"/>
    <w:rsid w:val="008D8C6D"/>
    <w:rsid w:val="008E1815"/>
    <w:rsid w:val="008F67DB"/>
    <w:rsid w:val="0092679B"/>
    <w:rsid w:val="00951B62"/>
    <w:rsid w:val="00A1676A"/>
    <w:rsid w:val="00A2727C"/>
    <w:rsid w:val="00A41F43"/>
    <w:rsid w:val="00A85CE9"/>
    <w:rsid w:val="00B15E5B"/>
    <w:rsid w:val="00B96683"/>
    <w:rsid w:val="00BD37E6"/>
    <w:rsid w:val="00C0693F"/>
    <w:rsid w:val="00CB65A7"/>
    <w:rsid w:val="00D22679"/>
    <w:rsid w:val="00D30F50"/>
    <w:rsid w:val="00D66733"/>
    <w:rsid w:val="00D90D32"/>
    <w:rsid w:val="00DB5425"/>
    <w:rsid w:val="00DC530C"/>
    <w:rsid w:val="00E23628"/>
    <w:rsid w:val="00E31317"/>
    <w:rsid w:val="00E643E9"/>
    <w:rsid w:val="00E81F3A"/>
    <w:rsid w:val="00E92168"/>
    <w:rsid w:val="00EA4E84"/>
    <w:rsid w:val="00EA6347"/>
    <w:rsid w:val="00F46CE4"/>
    <w:rsid w:val="00F5439F"/>
    <w:rsid w:val="00F60B5A"/>
    <w:rsid w:val="00F65E7F"/>
    <w:rsid w:val="00F74E1E"/>
    <w:rsid w:val="00F91234"/>
    <w:rsid w:val="00FA1AE6"/>
    <w:rsid w:val="00FA7054"/>
    <w:rsid w:val="00FF6B94"/>
    <w:rsid w:val="01D39904"/>
    <w:rsid w:val="01E6210D"/>
    <w:rsid w:val="02DDC43A"/>
    <w:rsid w:val="03E6F4D9"/>
    <w:rsid w:val="044CC77B"/>
    <w:rsid w:val="06E7801C"/>
    <w:rsid w:val="07AEF9F4"/>
    <w:rsid w:val="094492FD"/>
    <w:rsid w:val="0AF6B468"/>
    <w:rsid w:val="0B25CEEB"/>
    <w:rsid w:val="0B2CA925"/>
    <w:rsid w:val="0B5E40C3"/>
    <w:rsid w:val="0DA0331F"/>
    <w:rsid w:val="0F75089F"/>
    <w:rsid w:val="101E35A6"/>
    <w:rsid w:val="10EDA9CE"/>
    <w:rsid w:val="1806048F"/>
    <w:rsid w:val="1827F17C"/>
    <w:rsid w:val="184B2758"/>
    <w:rsid w:val="18CCD3C4"/>
    <w:rsid w:val="195E20BA"/>
    <w:rsid w:val="1BB99BB8"/>
    <w:rsid w:val="1C2410EF"/>
    <w:rsid w:val="1C4FACCF"/>
    <w:rsid w:val="1D16A9B5"/>
    <w:rsid w:val="1D64C9D9"/>
    <w:rsid w:val="1D8182DD"/>
    <w:rsid w:val="1E743AE5"/>
    <w:rsid w:val="219D7AFF"/>
    <w:rsid w:val="22A3872E"/>
    <w:rsid w:val="23921AF3"/>
    <w:rsid w:val="239F9D9C"/>
    <w:rsid w:val="244F354A"/>
    <w:rsid w:val="247DC54A"/>
    <w:rsid w:val="25343492"/>
    <w:rsid w:val="26066CBC"/>
    <w:rsid w:val="27153349"/>
    <w:rsid w:val="276BFDC0"/>
    <w:rsid w:val="27D30531"/>
    <w:rsid w:val="28799AE2"/>
    <w:rsid w:val="29FAAB08"/>
    <w:rsid w:val="2A47D302"/>
    <w:rsid w:val="2A6F5E86"/>
    <w:rsid w:val="2B33C722"/>
    <w:rsid w:val="2B5A4A50"/>
    <w:rsid w:val="2BB50229"/>
    <w:rsid w:val="2BDD1F5C"/>
    <w:rsid w:val="2CEEF43D"/>
    <w:rsid w:val="2DCCC117"/>
    <w:rsid w:val="2E2FF0FF"/>
    <w:rsid w:val="2F85EBA0"/>
    <w:rsid w:val="30B5AF75"/>
    <w:rsid w:val="352D6C43"/>
    <w:rsid w:val="35A5BC62"/>
    <w:rsid w:val="3A3373DD"/>
    <w:rsid w:val="3A82BF5A"/>
    <w:rsid w:val="3B7E7411"/>
    <w:rsid w:val="3C0DAA2B"/>
    <w:rsid w:val="3D77C85C"/>
    <w:rsid w:val="3F4785C9"/>
    <w:rsid w:val="408FF0F2"/>
    <w:rsid w:val="421FC827"/>
    <w:rsid w:val="42B0D2E1"/>
    <w:rsid w:val="43313527"/>
    <w:rsid w:val="43DD8B40"/>
    <w:rsid w:val="4464AF51"/>
    <w:rsid w:val="447B30F1"/>
    <w:rsid w:val="452139B0"/>
    <w:rsid w:val="46535630"/>
    <w:rsid w:val="46FCF917"/>
    <w:rsid w:val="47C73C29"/>
    <w:rsid w:val="49CF1A89"/>
    <w:rsid w:val="4BFAEF90"/>
    <w:rsid w:val="4CD557F8"/>
    <w:rsid w:val="4E53E3A6"/>
    <w:rsid w:val="4E5BD4F0"/>
    <w:rsid w:val="4E6D0F31"/>
    <w:rsid w:val="4EE0DA41"/>
    <w:rsid w:val="4EECE512"/>
    <w:rsid w:val="52D15A81"/>
    <w:rsid w:val="562C5904"/>
    <w:rsid w:val="569C9CE3"/>
    <w:rsid w:val="5A302FBF"/>
    <w:rsid w:val="5A933062"/>
    <w:rsid w:val="5CA74FD5"/>
    <w:rsid w:val="5D7E9183"/>
    <w:rsid w:val="5FA5BD6E"/>
    <w:rsid w:val="5FF68027"/>
    <w:rsid w:val="605AF36F"/>
    <w:rsid w:val="6592BEFF"/>
    <w:rsid w:val="67D456DF"/>
    <w:rsid w:val="682CFBE7"/>
    <w:rsid w:val="69134D00"/>
    <w:rsid w:val="69BFB0B9"/>
    <w:rsid w:val="69D058F0"/>
    <w:rsid w:val="6B52098A"/>
    <w:rsid w:val="6B5655BB"/>
    <w:rsid w:val="6BE189E8"/>
    <w:rsid w:val="6BF263D6"/>
    <w:rsid w:val="6CB7BFDA"/>
    <w:rsid w:val="6D8DAB84"/>
    <w:rsid w:val="6ECB4346"/>
    <w:rsid w:val="6F99D8C6"/>
    <w:rsid w:val="6FCF4E10"/>
    <w:rsid w:val="70A3C85B"/>
    <w:rsid w:val="71DBBC20"/>
    <w:rsid w:val="72C76238"/>
    <w:rsid w:val="74660D91"/>
    <w:rsid w:val="74A0335D"/>
    <w:rsid w:val="74EEAD26"/>
    <w:rsid w:val="76ADD038"/>
    <w:rsid w:val="76C99B32"/>
    <w:rsid w:val="77062A05"/>
    <w:rsid w:val="799D39AB"/>
    <w:rsid w:val="7B34C8CE"/>
    <w:rsid w:val="7B4B2955"/>
    <w:rsid w:val="7BA3F7CE"/>
    <w:rsid w:val="7BB4FEFD"/>
    <w:rsid w:val="7F2A0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2955"/>
  <w15:chartTrackingRefBased/>
  <w15:docId w15:val="{625FA310-3F51-40FF-A6BE-6424BFACE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7153349"/>
    <w:rPr>
      <w:lang w:val="en-GB"/>
    </w:rPr>
  </w:style>
  <w:style w:type="paragraph" w:styleId="Heading1">
    <w:name w:val="heading 1"/>
    <w:basedOn w:val="Normal"/>
    <w:next w:val="Normal"/>
    <w:link w:val="Heading1Char"/>
    <w:uiPriority w:val="9"/>
    <w:qFormat/>
    <w:rsid w:val="27153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7153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27153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27153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27153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27153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27153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27153349"/>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27153349"/>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27153349"/>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27153349"/>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27153349"/>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27153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7153349"/>
    <w:pPr>
      <w:ind w:left="720"/>
      <w:contextualSpacing/>
    </w:pPr>
  </w:style>
  <w:style w:type="character" w:styleId="Hyperlink">
    <w:name w:val="Hyperlink"/>
    <w:basedOn w:val="DefaultParagraphFont"/>
    <w:uiPriority w:val="99"/>
    <w:unhideWhenUsed/>
    <w:rsid w:val="2715334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1542</Words>
  <Characters>8792</Characters>
  <Application>Microsoft Office Word</Application>
  <DocSecurity>0</DocSecurity>
  <Lines>73</Lines>
  <Paragraphs>20</Paragraphs>
  <ScaleCrop>false</ScaleCrop>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harriet mensah</dc:creator>
  <cp:keywords/>
  <dc:description/>
  <cp:lastModifiedBy>harriet mensah</cp:lastModifiedBy>
  <cp:revision>2</cp:revision>
  <dcterms:created xsi:type="dcterms:W3CDTF">2026-01-30T19:43:00Z</dcterms:created>
  <dcterms:modified xsi:type="dcterms:W3CDTF">2026-01-30T19:43:00Z</dcterms:modified>
</cp:coreProperties>
</file>