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77AC01">
      <w:pPr>
        <w:spacing w:before="120" w:after="40"/>
        <w:jc w:val="center"/>
      </w:pPr>
      <w:r>
        <w:rPr>
          <w:rFonts w:ascii="Georgia" w:hAnsi="Georgia" w:cs="Georgia"/>
          <w:color w:val="101010"/>
          <w:sz w:val="44"/>
          <w:szCs w:val="44"/>
        </w:rPr>
        <w:t xml:space="preserve">ACP-Eigenbluttherapie &amp; </w:t>
      </w:r>
      <w:r>
        <w:rPr>
          <w:rFonts w:ascii="Georgia" w:hAnsi="Georgia" w:cs="Georgia"/>
          <w:color w:val="B8952A"/>
          <w:sz w:val="44"/>
          <w:szCs w:val="44"/>
        </w:rPr>
        <w:t>Hyaluronsäure</w:t>
      </w:r>
    </w:p>
    <w:p w14:paraId="0077AC02">
      <w:pPr>
        <w:spacing w:before="0" w:after="40"/>
        <w:jc w:val="center"/>
      </w:pPr>
      <w:r>
        <w:rPr>
          <w:rFonts w:ascii="Calibri" w:hAnsi="Calibri" w:cs="Calibri"/>
          <w:color w:val="9A7B2F"/>
          <w:spacing w:val="80"/>
          <w:sz w:val="20"/>
          <w:szCs w:val="20"/>
        </w:rPr>
        <w:t>ACP – Autologes Konditioniertes Plasma</w:t>
      </w:r>
    </w:p>
    <w:p w14:paraId="0077AC03">
      <w:pPr>
        <w:spacing w:before="0" w:after="60"/>
        <w:jc w:val="center"/>
      </w:pPr>
      <w:r>
        <w:rPr>
          <w:rFonts w:ascii="Calibri" w:hAnsi="Calibri" w:cs="Calibri"/>
          <w:color w:val="auto"/>
          <w:spacing w:val="60"/>
          <w:sz w:val="24"/>
          <w:szCs w:val="24"/>
        </w:rPr>
        <w:t>Aus Ihrem eigenen Blut  ·  Biologisch regenerativ  ·  Nichtinvasiv</w:t>
      </w:r>
    </w:p>
    <w:p w14:paraId="481BAC01">
      <w:pPr>
        <w:pBdr>
          <w:bottom w:val="single" w:color="DDD8CC" w:sz="2" w:space="1"/>
        </w:pBdr>
        <w:spacing w:before="0" w:after="0"/>
      </w:pPr>
    </w:p>
    <w:p w14:paraId="50FFAC01">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 sehr geehrter Patient,</w:t>
      </w:r>
    </w:p>
    <w:p w14:paraId="2869AC01">
      <w:pPr>
        <w:pStyle w:val="17"/>
        <w:spacing w:after="60"/>
        <w:ind w:right="323" w:rightChars="154"/>
        <w:jc w:val="both"/>
        <w:rPr>
          <w:rFonts w:hint="default"/>
          <w:lang w:val="de-DE"/>
        </w:rPr>
      </w:pPr>
      <w:r>
        <w:t>Die Natur hat dem menschlichen Körper bemerkenswerte Selbstheilungskräfte mitgegeben. ACP – die Eigenbluttherapie mit autologem konditioniertem Plasma – macht genau diese Kräfte gezielt nutzbar. Aus einer kleinen Menge Ihres eigenen Blutes wird ein hochkonzentriertes Plasma gewonnen, das in Kombination mit Hyaluronsäure direkt ins Gelenk injiziert wird. Das Ergebnis: weniger Schmerz, mehr Beweglichkeit, geschützter Knorpel</w:t>
      </w:r>
      <w:r>
        <w:rPr>
          <w:rFonts w:hint="default"/>
          <w:lang w:val="de-DE"/>
        </w:rPr>
        <w:t>.</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DAAA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45C4AC01">
            <w:pPr>
              <w:spacing w:before="0" w:after="60"/>
            </w:pPr>
            <w:r>
              <w:rPr>
                <w:rFonts w:ascii="Times New Roman" w:hAnsi="Times New Roman" w:cs="Times New Roman"/>
                <w:b/>
                <w:bCs/>
                <w:color w:val="1C1C1C"/>
                <w:sz w:val="26"/>
                <w:szCs w:val="26"/>
              </w:rPr>
              <w:t>Was ist ACP – und wie wirkt es auf Zellebene?</w:t>
            </w:r>
          </w:p>
          <w:p w14:paraId="2DD3F732">
            <w:pPr>
              <w:spacing w:before="0" w:after="0"/>
              <w:jc w:val="both"/>
              <w:rPr>
                <w:b w:val="0"/>
                <w:bCs w:val="0"/>
                <w:sz w:val="24"/>
                <w:szCs w:val="24"/>
              </w:rPr>
            </w:pPr>
            <w:r>
              <w:rPr>
                <w:b w:val="0"/>
                <w:bCs w:val="0"/>
                <w:sz w:val="24"/>
                <w:szCs w:val="24"/>
              </w:rPr>
              <w:t>ACP ist eine Form des thrombozytenreichen Plasmas (PRP), die durch ein spezielles Zentrifugationsverfahren aus dem eigenen Blut gewonnen wird. Der entscheidende Vorteil liegt in der speziellen Aufbereitung des Plasmas: Es wird leukozytenarm gewonnen – also mit deutlich weniger weißen Blutkörperchen, die Entzündungsreaktionen fördern können. Gleichzeitig enthält es eine hohe Konzentration wertvoller Wachstumsfaktoren. Diese biologischen Signalstoffe unterstützen gezielt die Knorpelzellen, regen die Bildung von Kollagen an, reduzieren entzündliche Prozesse im Gelenk und können den weiteren Knorpelabbau verlangsamen.</w:t>
            </w:r>
          </w:p>
          <w:p w14:paraId="1615B1FC">
            <w:pPr>
              <w:spacing w:before="0" w:after="0"/>
              <w:jc w:val="both"/>
              <w:rPr>
                <w:b w:val="0"/>
                <w:bCs w:val="0"/>
                <w:sz w:val="24"/>
                <w:szCs w:val="24"/>
              </w:rPr>
            </w:pPr>
          </w:p>
          <w:p w14:paraId="4631AC02">
            <w:pPr>
              <w:spacing w:before="0" w:after="0"/>
              <w:jc w:val="both"/>
            </w:pPr>
            <w:r>
              <w:rPr>
                <w:b w:val="0"/>
                <w:bCs w:val="0"/>
                <w:sz w:val="24"/>
                <w:szCs w:val="24"/>
              </w:rPr>
              <w:t>Da ACP aus Ihrem eigenen Blut gewonnen wird, sind allergische Reaktionen oder Unverträglichkeiten nahezu ausgeschlossen. Die Kombination mit Hyaluronsäure verstärkt die Wirkung zusätzlich: Während ACP die Regeneration biologisch anstößt, stellt Hyaluronsäure die Gelenksschmiere wieder her und schafft das ideale mechanische Milieu für die Heilung.</w:t>
            </w:r>
          </w:p>
        </w:tc>
      </w:tr>
    </w:tbl>
    <w:p w14:paraId="13DEAC01">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51"/>
        <w:gridCol w:w="240"/>
        <w:gridCol w:w="5013"/>
      </w:tblGrid>
      <w:tr w14:paraId="1662AC01">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5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6E70AC01">
            <w:pPr>
              <w:pBdr>
                <w:bottom w:val="single" w:color="D8C990" w:sz="2" w:space="2"/>
              </w:pBdr>
              <w:spacing w:before="0" w:after="80"/>
            </w:pPr>
            <w:r>
              <w:rPr>
                <w:rFonts w:ascii="Georgia" w:hAnsi="Georgia" w:cs="Georgia"/>
                <w:b/>
                <w:bCs/>
                <w:caps/>
                <w:color w:val="9A7B2F"/>
                <w:spacing w:val="60"/>
                <w:sz w:val="22"/>
                <w:szCs w:val="22"/>
              </w:rPr>
              <w:t>Ihre Vorteile</w:t>
            </w:r>
          </w:p>
          <w:p w14:paraId="1960AC01">
            <w:pPr>
              <w:pStyle w:val="19"/>
              <w:numPr>
                <w:ilvl w:val="0"/>
                <w:numId w:val="1"/>
              </w:numPr>
              <w:spacing w:before="30" w:after="30"/>
            </w:pPr>
            <w:r>
              <w:rPr>
                <w:rFonts w:ascii="Times New Roman" w:hAnsi="Times New Roman" w:cs="Times New Roman"/>
                <w:color w:val="1C1C1C"/>
                <w:sz w:val="24"/>
                <w:szCs w:val="24"/>
              </w:rPr>
              <w:t>100 % körpereigen – kein Fremdmaterial</w:t>
            </w:r>
          </w:p>
          <w:p w14:paraId="1960AC02">
            <w:pPr>
              <w:pStyle w:val="19"/>
              <w:numPr>
                <w:ilvl w:val="0"/>
                <w:numId w:val="1"/>
              </w:numPr>
              <w:spacing w:before="30" w:after="30"/>
            </w:pPr>
            <w:r>
              <w:rPr>
                <w:rFonts w:hint="default" w:cs="Times New Roman"/>
                <w:color w:val="1C1C1C"/>
                <w:sz w:val="24"/>
                <w:szCs w:val="24"/>
                <w:lang w:val="de-DE"/>
              </w:rPr>
              <w:t>O</w:t>
            </w:r>
            <w:r>
              <w:rPr>
                <w:rFonts w:ascii="Times New Roman" w:hAnsi="Times New Roman" w:cs="Times New Roman"/>
                <w:color w:val="1C1C1C"/>
                <w:sz w:val="24"/>
                <w:szCs w:val="24"/>
              </w:rPr>
              <w:t>ptimal verträglich</w:t>
            </w:r>
          </w:p>
          <w:p w14:paraId="1960AC03">
            <w:pPr>
              <w:pStyle w:val="19"/>
              <w:numPr>
                <w:ilvl w:val="0"/>
                <w:numId w:val="1"/>
              </w:numPr>
              <w:spacing w:before="30" w:after="30"/>
            </w:pPr>
            <w:r>
              <w:rPr>
                <w:rFonts w:ascii="Times New Roman" w:hAnsi="Times New Roman" w:cs="Times New Roman"/>
                <w:color w:val="1C1C1C"/>
                <w:sz w:val="24"/>
                <w:szCs w:val="24"/>
              </w:rPr>
              <w:t>Regenerativ – nicht nur symptomlindernd</w:t>
            </w:r>
          </w:p>
          <w:p w14:paraId="1960AC04">
            <w:pPr>
              <w:pStyle w:val="19"/>
              <w:numPr>
                <w:ilvl w:val="0"/>
                <w:numId w:val="1"/>
              </w:numPr>
              <w:spacing w:before="30" w:after="30"/>
            </w:pPr>
            <w:r>
              <w:rPr>
                <w:rFonts w:ascii="Times New Roman" w:hAnsi="Times New Roman" w:cs="Times New Roman"/>
                <w:color w:val="1C1C1C"/>
                <w:sz w:val="24"/>
                <w:szCs w:val="24"/>
              </w:rPr>
              <w:t>Knorpelschutz &amp; Wiederherstellung der Gelenksschmiere</w:t>
            </w:r>
          </w:p>
          <w:p w14:paraId="1960AC05">
            <w:pPr>
              <w:pStyle w:val="19"/>
              <w:numPr>
                <w:ilvl w:val="0"/>
                <w:numId w:val="1"/>
              </w:numPr>
              <w:spacing w:before="30" w:after="30"/>
            </w:pPr>
            <w:r>
              <w:rPr>
                <w:rFonts w:ascii="Times New Roman" w:hAnsi="Times New Roman" w:cs="Times New Roman"/>
                <w:color w:val="1C1C1C"/>
                <w:sz w:val="24"/>
                <w:szCs w:val="24"/>
              </w:rPr>
              <w:t>Kein Kortison, keine chemischen Substanzen</w:t>
            </w:r>
          </w:p>
          <w:p w14:paraId="1960AC06">
            <w:pPr>
              <w:pStyle w:val="19"/>
              <w:numPr>
                <w:ilvl w:val="0"/>
                <w:numId w:val="1"/>
              </w:numPr>
              <w:spacing w:before="30" w:after="30"/>
            </w:pPr>
            <w:r>
              <w:rPr>
                <w:rFonts w:ascii="Times New Roman" w:hAnsi="Times New Roman" w:cs="Times New Roman"/>
                <w:color w:val="1C1C1C"/>
                <w:sz w:val="24"/>
                <w:szCs w:val="24"/>
              </w:rPr>
              <w:t>Ambulant – keine Ausfallzeiten</w:t>
            </w:r>
          </w:p>
          <w:p w14:paraId="1960AC07">
            <w:pPr>
              <w:pStyle w:val="19"/>
              <w:numPr>
                <w:ilvl w:val="0"/>
                <w:numId w:val="1"/>
              </w:numPr>
              <w:spacing w:before="30" w:after="30"/>
            </w:pPr>
            <w:r>
              <w:rPr>
                <w:rFonts w:ascii="Times New Roman" w:hAnsi="Times New Roman" w:cs="Times New Roman"/>
                <w:color w:val="1C1C1C"/>
                <w:sz w:val="24"/>
                <w:szCs w:val="24"/>
              </w:rPr>
              <w:t>Überlegen gegenüber Kortison in Langzeitstudien</w:t>
            </w:r>
          </w:p>
        </w:tc>
        <w:tc>
          <w:tcPr>
            <w:tcW w:w="240" w:type="dxa"/>
            <w:tcBorders>
              <w:top w:val="nil"/>
              <w:left w:val="nil"/>
              <w:bottom w:val="nil"/>
              <w:right w:val="nil"/>
            </w:tcBorders>
          </w:tcPr>
          <w:p w14:paraId="5D18AC01"/>
        </w:tc>
        <w:tc>
          <w:tcPr>
            <w:tcW w:w="50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4981AC01">
            <w:pPr>
              <w:pBdr>
                <w:bottom w:val="single" w:color="D8C990" w:sz="2" w:space="2"/>
              </w:pBdr>
              <w:spacing w:before="0" w:after="80"/>
            </w:pPr>
            <w:r>
              <w:rPr>
                <w:rFonts w:ascii="Georgia" w:hAnsi="Georgia" w:cs="Georgia"/>
                <w:b/>
                <w:bCs/>
                <w:caps/>
                <w:color w:val="9A7B2F"/>
                <w:spacing w:val="60"/>
                <w:sz w:val="22"/>
                <w:szCs w:val="22"/>
              </w:rPr>
              <w:t>Anwendungsgebiete</w:t>
            </w:r>
          </w:p>
          <w:p w14:paraId="4ED4AC01">
            <w:pPr>
              <w:pStyle w:val="19"/>
              <w:numPr>
                <w:ilvl w:val="0"/>
                <w:numId w:val="1"/>
              </w:numPr>
              <w:spacing w:before="30" w:after="30"/>
            </w:pPr>
            <w:r>
              <w:rPr>
                <w:rFonts w:ascii="Times New Roman" w:hAnsi="Times New Roman" w:cs="Times New Roman"/>
                <w:color w:val="1C1C1C"/>
                <w:sz w:val="24"/>
                <w:szCs w:val="24"/>
              </w:rPr>
              <w:t>Kniegelenksarthrose (alle Schweregrade)</w:t>
            </w:r>
          </w:p>
          <w:p w14:paraId="207B681B">
            <w:pPr>
              <w:pStyle w:val="19"/>
              <w:numPr>
                <w:ilvl w:val="0"/>
                <w:numId w:val="1"/>
              </w:numPr>
              <w:spacing w:before="30" w:after="30"/>
            </w:pPr>
            <w:r>
              <w:rPr>
                <w:rFonts w:ascii="Times New Roman" w:hAnsi="Times New Roman" w:cs="Times New Roman"/>
                <w:color w:val="1C1C1C"/>
                <w:sz w:val="24"/>
                <w:szCs w:val="24"/>
              </w:rPr>
              <w:t>Nachbehandlung nach Kreuzband</w:t>
            </w:r>
            <w:r>
              <w:rPr>
                <w:rFonts w:hint="default" w:cs="Times New Roman"/>
                <w:color w:val="1C1C1C"/>
                <w:sz w:val="24"/>
                <w:szCs w:val="24"/>
                <w:lang w:val="de-DE"/>
              </w:rPr>
              <w:t xml:space="preserve">- </w:t>
            </w:r>
            <w:r>
              <w:rPr>
                <w:rFonts w:ascii="Times New Roman" w:hAnsi="Times New Roman" w:cs="Times New Roman"/>
                <w:color w:val="1C1C1C"/>
                <w:sz w:val="24"/>
                <w:szCs w:val="24"/>
              </w:rPr>
              <w:t>rekonstruktion</w:t>
            </w:r>
          </w:p>
          <w:p w14:paraId="4ED4AC02">
            <w:pPr>
              <w:pStyle w:val="19"/>
              <w:numPr>
                <w:ilvl w:val="0"/>
                <w:numId w:val="1"/>
              </w:numPr>
              <w:spacing w:before="30" w:after="30"/>
            </w:pPr>
            <w:r>
              <w:rPr>
                <w:rFonts w:ascii="Times New Roman" w:hAnsi="Times New Roman" w:cs="Times New Roman"/>
                <w:color w:val="1C1C1C"/>
                <w:sz w:val="24"/>
                <w:szCs w:val="24"/>
              </w:rPr>
              <w:t>Hüft-, Schulter- &amp; Sprunggelenksarthrose</w:t>
            </w:r>
          </w:p>
          <w:p w14:paraId="4ED4AC04">
            <w:pPr>
              <w:pStyle w:val="19"/>
              <w:numPr>
                <w:ilvl w:val="0"/>
                <w:numId w:val="1"/>
              </w:numPr>
              <w:spacing w:before="30" w:after="30"/>
            </w:pPr>
            <w:r>
              <w:rPr>
                <w:rFonts w:ascii="Times New Roman" w:hAnsi="Times New Roman" w:cs="Times New Roman"/>
                <w:color w:val="1C1C1C"/>
                <w:sz w:val="24"/>
                <w:szCs w:val="24"/>
              </w:rPr>
              <w:t xml:space="preserve">Sehnenerkrankungen &amp; Knorpelschäden </w:t>
            </w:r>
          </w:p>
          <w:p w14:paraId="4ED4AC05">
            <w:pPr>
              <w:pStyle w:val="19"/>
              <w:numPr>
                <w:ilvl w:val="0"/>
                <w:numId w:val="1"/>
              </w:numPr>
              <w:spacing w:before="30" w:after="30"/>
            </w:pPr>
            <w:r>
              <w:rPr>
                <w:rFonts w:ascii="Times New Roman" w:hAnsi="Times New Roman" w:cs="Times New Roman"/>
                <w:color w:val="1C1C1C"/>
                <w:sz w:val="24"/>
                <w:szCs w:val="24"/>
              </w:rPr>
              <w:t>Nachbehandlung nach Kreuzbandrekonstruktion</w:t>
            </w:r>
          </w:p>
          <w:p w14:paraId="4ED4AC06">
            <w:pPr>
              <w:pStyle w:val="19"/>
              <w:numPr>
                <w:ilvl w:val="0"/>
                <w:numId w:val="1"/>
              </w:numPr>
              <w:spacing w:before="30" w:after="30"/>
            </w:pPr>
            <w:r>
              <w:rPr>
                <w:rFonts w:ascii="Times New Roman" w:hAnsi="Times New Roman" w:cs="Times New Roman"/>
                <w:color w:val="1C1C1C"/>
                <w:sz w:val="24"/>
                <w:szCs w:val="24"/>
              </w:rPr>
              <w:t>Sportschäden &amp; chronische Gelenküberlastungen</w:t>
            </w:r>
          </w:p>
        </w:tc>
      </w:tr>
    </w:tbl>
    <w:p w14:paraId="31C9AC01">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1162AC01">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4052D510">
            <w:pPr>
              <w:spacing w:before="0" w:after="60"/>
            </w:pPr>
            <w:r>
              <w:rPr>
                <w:rFonts w:ascii="Georgia" w:hAnsi="Georgia" w:cs="Georgia"/>
                <w:b/>
                <w:bCs/>
                <w:color w:val="9A7B2F"/>
                <w:sz w:val="24"/>
                <w:szCs w:val="24"/>
              </w:rPr>
              <w:t xml:space="preserve">Was </w:t>
            </w:r>
            <w:r>
              <w:rPr>
                <w:rFonts w:hint="default" w:ascii="Georgia" w:hAnsi="Georgia" w:cs="Georgia"/>
                <w:b/>
                <w:bCs/>
                <w:color w:val="9A7B2F"/>
                <w:sz w:val="24"/>
                <w:szCs w:val="24"/>
                <w:lang w:val="de-DE"/>
              </w:rPr>
              <w:t>ist</w:t>
            </w:r>
            <w:r>
              <w:rPr>
                <w:rFonts w:ascii="Georgia" w:hAnsi="Georgia" w:cs="Georgia"/>
                <w:b/>
                <w:bCs/>
                <w:color w:val="9A7B2F"/>
                <w:sz w:val="24"/>
                <w:szCs w:val="24"/>
              </w:rPr>
              <w:t xml:space="preserve"> Hyaluronsäure </w:t>
            </w:r>
            <w:r>
              <w:rPr>
                <w:rFonts w:hint="default" w:ascii="Georgia" w:hAnsi="Georgia" w:cs="Georgia"/>
                <w:b/>
                <w:bCs/>
                <w:color w:val="9A7B2F"/>
                <w:sz w:val="24"/>
                <w:szCs w:val="24"/>
                <w:lang w:val="de-DE"/>
              </w:rPr>
              <w:t xml:space="preserve">?  </w:t>
            </w:r>
            <w:r>
              <w:rPr>
                <w:rFonts w:hint="default" w:cs="Times New Roman"/>
                <w:color w:val="3E3E3E"/>
                <w:sz w:val="24"/>
                <w:szCs w:val="24"/>
                <w:lang w:val="de-DE"/>
              </w:rPr>
              <w:t xml:space="preserve">Das </w:t>
            </w:r>
            <w:r>
              <w:rPr>
                <w:rFonts w:ascii="Times New Roman" w:hAnsi="Times New Roman" w:cs="Times New Roman"/>
                <w:color w:val="3E3E3E"/>
                <w:sz w:val="24"/>
                <w:szCs w:val="24"/>
              </w:rPr>
              <w:t>ist ein körpereigener Bestandteil jedes gesunden Gelenks. Bei Arthrose sinkt ihre Konzentration– vor allem bei früh- bis mittelgradiger Arthrose.Die gezielte Injektion hochmolekularer HA wirkt auf mehreren Ebenen gleichzeitig:</w:t>
            </w:r>
            <w:r>
              <w:rPr>
                <w:rFonts w:hint="default" w:cs="Times New Roman"/>
                <w:color w:val="3E3E3E"/>
                <w:sz w:val="24"/>
                <w:szCs w:val="24"/>
                <w:lang w:val="de-DE"/>
              </w:rPr>
              <w:t xml:space="preserve"> </w:t>
            </w:r>
            <w:r>
              <w:rPr>
                <w:rFonts w:hint="default" w:cs="Times New Roman"/>
                <w:b/>
                <w:bCs/>
                <w:color w:val="3E3E3E"/>
                <w:sz w:val="24"/>
                <w:szCs w:val="24"/>
                <w:lang w:val="de-DE"/>
              </w:rPr>
              <w:t>m</w:t>
            </w:r>
            <w:r>
              <w:rPr>
                <w:rFonts w:ascii="Times New Roman" w:hAnsi="Times New Roman" w:cs="Times New Roman"/>
                <w:b/>
                <w:bCs/>
                <w:color w:val="1C1C1C"/>
                <w:sz w:val="24"/>
                <w:szCs w:val="24"/>
              </w:rPr>
              <w:t>echanisch</w:t>
            </w:r>
            <w:r>
              <w:rPr>
                <w:rFonts w:hint="default" w:cs="Times New Roman"/>
                <w:b/>
                <w:bCs/>
                <w:color w:val="1C1C1C"/>
                <w:sz w:val="24"/>
                <w:szCs w:val="24"/>
                <w:lang w:val="de-DE"/>
              </w:rPr>
              <w:t>, b</w:t>
            </w:r>
            <w:r>
              <w:rPr>
                <w:rFonts w:ascii="Times New Roman" w:hAnsi="Times New Roman" w:cs="Times New Roman"/>
                <w:b/>
                <w:bCs/>
                <w:color w:val="1C1C1C"/>
                <w:sz w:val="24"/>
                <w:szCs w:val="24"/>
              </w:rPr>
              <w:t>iologisch</w:t>
            </w:r>
          </w:p>
          <w:p w14:paraId="07EC0963">
            <w:pPr>
              <w:spacing w:before="0" w:after="60"/>
              <w:rPr>
                <w:rFonts w:ascii="Georgia" w:hAnsi="Georgia" w:cs="Georgia"/>
                <w:b/>
                <w:bCs/>
                <w:color w:val="9A7B2F"/>
                <w:sz w:val="24"/>
                <w:szCs w:val="24"/>
              </w:rPr>
            </w:pPr>
            <w:r>
              <w:rPr>
                <w:rFonts w:hint="default" w:cs="Times New Roman"/>
                <w:b/>
                <w:bCs/>
                <w:color w:val="1C1C1C"/>
                <w:sz w:val="24"/>
                <w:szCs w:val="24"/>
                <w:lang w:val="de-DE"/>
              </w:rPr>
              <w:t>k</w:t>
            </w:r>
            <w:r>
              <w:rPr>
                <w:rFonts w:ascii="Times New Roman" w:hAnsi="Times New Roman" w:cs="Times New Roman"/>
                <w:b/>
                <w:bCs/>
                <w:color w:val="1C1C1C"/>
                <w:sz w:val="24"/>
                <w:szCs w:val="24"/>
              </w:rPr>
              <w:t>norpelprotektiv</w:t>
            </w:r>
            <w:bookmarkStart w:id="0" w:name="_GoBack"/>
            <w:bookmarkEnd w:id="0"/>
          </w:p>
        </w:tc>
      </w:tr>
    </w:tbl>
    <w:p>
      <w:pPr>
        <w:spacing w:before="0" w:after="0"/>
      </w:pPr>
      <w:r>
        <w:br w:type="page"/>
      </w:r>
    </w:p>
    <w:p w14:paraId="00000077">
      <w:pPr>
        <w:spacing w:before="120" w:after="40"/>
        <w:jc w:val="center"/>
      </w:pPr>
      <w:r>
        <w:rPr>
          <w:rFonts w:ascii="Georgia" w:hAnsi="Georgia" w:cs="Georgia"/>
          <w:color w:val="101010"/>
          <w:sz w:val="44"/>
          <w:szCs w:val="44"/>
        </w:rPr>
        <w:t xml:space="preserve">Intraartikuläre </w:t>
      </w:r>
      <w:r>
        <w:rPr>
          <w:rFonts w:ascii="Georgia" w:hAnsi="Georgia" w:cs="Georgia"/>
          <w:color w:val="B8952A"/>
          <w:sz w:val="44"/>
          <w:szCs w:val="44"/>
        </w:rPr>
        <w:t>Hyaluronsäure</w:t>
      </w:r>
    </w:p>
    <w:p w14:paraId="3D58F111">
      <w:pPr>
        <w:spacing w:before="0" w:after="40"/>
        <w:jc w:val="center"/>
      </w:pPr>
      <w:r>
        <w:rPr>
          <w:rFonts w:ascii="Calibri" w:hAnsi="Calibri" w:cs="Calibri"/>
          <w:color w:val="9A7B2F"/>
          <w:spacing w:val="80"/>
          <w:sz w:val="20"/>
          <w:szCs w:val="20"/>
        </w:rPr>
        <w:t>Viskosupplementation – Die Gelenksschmiere auf Rezept</w:t>
      </w:r>
    </w:p>
    <w:p w14:paraId="115771BC">
      <w:pPr>
        <w:spacing w:before="0" w:after="60"/>
        <w:jc w:val="center"/>
      </w:pPr>
      <w:r>
        <w:rPr>
          <w:rFonts w:ascii="Calibri" w:hAnsi="Calibri" w:cs="Calibri"/>
          <w:color w:val="auto"/>
          <w:spacing w:val="60"/>
          <w:sz w:val="24"/>
          <w:szCs w:val="24"/>
        </w:rPr>
        <w:t>Nichtinvasiv  ·  Ambulant  ·  Knorpelprotektiv</w:t>
      </w:r>
    </w:p>
    <w:p w14:paraId="0000481B">
      <w:pPr>
        <w:pBdr>
          <w:bottom w:val="single" w:color="DDD8CC" w:sz="2" w:space="1"/>
        </w:pBdr>
        <w:spacing w:before="0" w:after="0"/>
      </w:pPr>
    </w:p>
    <w:p w14:paraId="000050FF">
      <w:pPr>
        <w:spacing w:before="20" w:after="0"/>
        <w:rPr>
          <w:rFonts w:ascii="Times New Roman" w:hAnsi="Times New Roman" w:cs="Times New Roman"/>
          <w:b/>
          <w:bCs/>
          <w:color w:val="1C1C1C"/>
          <w:sz w:val="24"/>
          <w:szCs w:val="24"/>
        </w:rPr>
      </w:pPr>
      <w:r>
        <w:rPr>
          <w:rFonts w:ascii="Times New Roman" w:hAnsi="Times New Roman" w:cs="Times New Roman"/>
          <w:b/>
          <w:bCs/>
          <w:color w:val="1C1C1C"/>
          <w:sz w:val="24"/>
          <w:szCs w:val="24"/>
        </w:rPr>
        <w:t>Sehr geehrte Patientin, sehr geehrter Patient,</w:t>
      </w:r>
    </w:p>
    <w:p w14:paraId="00002869">
      <w:pPr>
        <w:pStyle w:val="17"/>
        <w:spacing w:after="60"/>
      </w:pPr>
      <w:r>
        <w:t>Hyaluronsäure ist kein künstlicher Wirkstoff – sie ist ein körpereigener Bestandteil jedes gesunden Gelenks. Im arthrotisch veränderten Gelenk nimmt ihre Konzentration jedoch messbar ab: Die Gelenksflüssigkeit verliert ihre dämpfende und schmierende Wirkung, Knorpel reibt schmerzhaft auf Knorpel. Die intraartkuläre Injektion hochkonzentrierter, hochmolekularer Hyaluronsäure ergänzt gezielt, was das Gelenk verloren hat – und kann weit mehr als nur schmieren.</w:t>
      </w:r>
    </w:p>
    <w:tbl>
      <w:tblPr>
        <w:tblStyle w:val="9"/>
        <w:tblW w:w="102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0000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DD8CC" w:sz="2" w:space="0"/>
              <w:left w:val="single" w:color="B8952A" w:sz="18" w:space="0"/>
              <w:bottom w:val="single" w:color="DDD8CC" w:sz="2" w:space="0"/>
              <w:right w:val="single" w:color="DDD8CC" w:sz="2" w:space="0"/>
            </w:tcBorders>
            <w:shd w:val="clear" w:color="auto" w:fill="F7F2E8"/>
            <w:tcMar>
              <w:top w:w="100" w:type="dxa"/>
              <w:left w:w="160" w:type="dxa"/>
              <w:bottom w:w="100" w:type="dxa"/>
              <w:right w:w="160" w:type="dxa"/>
            </w:tcMar>
          </w:tcPr>
          <w:p w14:paraId="000045C4">
            <w:pPr>
              <w:spacing w:before="0" w:after="60"/>
            </w:pPr>
            <w:r>
              <w:rPr>
                <w:rFonts w:ascii="Times New Roman" w:hAnsi="Times New Roman" w:cs="Times New Roman"/>
                <w:b/>
                <w:bCs/>
                <w:color w:val="1C1C1C"/>
                <w:sz w:val="26"/>
                <w:szCs w:val="26"/>
              </w:rPr>
              <w:t>Wie wirkt Hyaluronsäure – mehr als nur Schmierung?</w:t>
            </w:r>
          </w:p>
          <w:p w14:paraId="00004631">
            <w:pPr>
              <w:spacing w:before="0" w:after="40"/>
            </w:pPr>
            <w:r>
              <w:rPr>
                <w:sz w:val="24"/>
                <w:szCs w:val="24"/>
              </w:rPr>
              <w:t>Hyaluronsäure ist ein natürliches Glykosaminglykan, das in gesunden Gelenken für die Viskoelastizität der Gelenkflüssigkeit verantwortlich ist. Bei Arthrose sinkt ihre Konzentration und ihr Molekulargewicht deutlich. Die gezielte Injektion hochmolekularer HA wirkt auf mehreren Ebenen gleichzeitig:</w:t>
            </w:r>
          </w:p>
          <w:p w14:paraId="0C6790C7">
            <w:pPr>
              <w:pStyle w:val="19"/>
              <w:numPr>
                <w:ilvl w:val="0"/>
                <w:numId w:val="1"/>
              </w:numPr>
              <w:spacing w:before="20" w:after="20"/>
            </w:pPr>
            <w:r>
              <w:rPr>
                <w:rFonts w:ascii="Times New Roman" w:hAnsi="Times New Roman" w:cs="Times New Roman"/>
                <w:b/>
                <w:bCs/>
                <w:color w:val="1C1C1C"/>
                <w:sz w:val="24"/>
                <w:szCs w:val="24"/>
              </w:rPr>
              <w:t xml:space="preserve">Mechanisch: </w:t>
            </w:r>
            <w:r>
              <w:rPr>
                <w:rFonts w:ascii="Times New Roman" w:hAnsi="Times New Roman" w:cs="Times New Roman"/>
                <w:color w:val="1C1C1C"/>
                <w:sz w:val="24"/>
                <w:szCs w:val="24"/>
              </w:rPr>
              <w:t>Viskoelastizität der Gelenksflüssigkeit wird wiederhergestellt – Stoßdämpfung und Gleitfähigkeit verbessert</w:t>
            </w:r>
          </w:p>
          <w:p w14:paraId="70DEE8EE">
            <w:pPr>
              <w:pStyle w:val="19"/>
              <w:numPr>
                <w:ilvl w:val="0"/>
                <w:numId w:val="1"/>
              </w:numPr>
              <w:spacing w:before="20" w:after="20"/>
            </w:pPr>
            <w:r>
              <w:rPr>
                <w:rFonts w:ascii="Times New Roman" w:hAnsi="Times New Roman" w:cs="Times New Roman"/>
                <w:b/>
                <w:bCs/>
                <w:color w:val="1C1C1C"/>
                <w:sz w:val="24"/>
                <w:szCs w:val="24"/>
              </w:rPr>
              <w:t xml:space="preserve">Biologisch: </w:t>
            </w:r>
            <w:r>
              <w:rPr>
                <w:rFonts w:ascii="Times New Roman" w:hAnsi="Times New Roman" w:cs="Times New Roman"/>
                <w:color w:val="1C1C1C"/>
                <w:sz w:val="24"/>
                <w:szCs w:val="24"/>
              </w:rPr>
              <w:t>Chondrozyten werden direkt stimuliert, eigene HA-Produktion wird angeregt, Entzündungsmediatoren werden gehemmt</w:t>
            </w:r>
          </w:p>
          <w:p w14:paraId="5C6D9CD8">
            <w:pPr>
              <w:pStyle w:val="19"/>
              <w:numPr>
                <w:ilvl w:val="0"/>
                <w:numId w:val="1"/>
              </w:numPr>
              <w:spacing w:before="20" w:after="0"/>
            </w:pPr>
            <w:r>
              <w:rPr>
                <w:rFonts w:ascii="Times New Roman" w:hAnsi="Times New Roman" w:cs="Times New Roman"/>
                <w:b/>
                <w:bCs/>
                <w:color w:val="1C1C1C"/>
                <w:sz w:val="24"/>
                <w:szCs w:val="24"/>
              </w:rPr>
              <w:t xml:space="preserve">Knorpelprotektiv: </w:t>
            </w:r>
            <w:r>
              <w:rPr>
                <w:rFonts w:ascii="Times New Roman" w:hAnsi="Times New Roman" w:cs="Times New Roman"/>
                <w:color w:val="1C1C1C"/>
                <w:sz w:val="24"/>
                <w:szCs w:val="24"/>
              </w:rPr>
              <w:t>Hochmolekulare, vernetzte HA hemmt im Tiermodell nachweislich den Knorpelabbau und stimuliert Kollagensynthese</w:t>
            </w:r>
          </w:p>
        </w:tc>
      </w:tr>
    </w:tbl>
    <w:p w14:paraId="000013DE">
      <w:pPr>
        <w:spacing w:before="180" w:after="0"/>
      </w:pPr>
    </w:p>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951"/>
        <w:gridCol w:w="240"/>
        <w:gridCol w:w="5013"/>
      </w:tblGrid>
      <w:tr w14:paraId="00001662">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c>
          <w:tcPr>
            <w:tcW w:w="4951"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00006E70">
            <w:pPr>
              <w:pBdr>
                <w:bottom w:val="single" w:color="D8C990" w:sz="2" w:space="2"/>
              </w:pBdr>
              <w:spacing w:before="0" w:after="80"/>
            </w:pPr>
            <w:r>
              <w:rPr>
                <w:rFonts w:ascii="Georgia" w:hAnsi="Georgia" w:cs="Georgia"/>
                <w:b/>
                <w:bCs/>
                <w:caps/>
                <w:color w:val="9A7B2F"/>
                <w:spacing w:val="60"/>
                <w:sz w:val="22"/>
                <w:szCs w:val="22"/>
              </w:rPr>
              <w:t>Ihre Vorteile</w:t>
            </w:r>
          </w:p>
          <w:p w14:paraId="00001960">
            <w:pPr>
              <w:pStyle w:val="19"/>
              <w:numPr>
                <w:ilvl w:val="0"/>
                <w:numId w:val="1"/>
              </w:numPr>
              <w:spacing w:before="30" w:after="30"/>
            </w:pPr>
            <w:r>
              <w:rPr>
                <w:rFonts w:ascii="Times New Roman" w:hAnsi="Times New Roman" w:cs="Times New Roman"/>
                <w:color w:val="1C1C1C"/>
                <w:sz w:val="24"/>
                <w:szCs w:val="24"/>
              </w:rPr>
              <w:t>Körpereigener Stoff – bewährt &amp; gut verträglich</w:t>
            </w:r>
          </w:p>
          <w:p w14:paraId="2A02FA7E">
            <w:pPr>
              <w:pStyle w:val="19"/>
              <w:numPr>
                <w:ilvl w:val="0"/>
                <w:numId w:val="1"/>
              </w:numPr>
              <w:spacing w:before="30" w:after="30"/>
            </w:pPr>
            <w:r>
              <w:rPr>
                <w:rFonts w:ascii="Times New Roman" w:hAnsi="Times New Roman" w:cs="Times New Roman"/>
                <w:color w:val="1C1C1C"/>
                <w:sz w:val="24"/>
                <w:szCs w:val="24"/>
              </w:rPr>
              <w:t>Rasche Schmerzlinderung – oft bereits nach 1–2 Wochen</w:t>
            </w:r>
          </w:p>
          <w:p w14:paraId="74D8385D">
            <w:pPr>
              <w:pStyle w:val="19"/>
              <w:numPr>
                <w:ilvl w:val="0"/>
                <w:numId w:val="1"/>
              </w:numPr>
              <w:spacing w:before="30" w:after="30"/>
            </w:pPr>
            <w:r>
              <w:rPr>
                <w:rFonts w:ascii="Times New Roman" w:hAnsi="Times New Roman" w:cs="Times New Roman"/>
                <w:color w:val="1C1C1C"/>
                <w:sz w:val="24"/>
                <w:szCs w:val="24"/>
              </w:rPr>
              <w:t>Wiederherstellung der natürlichen Gelenkfunktion</w:t>
            </w:r>
          </w:p>
          <w:p w14:paraId="6952F51E">
            <w:pPr>
              <w:pStyle w:val="19"/>
              <w:numPr>
                <w:ilvl w:val="0"/>
                <w:numId w:val="1"/>
              </w:numPr>
              <w:spacing w:before="30" w:after="30"/>
            </w:pPr>
            <w:r>
              <w:rPr>
                <w:rFonts w:ascii="Times New Roman" w:hAnsi="Times New Roman" w:cs="Times New Roman"/>
                <w:color w:val="1C1C1C"/>
                <w:sz w:val="24"/>
                <w:szCs w:val="24"/>
              </w:rPr>
              <w:t>Langzeitwirkung von bis zu 6–12 Monaten</w:t>
            </w:r>
          </w:p>
          <w:p w14:paraId="1E7DCEA1">
            <w:pPr>
              <w:pStyle w:val="19"/>
              <w:numPr>
                <w:ilvl w:val="0"/>
                <w:numId w:val="1"/>
              </w:numPr>
              <w:spacing w:before="30" w:after="30"/>
            </w:pPr>
            <w:r>
              <w:rPr>
                <w:rFonts w:ascii="Times New Roman" w:hAnsi="Times New Roman" w:cs="Times New Roman"/>
                <w:color w:val="1C1C1C"/>
                <w:sz w:val="24"/>
                <w:szCs w:val="24"/>
              </w:rPr>
              <w:t>Knorpelprotektiv – verlangsamt nachweislich den Abbau</w:t>
            </w:r>
          </w:p>
          <w:p w14:paraId="7ED9CAB0">
            <w:pPr>
              <w:pStyle w:val="19"/>
              <w:numPr>
                <w:ilvl w:val="0"/>
                <w:numId w:val="1"/>
              </w:numPr>
              <w:spacing w:before="30" w:after="30"/>
            </w:pPr>
            <w:r>
              <w:rPr>
                <w:rFonts w:ascii="Times New Roman" w:hAnsi="Times New Roman" w:cs="Times New Roman"/>
                <w:color w:val="1C1C1C"/>
                <w:sz w:val="24"/>
                <w:szCs w:val="24"/>
              </w:rPr>
              <w:t>Ambulant – keine Narkose, keine Ausfallzeiten</w:t>
            </w:r>
          </w:p>
          <w:p w14:paraId="0717F8B5">
            <w:pPr>
              <w:pStyle w:val="19"/>
              <w:numPr>
                <w:ilvl w:val="0"/>
                <w:numId w:val="1"/>
              </w:numPr>
              <w:spacing w:before="30" w:after="30"/>
            </w:pPr>
            <w:r>
              <w:rPr>
                <w:rFonts w:ascii="Times New Roman" w:hAnsi="Times New Roman" w:cs="Times New Roman"/>
                <w:color w:val="1C1C1C"/>
                <w:sz w:val="24"/>
                <w:szCs w:val="24"/>
              </w:rPr>
              <w:t>Optimal kombinierbar mit ACP (Seite 1)</w:t>
            </w:r>
          </w:p>
        </w:tc>
        <w:tc>
          <w:tcPr>
            <w:tcW w:w="240" w:type="dxa"/>
            <w:tcBorders>
              <w:top w:val="nil"/>
              <w:left w:val="nil"/>
              <w:bottom w:val="nil"/>
              <w:right w:val="nil"/>
            </w:tcBorders>
          </w:tcPr>
          <w:p w14:paraId="00005D18"/>
        </w:tc>
        <w:tc>
          <w:tcPr>
            <w:tcW w:w="5013" w:type="dxa"/>
            <w:tcBorders>
              <w:top w:val="single" w:color="DDD8CC" w:sz="2" w:space="0"/>
              <w:left w:val="single" w:color="DDD8CC" w:sz="2" w:space="0"/>
              <w:bottom w:val="single" w:color="DDD8CC" w:sz="2" w:space="0"/>
              <w:right w:val="single" w:color="DDD8CC" w:sz="2" w:space="0"/>
            </w:tcBorders>
            <w:tcMar>
              <w:top w:w="100" w:type="dxa"/>
              <w:left w:w="140" w:type="dxa"/>
              <w:bottom w:w="100" w:type="dxa"/>
              <w:right w:w="140" w:type="dxa"/>
            </w:tcMar>
          </w:tcPr>
          <w:p w14:paraId="00004981">
            <w:pPr>
              <w:pBdr>
                <w:bottom w:val="single" w:color="D8C990" w:sz="2" w:space="2"/>
              </w:pBdr>
              <w:spacing w:before="0" w:after="80"/>
            </w:pPr>
            <w:r>
              <w:rPr>
                <w:rFonts w:ascii="Georgia" w:hAnsi="Georgia" w:cs="Georgia"/>
                <w:b/>
                <w:bCs/>
                <w:caps/>
                <w:color w:val="9A7B2F"/>
                <w:spacing w:val="60"/>
                <w:sz w:val="22"/>
                <w:szCs w:val="22"/>
              </w:rPr>
              <w:t>Anwendungsgebiete</w:t>
            </w:r>
          </w:p>
          <w:p w14:paraId="00004ED4">
            <w:pPr>
              <w:pStyle w:val="19"/>
              <w:numPr>
                <w:ilvl w:val="0"/>
                <w:numId w:val="1"/>
              </w:numPr>
              <w:spacing w:before="30" w:after="30"/>
            </w:pPr>
            <w:r>
              <w:rPr>
                <w:rFonts w:ascii="Times New Roman" w:hAnsi="Times New Roman" w:cs="Times New Roman"/>
                <w:color w:val="1C1C1C"/>
                <w:sz w:val="24"/>
                <w:szCs w:val="24"/>
              </w:rPr>
              <w:t>Leichte bis mittelschwere Kniegelenksarthrose (ideal: Grad I–III)</w:t>
            </w:r>
          </w:p>
          <w:p w14:paraId="5D562888">
            <w:pPr>
              <w:pStyle w:val="19"/>
              <w:numPr>
                <w:ilvl w:val="0"/>
                <w:numId w:val="1"/>
              </w:numPr>
              <w:spacing w:before="30" w:after="30"/>
            </w:pPr>
            <w:r>
              <w:rPr>
                <w:rFonts w:ascii="Times New Roman" w:hAnsi="Times New Roman" w:cs="Times New Roman"/>
                <w:color w:val="1C1C1C"/>
                <w:sz w:val="24"/>
                <w:szCs w:val="24"/>
              </w:rPr>
              <w:t>Hüft- &amp; Schulterarthrose</w:t>
            </w:r>
          </w:p>
          <w:p w14:paraId="172E50E8">
            <w:pPr>
              <w:pStyle w:val="19"/>
              <w:numPr>
                <w:ilvl w:val="0"/>
                <w:numId w:val="1"/>
              </w:numPr>
              <w:spacing w:before="30" w:after="30"/>
            </w:pPr>
            <w:r>
              <w:rPr>
                <w:rFonts w:ascii="Times New Roman" w:hAnsi="Times New Roman" w:cs="Times New Roman"/>
                <w:color w:val="1C1C1C"/>
                <w:sz w:val="24"/>
                <w:szCs w:val="24"/>
              </w:rPr>
              <w:t>Früharthrosen bei Sportlern &amp; körperlich aktiven Patienten</w:t>
            </w:r>
          </w:p>
          <w:p w14:paraId="32C9E46C">
            <w:pPr>
              <w:pStyle w:val="19"/>
              <w:numPr>
                <w:ilvl w:val="0"/>
                <w:numId w:val="1"/>
              </w:numPr>
              <w:spacing w:before="30" w:after="30"/>
            </w:pPr>
            <w:r>
              <w:rPr>
                <w:rFonts w:ascii="Times New Roman" w:hAnsi="Times New Roman" w:cs="Times New Roman"/>
                <w:color w:val="1C1C1C"/>
                <w:sz w:val="24"/>
                <w:szCs w:val="24"/>
              </w:rPr>
              <w:t>Unzureichendes Ansprechen auf konservative Therapie</w:t>
            </w:r>
          </w:p>
          <w:p w14:paraId="5C863C95">
            <w:pPr>
              <w:pStyle w:val="19"/>
              <w:numPr>
                <w:ilvl w:val="0"/>
                <w:numId w:val="1"/>
              </w:numPr>
              <w:spacing w:before="30" w:after="30"/>
            </w:pPr>
            <w:r>
              <w:rPr>
                <w:rFonts w:ascii="Times New Roman" w:hAnsi="Times New Roman" w:cs="Times New Roman"/>
                <w:color w:val="1C1C1C"/>
                <w:sz w:val="24"/>
                <w:szCs w:val="24"/>
              </w:rPr>
              <w:t>Vermeidung oder Hinauszögerung einer Prothesenoperation</w:t>
            </w:r>
          </w:p>
          <w:p w14:paraId="3E24296C">
            <w:pPr>
              <w:pStyle w:val="19"/>
              <w:numPr>
                <w:ilvl w:val="0"/>
                <w:numId w:val="1"/>
              </w:numPr>
              <w:spacing w:before="30" w:after="30"/>
            </w:pPr>
            <w:r>
              <w:rPr>
                <w:rFonts w:ascii="Times New Roman" w:hAnsi="Times New Roman" w:cs="Times New Roman"/>
                <w:color w:val="1C1C1C"/>
                <w:sz w:val="24"/>
                <w:szCs w:val="24"/>
              </w:rPr>
              <w:t>Kontraindikation gegen Kortison oder NSAR</w:t>
            </w:r>
          </w:p>
        </w:tc>
      </w:tr>
    </w:tbl>
    <w:p w14:paraId="000031C9">
      <w:pPr>
        <w:spacing w:before="180" w:after="0"/>
      </w:pPr>
    </w:p>
    <w:tbl>
      <w:tblPr>
        <w:tblStyle w:val="9"/>
        <w:tblW w:w="10204" w:type="dxa"/>
        <w:tblInd w:w="0" w:type="dxa"/>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Layout w:type="autofit"/>
        <w:tblCellMar>
          <w:top w:w="0" w:type="dxa"/>
          <w:left w:w="10" w:type="dxa"/>
          <w:bottom w:w="0" w:type="dxa"/>
          <w:right w:w="10" w:type="dxa"/>
        </w:tblCellMar>
      </w:tblPr>
      <w:tblGrid>
        <w:gridCol w:w="10204"/>
      </w:tblGrid>
      <w:tr w14:paraId="00001162">
        <w:tblPrEx>
          <w:tblBorders>
            <w:top w:val="single" w:color="D8C990" w:sz="4" w:space="0"/>
            <w:left w:val="single" w:color="D8C990" w:sz="4" w:space="0"/>
            <w:bottom w:val="single" w:color="D8C990" w:sz="4" w:space="0"/>
            <w:right w:val="single" w:color="D8C990" w:sz="4" w:space="0"/>
            <w:insideH w:val="single" w:color="auto" w:sz="4" w:space="0"/>
            <w:insideV w:val="single" w:color="auto" w:sz="4" w:space="0"/>
          </w:tblBorders>
          <w:tblCellMar>
            <w:top w:w="0" w:type="dxa"/>
            <w:left w:w="10" w:type="dxa"/>
            <w:bottom w:w="0" w:type="dxa"/>
            <w:right w:w="10" w:type="dxa"/>
          </w:tblCellMar>
        </w:tblPrEx>
        <w:tc>
          <w:tcPr>
            <w:tcW w:w="10204" w:type="dxa"/>
            <w:tcBorders>
              <w:top w:val="single" w:color="D8C990" w:sz="4" w:space="0"/>
              <w:left w:val="single" w:color="D8C990" w:sz="4" w:space="0"/>
              <w:bottom w:val="single" w:color="D8C990" w:sz="4" w:space="0"/>
              <w:right w:val="single" w:color="D8C990" w:sz="4" w:space="0"/>
            </w:tcBorders>
            <w:shd w:val="clear" w:color="auto" w:fill="F7F2E8"/>
            <w:tcMar>
              <w:top w:w="100" w:type="dxa"/>
              <w:left w:w="200" w:type="dxa"/>
              <w:bottom w:w="100" w:type="dxa"/>
              <w:right w:w="200" w:type="dxa"/>
            </w:tcMar>
          </w:tcPr>
          <w:p w14:paraId="00007443">
            <w:pPr>
              <w:spacing w:before="0" w:after="60"/>
            </w:pPr>
            <w:r>
              <w:rPr>
                <w:rFonts w:ascii="Georgia" w:hAnsi="Georgia" w:cs="Georgia"/>
                <w:b/>
                <w:bCs/>
                <w:color w:val="9A7B2F"/>
                <w:sz w:val="24"/>
                <w:szCs w:val="24"/>
              </w:rPr>
              <w:t xml:space="preserve">Was sagt die Wissenschaft? – </w:t>
            </w:r>
            <w:r>
              <w:rPr>
                <w:rFonts w:ascii="Times New Roman" w:hAnsi="Times New Roman" w:cs="Times New Roman"/>
                <w:color w:val="3E3E3E"/>
                <w:sz w:val="24"/>
                <w:szCs w:val="24"/>
              </w:rPr>
              <w:t>Hyaluronsäure wirkt – vor allem bei früh- bis mittelgradiger Arthrose.</w:t>
            </w:r>
          </w:p>
          <w:p w14:paraId="00002EAB">
            <w:pPr>
              <w:spacing w:before="0" w:after="60"/>
            </w:pPr>
            <w:r>
              <w:rPr>
                <w:rFonts w:ascii="Times New Roman" w:hAnsi="Times New Roman" w:cs="Times New Roman"/>
                <w:color w:val="3E3E3E"/>
                <w:sz w:val="24"/>
                <w:szCs w:val="24"/>
              </w:rPr>
              <w:t>Ein aktueller Umbrella Review (2025, PubMed-Suche bis November 2024) bestätigt moderate Wirksamkeit bei früh- bis mittelgradiger Arthrose. Die EUROVISCO-Konsensus-Leitlinien (2024) empfehlen die intraartkuläre Hyaluronsäure explizit für normal- bis leicht übergewichtige Patienten mit milder bis moderater Kniearthrose. Besonders eindrucksvoll: Im doppelblinden FLEXX-Trial (n = 588) zeigte Hyaluronsäure bei Kellgren-Lawrence Grad II einen VAS-Schmerzscore-Rückgang von 37 mm – gegenüber 22 mm in der Kochsalzkontrollgruppe (p = 0,003). Die Wirkung von hochmolekularer, vernetzter Hyaluronsäure geht dabei über reine Schmierung hinaus: Im Tiermodell wurden chondroprotektive Effekte und eine Hemmung des Kollagenabbaus nachgewiesen.</w:t>
            </w:r>
          </w:p>
          <w:p w14:paraId="00006329">
            <w:pPr>
              <w:spacing w:before="0" w:after="60"/>
            </w:pPr>
            <w:r>
              <w:rPr>
                <w:rFonts w:ascii="Georgia" w:hAnsi="Georgia" w:cs="Georgia"/>
                <w:b/>
                <w:bCs/>
                <w:color w:val="9A7B2F"/>
                <w:sz w:val="26"/>
                <w:szCs w:val="26"/>
              </w:rPr>
              <w:t>Für weitere Informationen und Terminvereinbarung stehen wir Ihnen jederzeit zur Verfügung.</w:t>
            </w:r>
          </w:p>
        </w:tc>
      </w:tr>
    </w:tbl>
    <w:p w14:paraId="00007DA5"/>
    <w:sectPr>
      <w:headerReference r:id="rId3" w:type="default"/>
      <w:pgSz w:w="11906" w:h="16838"/>
      <w:pgMar w:top="574" w:right="851" w:bottom="724" w:left="85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204" w:type="dxa"/>
      <w:tblInd w:w="0" w:type="dxa"/>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Layout w:type="autofit"/>
      <w:tblCellMar>
        <w:top w:w="0" w:type="dxa"/>
        <w:left w:w="10" w:type="dxa"/>
        <w:bottom w:w="0" w:type="dxa"/>
        <w:right w:w="10" w:type="dxa"/>
      </w:tblCellMar>
    </w:tblPr>
    <w:tblGrid>
      <w:gridCol w:w="4297"/>
      <w:gridCol w:w="5907"/>
    </w:tblGrid>
    <w:tr w14:paraId="16CAC369">
      <w:tblPrEx>
        <w:tblBorders>
          <w:top w:val="none" w:color="FFFFFF" w:sz="0" w:space="0"/>
          <w:left w:val="none" w:color="FFFFFF" w:sz="0" w:space="0"/>
          <w:bottom w:val="none" w:color="FFFFFF" w:sz="0" w:space="0"/>
          <w:right w:val="none" w:color="FFFFFF" w:sz="0" w:space="0"/>
          <w:insideH w:val="single" w:color="auto" w:sz="4" w:space="0"/>
          <w:insideV w:val="single" w:color="auto" w:sz="4" w:space="0"/>
        </w:tblBorders>
        <w:tblCellMar>
          <w:top w:w="0" w:type="dxa"/>
          <w:left w:w="10" w:type="dxa"/>
          <w:bottom w:w="0" w:type="dxa"/>
          <w:right w:w="10" w:type="dxa"/>
        </w:tblCellMar>
      </w:tblPrEx>
      <w:trPr>
        <w:trHeight w:val="1225" w:hRule="atLeast"/>
      </w:trPr>
      <w:tc>
        <w:tcPr>
          <w:tcW w:w="3800" w:type="dxa"/>
          <w:tcBorders>
            <w:top w:val="nil"/>
            <w:left w:val="nil"/>
            <w:bottom w:val="nil"/>
            <w:right w:val="nil"/>
          </w:tcBorders>
          <w:tcMar>
            <w:top w:w="0" w:type="dxa"/>
            <w:left w:w="0" w:type="dxa"/>
            <w:bottom w:w="0" w:type="dxa"/>
            <w:right w:w="200" w:type="dxa"/>
          </w:tcMar>
          <w:vAlign w:val="center"/>
        </w:tcPr>
        <w:p w14:paraId="6E5D2AC2">
          <w:pPr>
            <w:spacing w:before="0" w:after="0"/>
          </w:pPr>
          <w:r>
            <w:drawing>
              <wp:inline distT="0" distB="0" distL="0" distR="0">
                <wp:extent cx="2601595" cy="695325"/>
                <wp:effectExtent l="0" t="0" r="0" b="3175"/>
                <wp:docPr id="1" name="Bild 1" descr="C:/Users/oliver/Desktop/Neuer Ordner/die ORDI/Logo/Neues_Logo_003_transparent.pngNeues_Logo_003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C:/Users/oliver/Desktop/Neuer Ordner/die ORDI/Logo/Neues_Logo_003_transparent.pngNeues_Logo_003_transparent"/>
                        <pic:cNvPicPr>
                          <a:picLocks noChangeAspect="1" noChangeArrowheads="1"/>
                        </pic:cNvPicPr>
                      </pic:nvPicPr>
                      <pic:blipFill>
                        <a:blip r:embed="rId1"/>
                        <a:srcRect t="5528" b="5528"/>
                        <a:stretch>
                          <a:fillRect/>
                        </a:stretch>
                      </pic:blipFill>
                      <pic:spPr>
                        <a:xfrm>
                          <a:off x="0" y="0"/>
                          <a:ext cx="2601595" cy="695325"/>
                        </a:xfrm>
                        <a:prstGeom prst="rect">
                          <a:avLst/>
                        </a:prstGeom>
                      </pic:spPr>
                    </pic:pic>
                  </a:graphicData>
                </a:graphic>
              </wp:inline>
            </w:drawing>
          </w:r>
        </w:p>
      </w:tc>
      <w:tc>
        <w:tcPr>
          <w:tcW w:w="6404" w:type="dxa"/>
          <w:tcBorders>
            <w:top w:val="nil"/>
            <w:left w:val="nil"/>
            <w:bottom w:val="nil"/>
            <w:right w:val="nil"/>
          </w:tcBorders>
          <w:tcMar>
            <w:top w:w="0" w:type="dxa"/>
            <w:left w:w="0" w:type="dxa"/>
            <w:bottom w:w="0" w:type="dxa"/>
            <w:right w:w="0" w:type="dxa"/>
          </w:tcMar>
          <w:vAlign w:val="center"/>
        </w:tcPr>
        <w:p w14:paraId="2D8FC49F">
          <w:pPr>
            <w:wordWrap w:val="0"/>
            <w:spacing w:before="0" w:after="30"/>
            <w:jc w:val="right"/>
            <w:rPr>
              <w:rFonts w:hint="default"/>
              <w:lang w:val="de-DE"/>
            </w:rPr>
          </w:pPr>
          <w:r>
            <w:rPr>
              <w:rFonts w:ascii="Calibri" w:hAnsi="Calibri" w:eastAsia="Calibri" w:cs="Calibri"/>
              <w:b/>
              <w:bCs/>
              <w:color w:val="1C1C1C"/>
              <w:sz w:val="17"/>
              <w:szCs w:val="17"/>
            </w:rPr>
            <w:t>OA Dr. med. univ. Shady El Marto WDM</w:t>
          </w:r>
          <w:r>
            <w:rPr>
              <w:rFonts w:hint="default" w:ascii="Calibri" w:hAnsi="Calibri" w:eastAsia="Calibri" w:cs="Calibri"/>
              <w:b/>
              <w:bCs/>
              <w:color w:val="1C1C1C"/>
              <w:sz w:val="17"/>
              <w:szCs w:val="17"/>
              <w:lang w:val="de-DE"/>
            </w:rPr>
            <w:t xml:space="preserve"> </w:t>
          </w:r>
        </w:p>
        <w:p w14:paraId="0F254B4D">
          <w:pPr>
            <w:wordWrap w:val="0"/>
            <w:spacing w:before="0" w:after="0"/>
            <w:jc w:val="right"/>
            <w:rPr>
              <w:rFonts w:hint="default"/>
              <w:lang w:val="de-DE"/>
            </w:rPr>
          </w:pPr>
          <w:r>
            <w:rPr>
              <w:rFonts w:ascii="Calibri" w:hAnsi="Calibri" w:eastAsia="Calibri" w:cs="Calibri"/>
              <w:color w:val="666666"/>
              <w:sz w:val="15"/>
              <w:szCs w:val="15"/>
            </w:rPr>
            <w:t>Facharzt für Orthopädie und Traumatologie  |  Facharzt für Unfallchirurgie</w:t>
          </w:r>
          <w:r>
            <w:rPr>
              <w:rFonts w:hint="default" w:ascii="Calibri" w:hAnsi="Calibri" w:eastAsia="Calibri" w:cs="Calibri"/>
              <w:color w:val="666666"/>
              <w:sz w:val="15"/>
              <w:szCs w:val="15"/>
              <w:lang w:val="de-DE"/>
            </w:rPr>
            <w:t xml:space="preserve"> </w:t>
          </w:r>
        </w:p>
        <w:p w14:paraId="38E00E37">
          <w:pPr>
            <w:spacing w:before="0" w:after="0"/>
            <w:jc w:val="center"/>
            <w:rPr>
              <w:rFonts w:hint="default"/>
              <w:lang w:val="de-DE"/>
            </w:rPr>
          </w:pPr>
          <w:r>
            <w:rPr>
              <w:rFonts w:hint="default" w:ascii="Calibri" w:hAnsi="Calibri" w:eastAsia="Calibri" w:cs="Calibri"/>
              <w:color w:val="666666"/>
              <w:sz w:val="15"/>
              <w:szCs w:val="15"/>
              <w:lang w:val="de-DE"/>
            </w:rPr>
            <w:t xml:space="preserve">                                                                     </w:t>
          </w:r>
          <w:r>
            <w:rPr>
              <w:rFonts w:ascii="Calibri" w:hAnsi="Calibri" w:eastAsia="Calibri" w:cs="Calibri"/>
              <w:color w:val="666666"/>
              <w:sz w:val="15"/>
              <w:szCs w:val="15"/>
            </w:rPr>
            <w:t>Am Hof 11 Top 9  |  1010 Wien  |  Tel.:</w:t>
          </w:r>
          <w:r>
            <w:rPr>
              <w:rFonts w:ascii="Calibri" w:hAnsi="Calibri" w:eastAsia="Calibri" w:cs="Calibri"/>
              <w:b/>
              <w:bCs/>
              <w:color w:val="666666"/>
              <w:sz w:val="15"/>
              <w:szCs w:val="15"/>
            </w:rPr>
            <w:t xml:space="preserve"> +43 664 328 44 65</w:t>
          </w:r>
          <w:r>
            <w:rPr>
              <w:rFonts w:hint="default" w:ascii="Calibri" w:hAnsi="Calibri" w:eastAsia="Calibri" w:cs="Calibri"/>
              <w:color w:val="666666"/>
              <w:sz w:val="15"/>
              <w:szCs w:val="15"/>
              <w:lang w:val="de-DE"/>
            </w:rPr>
            <w:t xml:space="preserve">     </w:t>
          </w:r>
        </w:p>
        <w:p w14:paraId="3D2A998F">
          <w:pPr>
            <w:wordWrap w:val="0"/>
            <w:spacing w:before="0" w:after="0"/>
            <w:jc w:val="right"/>
            <w:rPr>
              <w:rFonts w:hint="default"/>
              <w:lang w:val="de-DE"/>
            </w:rPr>
          </w:pPr>
          <w:r>
            <w:rPr>
              <w:rFonts w:ascii="Calibri" w:hAnsi="Calibri" w:eastAsia="Calibri" w:cs="Calibri"/>
              <w:color w:val="9A7B2F"/>
              <w:sz w:val="15"/>
              <w:szCs w:val="15"/>
            </w:rPr>
            <w:t>ordination@dr-elmarto.at  |  www.dr-elmarto.at</w:t>
          </w:r>
          <w:r>
            <w:rPr>
              <w:rFonts w:hint="default" w:ascii="Calibri" w:hAnsi="Calibri" w:eastAsia="Calibri" w:cs="Calibri"/>
              <w:color w:val="9A7B2F"/>
              <w:sz w:val="15"/>
              <w:szCs w:val="15"/>
              <w:lang w:val="de-DE"/>
            </w:rPr>
            <w:t xml:space="preserve"> </w:t>
          </w:r>
        </w:p>
      </w:tc>
    </w:tr>
  </w:tbl>
  <w:p w14:paraId="4C47FA82">
    <w:pPr>
      <w:pBdr>
        <w:bottom w:val="single" w:color="B8952A" w:sz="12" w:space="1"/>
      </w:pBdr>
      <w:spacing w:before="6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80"/>
      </w:pPr>
      <w:rPr>
        <w:rFonts w:ascii="Arial" w:hAnsi="Arial" w:eastAsia="Arial" w:cs="Arial"/>
        <w:color w:val="B8952A"/>
        <w:sz w:val="26"/>
        <w:szCs w:val="26"/>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53A3D"/>
    <w:rsid w:val="074C2609"/>
    <w:rsid w:val="10F442DE"/>
    <w:rsid w:val="15C64B46"/>
    <w:rsid w:val="32F31EA6"/>
    <w:rsid w:val="353B041A"/>
    <w:rsid w:val="3D0310A4"/>
    <w:rsid w:val="5C46562F"/>
    <w:rsid w:val="5EC2745F"/>
    <w:rsid w:val="75B84239"/>
    <w:rsid w:val="7AA34743"/>
    <w:rsid w:val="7B582B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Strong"/>
    <w:qFormat/>
    <w:uiPriority w:val="0"/>
    <w:rPr>
      <w:b/>
      <w:bCs/>
    </w:rPr>
  </w:style>
  <w:style w:type="character" w:styleId="12">
    <w:name w:val="footnote reference"/>
    <w:semiHidden/>
    <w:unhideWhenUsed/>
    <w:qFormat/>
    <w:uiPriority w:val="99"/>
    <w:rPr>
      <w:vertAlign w:val="superscript"/>
    </w:rPr>
  </w:style>
  <w:style w:type="character" w:styleId="13">
    <w:name w:val="Hyperlink"/>
    <w:unhideWhenUsed/>
    <w:qFormat/>
    <w:uiPriority w:val="99"/>
    <w:rPr>
      <w:color w:val="0563C1"/>
      <w:u w:val="single"/>
    </w:rPr>
  </w:style>
  <w:style w:type="paragraph" w:styleId="14">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5">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6">
    <w:name w:val="footer"/>
    <w:basedOn w:val="1"/>
    <w:qFormat/>
    <w:uiPriority w:val="0"/>
    <w:pPr>
      <w:tabs>
        <w:tab w:val="center" w:pos="4153"/>
        <w:tab w:val="right" w:pos="8306"/>
      </w:tabs>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5"/>
    <w:semiHidden/>
    <w:unhideWhenUsed/>
    <w:qFormat/>
    <w:uiPriority w:val="99"/>
    <w:rPr>
      <w:sz w:val="20"/>
      <w:szCs w:val="20"/>
    </w:rPr>
  </w:style>
  <w:style w:type="character" w:customStyle="1" w:styleId="21">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713</Words>
  <Characters>5220</Characters>
  <TotalTime>16</TotalTime>
  <ScaleCrop>false</ScaleCrop>
  <LinksUpToDate>false</LinksUpToDate>
  <CharactersWithSpaces>5888</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2026-04-20T22:06:00Z</dcterms:created>
  <dc:creator>Un-named</dc:creator>
  <cp:lastModifiedBy>OS Premium Account</cp:lastModifiedBy>
  <dcterms:modified xsi:type="dcterms:W3CDTF">2026-04-27T20:21:00Z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eyJoZGlkIjoiZTdmYzMyMDcyOWY0ZjJjZjIzYTU2ZDQ4OWJjNzcxY2IiLCJ1c2VySWQiOiI3Njk2NTgyNDI4NTM5In0=</vt:lpwstr>
  </property>
  <property fmtid="{D5CDD505-2E9C-101B-9397-08002B2CF9AE}" pid="3" name="KSOProductBuildVer">
    <vt:lpwstr>1031-12.1.0.25242</vt:lpwstr>
  </property>
  <property fmtid="{D5CDD505-2E9C-101B-9397-08002B2CF9AE}" pid="4" name="ICV">
    <vt:lpwstr>D475E1658C1D480DA1043505A6FCA1DB_13</vt:lpwstr>
  </property>
</Properties>
</file>