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C86DEC">
      <w:pPr>
        <w:spacing w:before="120" w:after="30"/>
        <w:jc w:val="both"/>
        <w:rPr>
          <w:rFonts w:ascii="Georgia" w:hAnsi="Georgia" w:cs="Georgia"/>
          <w:color w:val="101010"/>
          <w:sz w:val="20"/>
          <w:szCs w:val="20"/>
        </w:rPr>
      </w:pPr>
    </w:p>
    <w:p w14:paraId="707CFBD0">
      <w:pPr>
        <w:spacing w:before="120" w:after="30"/>
        <w:jc w:val="center"/>
      </w:pPr>
      <w:r>
        <w:rPr>
          <w:rFonts w:ascii="Georgia" w:hAnsi="Georgia" w:cs="Georgia"/>
          <w:color w:val="101010"/>
          <w:sz w:val="38"/>
          <w:szCs w:val="38"/>
        </w:rPr>
        <w:t xml:space="preserve">Nachbehandlung nach </w:t>
      </w:r>
      <w:r>
        <w:rPr>
          <w:rFonts w:ascii="Georgia" w:hAnsi="Georgia" w:cs="Georgia"/>
          <w:color w:val="B8952A"/>
          <w:sz w:val="38"/>
          <w:szCs w:val="38"/>
        </w:rPr>
        <w:t>Arthroskopie des Kniegelenks</w:t>
      </w:r>
    </w:p>
    <w:p w14:paraId="62891A02">
      <w:pPr>
        <w:spacing w:before="0" w:after="60"/>
        <w:jc w:val="center"/>
      </w:pPr>
      <w:r>
        <w:rPr>
          <w:rFonts w:ascii="Calibri" w:hAnsi="Calibri" w:cs="Calibri"/>
          <w:color w:val="auto"/>
          <w:spacing w:val="60"/>
          <w:sz w:val="24"/>
          <w:szCs w:val="24"/>
        </w:rPr>
        <w:t>Rehabilitationsplan  ·  Wochen 1–6</w:t>
      </w:r>
    </w:p>
    <w:p w14:paraId="33953E61">
      <w:pPr>
        <w:pBdr>
          <w:bottom w:val="single" w:color="DDD8CC" w:sz="2" w:space="1"/>
        </w:pBdr>
        <w:spacing w:before="0" w:after="0"/>
      </w:pPr>
    </w:p>
    <w:p w14:paraId="401E8E93">
      <w:pPr>
        <w:spacing w:before="20" w:after="0"/>
        <w:rPr>
          <w:rFonts w:ascii="Times New Roman" w:hAnsi="Times New Roman" w:cs="Times New Roman"/>
          <w:b/>
          <w:bCs/>
          <w:color w:val="1C1C1C"/>
          <w:sz w:val="24"/>
          <w:szCs w:val="24"/>
        </w:rPr>
      </w:pPr>
    </w:p>
    <w:p w14:paraId="42835F79">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3DD47198">
      <w:pPr>
        <w:pStyle w:val="17"/>
        <w:spacing w:after="60"/>
        <w:jc w:val="both"/>
      </w:pPr>
      <w:r>
        <w:t xml:space="preserve">Bei Ihnen ist eine </w:t>
      </w:r>
      <w:r>
        <w:rPr>
          <w:b/>
          <w:bCs/>
        </w:rPr>
        <w:t>Arthroskopie des Kniegelenks</w:t>
      </w:r>
      <w:r>
        <w:t xml:space="preserve"> durchgeführt worden. Folgende Empfehlungen sind für Sie unterstützend als Merkhilfe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64331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359CEAD6">
            <w:pPr>
              <w:spacing w:before="0" w:after="60"/>
            </w:pPr>
            <w:r>
              <w:rPr>
                <w:rFonts w:ascii="Times New Roman" w:hAnsi="Times New Roman" w:cs="Times New Roman"/>
                <w:b/>
                <w:bCs/>
                <w:color w:val="1C1C1C"/>
                <w:sz w:val="26"/>
                <w:szCs w:val="26"/>
              </w:rPr>
              <w:t>Allgemeine Hinweise direkt nach der OP</w:t>
            </w:r>
          </w:p>
          <w:p w14:paraId="0190F5E7">
            <w:pPr>
              <w:spacing w:before="0" w:after="0"/>
              <w:jc w:val="both"/>
            </w:pPr>
            <w:r>
              <w:rPr>
                <w:sz w:val="24"/>
                <w:szCs w:val="24"/>
              </w:rPr>
              <w:t>Aktives Strecken in Kombination mit Hochlagerung und Kühlung stehen im Vordergrund. Bitte verwenden Sie die ersten 5–7 Tage unterstützend die Krücken (Teilbelastung mit halbem Körpergewicht). Kniegelenksorthese F 90 Grad bis zur Nahtentfernung Tag und Nacht empfohlen. Zum Duschen kann die Schiene abgenommen werden.</w:t>
            </w:r>
          </w:p>
        </w:tc>
      </w:tr>
    </w:tbl>
    <w:p w14:paraId="0CAA89AC">
      <w:pPr>
        <w:spacing w:before="180" w:after="0"/>
      </w:pPr>
    </w:p>
    <w:tbl>
      <w:tblPr>
        <w:tblStyle w:val="9"/>
        <w:tblW w:w="10172"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72"/>
      </w:tblGrid>
      <w:tr w14:paraId="3D405887">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72"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05E050F3">
            <w:pPr>
              <w:pBdr>
                <w:bottom w:val="single" w:color="D8C990" w:sz="2" w:space="2"/>
              </w:pBdr>
              <w:spacing w:before="0" w:after="80"/>
            </w:pPr>
            <w:r>
              <w:rPr>
                <w:rFonts w:ascii="Georgia" w:hAnsi="Georgia" w:cs="Georgia"/>
                <w:b/>
                <w:bCs/>
                <w:caps/>
                <w:color w:val="9A7B2F"/>
                <w:spacing w:val="60"/>
                <w:sz w:val="22"/>
                <w:szCs w:val="22"/>
              </w:rPr>
              <w:t>Ab der 1. Woche</w:t>
            </w:r>
          </w:p>
          <w:p w14:paraId="0EECDD8E">
            <w:pPr>
              <w:spacing w:before="30" w:after="30"/>
            </w:pPr>
            <w:r>
              <w:rPr>
                <w:rFonts w:ascii="Times New Roman" w:hAnsi="Times New Roman" w:cs="Times New Roman"/>
                <w:color w:val="1C1C1C"/>
                <w:sz w:val="24"/>
                <w:szCs w:val="24"/>
              </w:rPr>
              <w:t xml:space="preserve">Abschwellende Maßnahmen mittels </w:t>
            </w:r>
            <w:r>
              <w:rPr>
                <w:rFonts w:ascii="Times New Roman" w:hAnsi="Times New Roman" w:cs="Times New Roman"/>
                <w:b/>
                <w:bCs/>
                <w:color w:val="1C1C1C"/>
                <w:sz w:val="24"/>
                <w:szCs w:val="24"/>
              </w:rPr>
              <w:t>Game Ready</w:t>
            </w:r>
            <w:r>
              <w:rPr>
                <w:rFonts w:ascii="Times New Roman" w:hAnsi="Times New Roman" w:cs="Times New Roman"/>
                <w:color w:val="1C1C1C"/>
                <w:sz w:val="24"/>
                <w:szCs w:val="24"/>
              </w:rPr>
              <w:t xml:space="preserve"> (ca. 3–5 Einheiten nach OP) sowie </w:t>
            </w:r>
            <w:r>
              <w:rPr>
                <w:rFonts w:ascii="Times New Roman" w:hAnsi="Times New Roman" w:cs="Times New Roman"/>
                <w:b/>
                <w:bCs/>
                <w:color w:val="1C1C1C"/>
                <w:sz w:val="24"/>
                <w:szCs w:val="24"/>
              </w:rPr>
              <w:t>Magnetolitherapie</w:t>
            </w:r>
            <w:r>
              <w:rPr>
                <w:rFonts w:ascii="Times New Roman" w:hAnsi="Times New Roman" w:cs="Times New Roman"/>
                <w:color w:val="1C1C1C"/>
                <w:sz w:val="24"/>
                <w:szCs w:val="24"/>
              </w:rPr>
              <w:t xml:space="preserve"> (ca. 6–8 Einheiten, alle 3–5 Tage in der Ordination).</w:t>
            </w:r>
          </w:p>
          <w:p w14:paraId="43D026D0">
            <w:pPr>
              <w:spacing w:before="30" w:after="60"/>
            </w:pPr>
            <w:r>
              <w:rPr>
                <w:rFonts w:ascii="Times New Roman" w:hAnsi="Times New Roman" w:cs="Times New Roman"/>
                <w:color w:val="1C1C1C"/>
                <w:sz w:val="24"/>
                <w:szCs w:val="24"/>
              </w:rPr>
              <w:t>Zu Hause: Coolpacks und Hochlagerung des Beines. Duschpflaster können regelmäßig nach Bedarf gewechselt werden.</w:t>
            </w:r>
          </w:p>
          <w:p w14:paraId="6D35F58B">
            <w:pPr>
              <w:pBdr>
                <w:top w:val="single" w:color="D8C990" w:sz="2" w:space="2"/>
                <w:bottom w:val="single" w:color="D8C990" w:sz="2" w:space="2"/>
              </w:pBdr>
              <w:spacing w:before="60" w:after="80"/>
            </w:pPr>
            <w:r>
              <w:rPr>
                <w:rFonts w:ascii="Georgia" w:hAnsi="Georgia" w:cs="Georgia"/>
                <w:b/>
                <w:bCs/>
                <w:caps/>
                <w:color w:val="9A7B2F"/>
                <w:spacing w:val="60"/>
                <w:sz w:val="22"/>
                <w:szCs w:val="22"/>
              </w:rPr>
              <w:t>Ab der 2. Woche</w:t>
            </w:r>
          </w:p>
          <w:p w14:paraId="325EB712">
            <w:pPr>
              <w:spacing w:before="30" w:after="30"/>
            </w:pPr>
            <w:r>
              <w:rPr>
                <w:rFonts w:ascii="Times New Roman" w:hAnsi="Times New Roman" w:cs="Times New Roman"/>
                <w:color w:val="1C1C1C"/>
                <w:sz w:val="24"/>
                <w:szCs w:val="24"/>
              </w:rPr>
              <w:t xml:space="preserve">Beginn mit Bewegungsübungen in der geschlossenen Kette sowie Physiotherapie und Koordinationstraining unter Anleitung. Im Rahmen der Nahtentfernung: </w:t>
            </w:r>
          </w:p>
          <w:p w14:paraId="4174BDD1">
            <w:pPr>
              <w:spacing w:before="30" w:after="30"/>
              <w:rPr>
                <w:rFonts w:ascii="Times New Roman" w:hAnsi="Times New Roman" w:cs="Times New Roman"/>
                <w:b/>
                <w:bCs/>
                <w:color w:val="1C1C1C"/>
                <w:sz w:val="24"/>
                <w:szCs w:val="24"/>
              </w:rPr>
            </w:pPr>
            <w:r>
              <w:rPr>
                <w:rFonts w:ascii="Times New Roman" w:hAnsi="Times New Roman" w:cs="Times New Roman"/>
                <w:b/>
                <w:bCs/>
                <w:color w:val="1C1C1C"/>
                <w:sz w:val="24"/>
                <w:szCs w:val="24"/>
              </w:rPr>
              <w:t>Beginn mit ESWT – 5 Einheiten in der Ordination.</w:t>
            </w:r>
          </w:p>
          <w:p w14:paraId="7340FCE6">
            <w:pPr>
              <w:pBdr>
                <w:top w:val="single" w:color="D8C990" w:sz="2" w:space="2"/>
                <w:bottom w:val="single" w:color="D8C990" w:sz="2" w:space="2"/>
              </w:pBdr>
              <w:spacing w:before="60" w:after="80"/>
              <w:rPr>
                <w:rFonts w:hint="default"/>
                <w:lang w:val="de-DE"/>
              </w:rPr>
            </w:pPr>
            <w:r>
              <w:rPr>
                <w:rFonts w:hint="default" w:ascii="Georgia" w:hAnsi="Georgia" w:cs="Georgia"/>
                <w:b/>
                <w:bCs/>
                <w:caps/>
                <w:color w:val="9A7B2F"/>
                <w:spacing w:val="60"/>
                <w:sz w:val="22"/>
                <w:szCs w:val="22"/>
                <w:lang w:val="de-DE"/>
              </w:rPr>
              <w:t>Nach 4</w:t>
            </w:r>
            <w:r>
              <w:rPr>
                <w:rFonts w:ascii="Georgia" w:hAnsi="Georgia" w:cs="Georgia"/>
                <w:b/>
                <w:bCs/>
                <w:caps/>
                <w:color w:val="9A7B2F"/>
                <w:spacing w:val="60"/>
                <w:sz w:val="22"/>
                <w:szCs w:val="22"/>
              </w:rPr>
              <w:t xml:space="preserve"> Woche</w:t>
            </w:r>
            <w:r>
              <w:rPr>
                <w:rFonts w:hint="default" w:ascii="Georgia" w:hAnsi="Georgia" w:cs="Georgia"/>
                <w:b/>
                <w:bCs/>
                <w:caps/>
                <w:color w:val="9A7B2F"/>
                <w:spacing w:val="60"/>
                <w:sz w:val="22"/>
                <w:szCs w:val="22"/>
                <w:lang w:val="de-DE"/>
              </w:rPr>
              <w:t>n</w:t>
            </w:r>
          </w:p>
          <w:p w14:paraId="19F01E9D">
            <w:pPr>
              <w:spacing w:before="30" w:after="60"/>
              <w:rPr>
                <w:rFonts w:ascii="Times New Roman" w:hAnsi="Times New Roman" w:cs="Times New Roman"/>
                <w:b/>
                <w:bCs/>
                <w:color w:val="1C1C1C"/>
                <w:sz w:val="24"/>
                <w:szCs w:val="24"/>
              </w:rPr>
            </w:pPr>
            <w:r>
              <w:rPr>
                <w:rFonts w:ascii="Times New Roman" w:hAnsi="Times New Roman" w:cs="Times New Roman"/>
                <w:b w:val="0"/>
                <w:bCs w:val="0"/>
                <w:color w:val="1C1C1C"/>
                <w:sz w:val="24"/>
                <w:szCs w:val="24"/>
              </w:rPr>
              <w:t>Beginn mit Infiltrationen zur Optimierung der Heilung, Schutz des Gelenkknorpels und Wiederherstellung der Gelenksschmiere (ACP-PRP + Hyaluronsäure oder isoliert hochkonzentrierte Hyaluronsäure). Zusätzlich vorsichtiges Ergometerfahren (geringe Watt-Zahl, geringe Trittfrequenz, hoher Sattel).</w:t>
            </w:r>
          </w:p>
          <w:p w14:paraId="1743B6F3">
            <w:pPr>
              <w:pBdr>
                <w:top w:val="single" w:color="D8C990" w:sz="2" w:space="2"/>
                <w:bottom w:val="single" w:color="D8C990" w:sz="2" w:space="2"/>
              </w:pBdr>
              <w:spacing w:before="60" w:after="80"/>
            </w:pPr>
            <w:r>
              <w:rPr>
                <w:rFonts w:hint="default" w:ascii="Georgia" w:hAnsi="Georgia" w:cs="Georgia"/>
                <w:b/>
                <w:bCs/>
                <w:caps/>
                <w:color w:val="9A7B2F"/>
                <w:spacing w:val="60"/>
                <w:sz w:val="22"/>
                <w:szCs w:val="22"/>
                <w:lang w:val="de-DE"/>
              </w:rPr>
              <w:t>NA</w:t>
            </w:r>
            <w:r>
              <w:rPr>
                <w:rFonts w:ascii="Georgia" w:hAnsi="Georgia" w:cs="Georgia"/>
                <w:b/>
                <w:bCs/>
                <w:caps/>
                <w:color w:val="9A7B2F"/>
                <w:spacing w:val="60"/>
                <w:sz w:val="22"/>
                <w:szCs w:val="22"/>
              </w:rPr>
              <w:t>ch 6 Wochen</w:t>
            </w:r>
          </w:p>
          <w:p w14:paraId="08727D73">
            <w:pPr>
              <w:spacing w:before="30" w:after="30"/>
            </w:pPr>
            <w:r>
              <w:rPr>
                <w:rFonts w:ascii="Times New Roman" w:hAnsi="Times New Roman" w:cs="Times New Roman"/>
                <w:color w:val="1C1C1C"/>
                <w:sz w:val="24"/>
                <w:szCs w:val="24"/>
              </w:rPr>
              <w:t>Beginn mit Nordic Walking, Schwimmen, Radfahren im Freien, Aquajogging und muskelstabilisierenden Übungen unter Anleitung der Physiotherapeuten/Innen.</w:t>
            </w:r>
          </w:p>
          <w:p w14:paraId="3D096605">
            <w:pPr>
              <w:spacing w:before="30" w:after="30"/>
              <w:rPr>
                <w:rFonts w:ascii="Times New Roman" w:hAnsi="Times New Roman" w:cs="Times New Roman"/>
                <w:b/>
                <w:bCs/>
                <w:color w:val="1C1C1C"/>
                <w:sz w:val="24"/>
                <w:szCs w:val="24"/>
              </w:rPr>
            </w:pPr>
            <w:r>
              <w:rPr>
                <w:rFonts w:ascii="Times New Roman" w:hAnsi="Times New Roman" w:cs="Times New Roman"/>
                <w:color w:val="1C1C1C"/>
                <w:sz w:val="24"/>
                <w:szCs w:val="24"/>
              </w:rPr>
              <w:t xml:space="preserve">Zusätzlich Beginn mit lockerem Laufen sowie zunehmenden </w:t>
            </w:r>
            <w:r>
              <w:rPr>
                <w:rFonts w:ascii="Times New Roman" w:hAnsi="Times New Roman" w:cs="Times New Roman"/>
                <w:b/>
                <w:bCs/>
                <w:color w:val="1C1C1C"/>
                <w:sz w:val="24"/>
                <w:szCs w:val="24"/>
              </w:rPr>
              <w:t>muskelaufbauenden Kraft- und Stabilisierungsübungen</w:t>
            </w:r>
            <w:r>
              <w:rPr>
                <w:rFonts w:ascii="Times New Roman" w:hAnsi="Times New Roman" w:cs="Times New Roman"/>
                <w:color w:val="1C1C1C"/>
                <w:sz w:val="24"/>
                <w:szCs w:val="24"/>
              </w:rPr>
              <w:t xml:space="preserve"> unter Anleitung der Physiotherapeuten/Innen.</w:t>
            </w:r>
          </w:p>
        </w:tc>
      </w:tr>
    </w:tbl>
    <w:p w14:paraId="000AFB26">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2A40998">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34B4BAB2">
            <w:pPr>
              <w:spacing w:before="0" w:after="60"/>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zur Optimierung des Heilungsprozesses. Es wird bei den genannten Sportarten kein Anspruch auf Vollständigkeit erhoben.</w:t>
            </w:r>
          </w:p>
          <w:p w14:paraId="0C0C556F">
            <w:pPr>
              <w:spacing w:before="0" w:after="60"/>
            </w:pPr>
            <w:r>
              <w:rPr>
                <w:rFonts w:ascii="Georgia" w:hAnsi="Georgia" w:cs="Georgia"/>
                <w:b/>
                <w:bCs/>
                <w:color w:val="9A7B2F"/>
                <w:sz w:val="26"/>
                <w:szCs w:val="26"/>
              </w:rPr>
              <w:t>Unser gesamtes Team steht Ihnen bei Fragen jederzeit zur Verfügung.</w:t>
            </w:r>
          </w:p>
        </w:tc>
      </w:tr>
    </w:tbl>
    <w:p w14:paraId="17547518">
      <w:bookmarkStart w:id="0" w:name="_GoBack"/>
      <w:bookmarkEnd w:id="0"/>
    </w:p>
    <w:sectPr>
      <w:headerReference r:id="rId3" w:type="default"/>
      <w:pgSz w:w="11906" w:h="16838"/>
      <w:pgMar w:top="574" w:right="851" w:bottom="724"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297"/>
      <w:gridCol w:w="5907"/>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drawing>
              <wp:inline distT="0" distB="0" distL="0" distR="0">
                <wp:extent cx="2601595" cy="695325"/>
                <wp:effectExtent l="0" t="0" r="0" b="3175"/>
                <wp:docPr id="1" name="Bild 1" descr="C:/Users/oliver/Desktop/Neuer Ordner/die ORDI/Logo/Neues_Logo_003_transparent.pngNeues_Logo_003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C:/Users/oliver/Desktop/Neuer Ordner/die ORDI/Logo/Neues_Logo_003_transparent.pngNeues_Logo_003_transparent"/>
                        <pic:cNvPicPr>
                          <a:picLocks noChangeAspect="1" noChangeArrowheads="1"/>
                        </pic:cNvPicPr>
                      </pic:nvPicPr>
                      <pic:blipFill>
                        <a:blip r:embed="rId1"/>
                        <a:srcRect t="5528" b="5528"/>
                        <a:stretch>
                          <a:fillRect/>
                        </a:stretch>
                      </pic:blipFill>
                      <pic:spPr>
                        <a:xfrm>
                          <a:off x="0" y="0"/>
                          <a:ext cx="2601595" cy="69532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lang w:val="de-DE"/>
            </w:rPr>
          </w:pPr>
          <w:r>
            <w:rPr>
              <w:rFonts w:ascii="Calibri" w:hAnsi="Calibri" w:eastAsia="Calibri" w:cs="Calibri"/>
              <w:b/>
              <w:bCs/>
              <w:color w:val="1C1C1C"/>
              <w:sz w:val="17"/>
              <w:szCs w:val="17"/>
            </w:rPr>
            <w:t>OA Dr. med. univ. Shady El Marto WDM</w:t>
          </w:r>
          <w:r>
            <w:rPr>
              <w:rFonts w:hint="default" w:ascii="Calibri" w:hAnsi="Calibri" w:eastAsia="Calibri" w:cs="Calibri"/>
              <w:b/>
              <w:bCs/>
              <w:color w:val="1C1C1C"/>
              <w:sz w:val="17"/>
              <w:szCs w:val="17"/>
              <w:lang w:val="de-DE"/>
            </w:rPr>
            <w:t xml:space="preserve"> </w:t>
          </w:r>
        </w:p>
        <w:p w14:paraId="0F254B4D">
          <w:pPr>
            <w:wordWrap w:val="0"/>
            <w:spacing w:before="0" w:after="0"/>
            <w:jc w:val="right"/>
            <w:rPr>
              <w:rFonts w:hint="default"/>
              <w:lang w:val="de-DE"/>
            </w:rPr>
          </w:pPr>
          <w:r>
            <w:rPr>
              <w:rFonts w:ascii="Calibri" w:hAnsi="Calibri" w:eastAsia="Calibri" w:cs="Calibri"/>
              <w:color w:val="666666"/>
              <w:sz w:val="15"/>
              <w:szCs w:val="15"/>
            </w:rPr>
            <w:t>Facharzt für Orthopädie und Traumatologie  |  Facharzt für Unfallchirurgie</w:t>
          </w:r>
          <w:r>
            <w:rPr>
              <w:rFonts w:hint="default" w:ascii="Calibri" w:hAnsi="Calibri" w:eastAsia="Calibri" w:cs="Calibri"/>
              <w:color w:val="666666"/>
              <w:sz w:val="15"/>
              <w:szCs w:val="15"/>
              <w:lang w:val="de-DE"/>
            </w:rPr>
            <w:t xml:space="preserve"> </w:t>
          </w:r>
        </w:p>
        <w:p w14:paraId="38E00E37">
          <w:pPr>
            <w:spacing w:before="0" w:after="0"/>
            <w:jc w:val="center"/>
            <w:rPr>
              <w:rFonts w:hint="default"/>
              <w:lang w:val="de-DE"/>
            </w:rPr>
          </w:pPr>
          <w:r>
            <w:rPr>
              <w:rFonts w:hint="default" w:ascii="Calibri" w:hAnsi="Calibri" w:eastAsia="Calibri" w:cs="Calibri"/>
              <w:color w:val="666666"/>
              <w:sz w:val="15"/>
              <w:szCs w:val="15"/>
              <w:lang w:val="de-DE"/>
            </w:rPr>
            <w:t xml:space="preserve">                                                                     </w:t>
          </w:r>
          <w:r>
            <w:rPr>
              <w:rFonts w:ascii="Calibri" w:hAnsi="Calibri" w:eastAsia="Calibri" w:cs="Calibri"/>
              <w:color w:val="666666"/>
              <w:sz w:val="15"/>
              <w:szCs w:val="15"/>
            </w:rPr>
            <w:t>Am Hof 11 Top 9  |  1010 Wien  |  Tel.:</w:t>
          </w:r>
          <w:r>
            <w:rPr>
              <w:rFonts w:ascii="Calibri" w:hAnsi="Calibri" w:eastAsia="Calibri" w:cs="Calibri"/>
              <w:b/>
              <w:bCs/>
              <w:color w:val="666666"/>
              <w:sz w:val="15"/>
              <w:szCs w:val="15"/>
            </w:rPr>
            <w:t xml:space="preserve"> +43 664 328 44 65</w:t>
          </w:r>
          <w:r>
            <w:rPr>
              <w:rFonts w:hint="default" w:ascii="Calibri" w:hAnsi="Calibri" w:eastAsia="Calibri" w:cs="Calibri"/>
              <w:color w:val="666666"/>
              <w:sz w:val="15"/>
              <w:szCs w:val="15"/>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5"/>
              <w:szCs w:val="15"/>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74C2609"/>
    <w:rsid w:val="10F442DE"/>
    <w:rsid w:val="15C64B46"/>
    <w:rsid w:val="32F31EA6"/>
    <w:rsid w:val="353B041A"/>
    <w:rsid w:val="5A542393"/>
    <w:rsid w:val="5C46562F"/>
    <w:rsid w:val="5EC2745F"/>
    <w:rsid w:val="7AA34743"/>
    <w:rsid w:val="7B582B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265</Words>
  <Characters>1833</Characters>
  <TotalTime>0</TotalTime>
  <ScaleCrop>false</ScaleCrop>
  <LinksUpToDate>false</LinksUpToDate>
  <CharactersWithSpaces>2083</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2026-04-26T17:30:34Z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D475E1658C1D480DA1043505A6FCA1DB_13</vt:lpwstr>
  </property>
</Properties>
</file>