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8014DD">
      <w:pPr>
        <w:spacing w:before="120" w:after="40"/>
        <w:jc w:val="center"/>
        <w:rPr>
          <w:rFonts w:ascii="Georgia" w:hAnsi="Georgia" w:cs="Georgia"/>
          <w:color w:val="101010"/>
          <w:sz w:val="20"/>
          <w:szCs w:val="20"/>
        </w:rPr>
      </w:pPr>
    </w:p>
    <w:p w14:paraId="32A75E83">
      <w:pPr>
        <w:spacing w:before="120" w:after="40"/>
        <w:jc w:val="center"/>
      </w:pPr>
      <w:r>
        <w:rPr>
          <w:rFonts w:ascii="Georgia" w:hAnsi="Georgia" w:cs="Georgia"/>
          <w:color w:val="101010"/>
          <w:sz w:val="44"/>
          <w:szCs w:val="44"/>
        </w:rPr>
        <w:t xml:space="preserve">Extrakorporale </w:t>
      </w:r>
      <w:r>
        <w:rPr>
          <w:rFonts w:ascii="Georgia" w:hAnsi="Georgia" w:cs="Georgia"/>
          <w:color w:val="B8952A"/>
          <w:sz w:val="44"/>
          <w:szCs w:val="44"/>
        </w:rPr>
        <w:t>Stoßwellentherapie</w:t>
      </w:r>
    </w:p>
    <w:p w14:paraId="2AD49A53">
      <w:pPr>
        <w:spacing w:before="0" w:after="60"/>
        <w:jc w:val="center"/>
      </w:pPr>
      <w:r>
        <w:rPr>
          <w:rFonts w:ascii="Calibri" w:hAnsi="Calibri" w:cs="Calibri"/>
          <w:color w:val="auto"/>
          <w:spacing w:val="60"/>
          <w:sz w:val="24"/>
          <w:szCs w:val="24"/>
        </w:rPr>
        <w:t>Nichtinvasiv  ·  Ambulant  ·  Zurück zum Sport</w:t>
      </w:r>
    </w:p>
    <w:p w14:paraId="108B1A1E">
      <w:pPr>
        <w:pBdr>
          <w:bottom w:val="single" w:color="DDD8CC" w:sz="2" w:space="1"/>
        </w:pBdr>
        <w:spacing w:before="0" w:after="0"/>
      </w:pPr>
      <w:bookmarkStart w:id="0" w:name="_GoBack"/>
      <w:bookmarkEnd w:id="0"/>
    </w:p>
    <w:p w14:paraId="0EC4D6F4">
      <w:pPr>
        <w:spacing w:before="20" w:after="0"/>
        <w:rPr>
          <w:rFonts w:ascii="Times New Roman" w:hAnsi="Times New Roman" w:cs="Times New Roman"/>
          <w:b/>
          <w:bCs/>
          <w:color w:val="1C1C1C"/>
          <w:sz w:val="24"/>
          <w:szCs w:val="24"/>
        </w:rPr>
      </w:pPr>
    </w:p>
    <w:p w14:paraId="51CB3332">
      <w:pPr>
        <w:spacing w:before="20" w:after="0"/>
        <w:rPr>
          <w:rFonts w:ascii="Times New Roman" w:hAnsi="Times New Roman" w:cs="Times New Roman"/>
          <w:b/>
          <w:bCs/>
          <w:color w:val="1C1C1C"/>
          <w:sz w:val="24"/>
          <w:szCs w:val="24"/>
        </w:rPr>
      </w:pPr>
      <w:r>
        <w:rPr>
          <w:rFonts w:ascii="Times New Roman" w:hAnsi="Times New Roman" w:cs="Times New Roman"/>
          <w:b/>
          <w:bCs/>
          <w:color w:val="1C1C1C"/>
          <w:sz w:val="24"/>
          <w:szCs w:val="24"/>
        </w:rPr>
        <w:t xml:space="preserve">Sehr geehrte Patientin, </w:t>
      </w:r>
    </w:p>
    <w:p w14:paraId="442A733B">
      <w:pPr>
        <w:spacing w:before="20" w:after="0"/>
        <w:rPr>
          <w:rFonts w:ascii="Times New Roman" w:hAnsi="Times New Roman" w:cs="Times New Roman"/>
          <w:b/>
          <w:bCs/>
          <w:color w:val="1C1C1C"/>
          <w:sz w:val="24"/>
          <w:szCs w:val="24"/>
        </w:rPr>
      </w:pPr>
      <w:r>
        <w:rPr>
          <w:rFonts w:hint="default" w:cs="Times New Roman"/>
          <w:b/>
          <w:bCs/>
          <w:color w:val="1C1C1C"/>
          <w:sz w:val="24"/>
          <w:szCs w:val="24"/>
          <w:lang w:val="de-DE"/>
        </w:rPr>
        <w:t>S</w:t>
      </w:r>
      <w:r>
        <w:rPr>
          <w:rFonts w:ascii="Times New Roman" w:hAnsi="Times New Roman" w:cs="Times New Roman"/>
          <w:b/>
          <w:bCs/>
          <w:color w:val="1C1C1C"/>
          <w:sz w:val="24"/>
          <w:szCs w:val="24"/>
        </w:rPr>
        <w:t>ehr geehrter Patient,</w:t>
      </w:r>
    </w:p>
    <w:p w14:paraId="631375E7">
      <w:pPr>
        <w:pStyle w:val="17"/>
        <w:spacing w:after="60"/>
        <w:jc w:val="both"/>
        <w:rPr>
          <w:b/>
          <w:bCs/>
        </w:rPr>
      </w:pPr>
      <w:r>
        <w:t xml:space="preserve">Die extrakorporale Stoßwellentherapie </w:t>
      </w:r>
      <w:r>
        <w:rPr>
          <w:rFonts w:hint="default"/>
          <w:lang w:val="de-DE"/>
        </w:rPr>
        <w:t xml:space="preserve">(ESWT) </w:t>
      </w:r>
      <w:r>
        <w:t xml:space="preserve">setzt hochenergetische Stoßwellen gezielt im Gewebe ein, um Schmerzen zu lindern und die Regeneration zu aktivieren – ganz </w:t>
      </w:r>
      <w:r>
        <w:rPr>
          <w:b/>
          <w:bCs/>
        </w:rPr>
        <w:t>ohne Operation, ohne Narkose, ohne Ausfallzeiten.</w:t>
      </w:r>
    </w:p>
    <w:p w14:paraId="0097BC98">
      <w:pPr>
        <w:pStyle w:val="17"/>
        <w:spacing w:after="60"/>
        <w:jc w:val="both"/>
      </w:pPr>
      <w:r>
        <w:t xml:space="preserve">Speziell nach Bandrekonstruktionen sowie bei vorliegenden Knorpelschädigungen im Gelenksbereich kann das Endergebnis gravierend optimiert werden und so eine raschere Genesung erfolgen. Mit diesen nichtinvasiven Methoden können sowohl Gelenke nach Verletzungen als auch Gelenke bei vorliegenden degenerativen Veränderungen behandelt werden. Zusätzlich können damit auch muskuläre Probleme behoben werden. </w:t>
      </w:r>
    </w:p>
    <w:p w14:paraId="1FBE7901">
      <w:pPr>
        <w:pStyle w:val="17"/>
        <w:spacing w:after="60"/>
        <w:jc w:val="both"/>
        <w:rPr>
          <w:b/>
          <w:bCs/>
        </w:rPr>
      </w:pPr>
      <w:r>
        <w:rPr>
          <w:b/>
          <w:bCs/>
        </w:rPr>
        <w:t>Die Rückkehr zum Sport wird deutlich beschleunigt.</w:t>
      </w:r>
    </w:p>
    <w:tbl>
      <w:tblPr>
        <w:tblStyle w:val="9"/>
        <w:tblW w:w="10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06F8B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DD8CC" w:sz="2" w:space="0"/>
              <w:left w:val="single" w:color="B8952A" w:sz="18" w:space="0"/>
              <w:bottom w:val="single" w:color="DDD8CC" w:sz="2" w:space="0"/>
              <w:right w:val="single" w:color="DDD8CC" w:sz="2" w:space="0"/>
            </w:tcBorders>
            <w:shd w:val="clear" w:color="auto" w:fill="F7F2E8"/>
            <w:tcMar>
              <w:top w:w="100" w:type="dxa"/>
              <w:left w:w="160" w:type="dxa"/>
              <w:bottom w:w="100" w:type="dxa"/>
              <w:right w:w="160" w:type="dxa"/>
            </w:tcMar>
          </w:tcPr>
          <w:p w14:paraId="10D48782">
            <w:pPr>
              <w:spacing w:before="0" w:after="60"/>
            </w:pPr>
            <w:r>
              <w:rPr>
                <w:rFonts w:ascii="Times New Roman" w:hAnsi="Times New Roman" w:cs="Times New Roman"/>
                <w:b/>
                <w:bCs/>
                <w:color w:val="1C1C1C"/>
                <w:sz w:val="26"/>
                <w:szCs w:val="26"/>
              </w:rPr>
              <w:t>Wie wirkt die Stoßwellentherapie?</w:t>
            </w:r>
          </w:p>
          <w:p w14:paraId="07B914F8">
            <w:pPr>
              <w:spacing w:before="0" w:after="0"/>
              <w:jc w:val="both"/>
            </w:pPr>
            <w:r>
              <w:rPr>
                <w:sz w:val="24"/>
                <w:szCs w:val="24"/>
              </w:rPr>
              <w:t xml:space="preserve">Hochenergetische Stoßwellen werden gezielt auf das betroffene Gewebe geleitet. Sie regen die Durchblutung an, lösen Verkalkungen, aktivieren Selbstheilungskräfte und wirken entzündungshemmend. Das Ergebnis: </w:t>
            </w:r>
            <w:r>
              <w:rPr>
                <w:b/>
                <w:bCs/>
                <w:sz w:val="24"/>
                <w:szCs w:val="24"/>
              </w:rPr>
              <w:t>weniger Schmerzen, mehr Beweglichkeit – nachhaltig.</w:t>
            </w:r>
          </w:p>
        </w:tc>
      </w:tr>
    </w:tbl>
    <w:p w14:paraId="7099BF0A">
      <w:pPr>
        <w:spacing w:before="180" w:after="0"/>
      </w:pPr>
    </w:p>
    <w:tbl>
      <w:tblPr>
        <w:tblStyle w:val="9"/>
        <w:tblW w:w="9529"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9529"/>
      </w:tblGrid>
      <w:tr w14:paraId="201A3505">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9529"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2BBAA8B3">
            <w:pPr>
              <w:pBdr>
                <w:bottom w:val="single" w:color="D8C990" w:sz="2" w:space="2"/>
              </w:pBdr>
              <w:spacing w:before="0" w:after="80"/>
            </w:pPr>
            <w:r>
              <w:rPr>
                <w:rFonts w:ascii="Georgia" w:hAnsi="Georgia" w:cs="Georgia"/>
                <w:b/>
                <w:bCs/>
                <w:caps/>
                <w:color w:val="9A7B2F"/>
                <w:spacing w:val="60"/>
                <w:sz w:val="22"/>
                <w:szCs w:val="22"/>
              </w:rPr>
              <w:t>Anwendungsgebiete</w:t>
            </w:r>
          </w:p>
          <w:p w14:paraId="16E59EA1">
            <w:pPr>
              <w:pStyle w:val="19"/>
              <w:numPr>
                <w:ilvl w:val="0"/>
                <w:numId w:val="1"/>
              </w:numPr>
              <w:spacing w:before="30" w:after="30"/>
            </w:pPr>
            <w:r>
              <w:rPr>
                <w:rFonts w:ascii="Times New Roman" w:hAnsi="Times New Roman" w:cs="Times New Roman"/>
                <w:color w:val="1C1C1C"/>
                <w:sz w:val="24"/>
                <w:szCs w:val="24"/>
              </w:rPr>
              <w:t>Muskuloskelettale Erkrankungen</w:t>
            </w:r>
          </w:p>
          <w:p w14:paraId="355CC57D">
            <w:pPr>
              <w:pStyle w:val="19"/>
              <w:numPr>
                <w:ilvl w:val="0"/>
                <w:numId w:val="1"/>
              </w:numPr>
              <w:spacing w:before="30" w:after="30"/>
            </w:pPr>
            <w:r>
              <w:rPr>
                <w:rFonts w:ascii="Times New Roman" w:hAnsi="Times New Roman" w:cs="Times New Roman"/>
                <w:color w:val="1C1C1C"/>
                <w:sz w:val="24"/>
                <w:szCs w:val="24"/>
              </w:rPr>
              <w:t>Degenerative Erkrankungen (Bandscheibenvorfall, Spondylarthrose)</w:t>
            </w:r>
          </w:p>
          <w:p w14:paraId="2C14CAF6">
            <w:pPr>
              <w:pStyle w:val="19"/>
              <w:numPr>
                <w:ilvl w:val="0"/>
                <w:numId w:val="1"/>
              </w:numPr>
              <w:spacing w:before="30" w:after="30"/>
            </w:pPr>
            <w:r>
              <w:rPr>
                <w:rFonts w:ascii="Times New Roman" w:hAnsi="Times New Roman" w:cs="Times New Roman"/>
                <w:color w:val="1C1C1C"/>
                <w:sz w:val="24"/>
                <w:szCs w:val="24"/>
              </w:rPr>
              <w:t>Arthrose (Knie, Hüfte, Hände, Schulter, Ellenbogen)</w:t>
            </w:r>
          </w:p>
          <w:p w14:paraId="3A4C44A7">
            <w:pPr>
              <w:pStyle w:val="19"/>
              <w:numPr>
                <w:ilvl w:val="0"/>
                <w:numId w:val="1"/>
              </w:numPr>
              <w:spacing w:before="30" w:after="30"/>
            </w:pPr>
            <w:r>
              <w:rPr>
                <w:rFonts w:ascii="Times New Roman" w:hAnsi="Times New Roman" w:cs="Times New Roman"/>
                <w:color w:val="1C1C1C"/>
                <w:sz w:val="24"/>
                <w:szCs w:val="24"/>
              </w:rPr>
              <w:t>Sehnenüberlastungssyndrome &amp; chronische Entzündungen</w:t>
            </w:r>
          </w:p>
          <w:p w14:paraId="27397813">
            <w:pPr>
              <w:pStyle w:val="19"/>
              <w:numPr>
                <w:ilvl w:val="0"/>
                <w:numId w:val="1"/>
              </w:numPr>
              <w:spacing w:before="30" w:after="30"/>
            </w:pPr>
            <w:r>
              <w:rPr>
                <w:rFonts w:ascii="Times New Roman" w:hAnsi="Times New Roman" w:cs="Times New Roman"/>
                <w:color w:val="1C1C1C"/>
                <w:sz w:val="24"/>
                <w:szCs w:val="24"/>
              </w:rPr>
              <w:t>Sportverletzungen &amp; nach Operationen (Kreuzband, Knorpel)</w:t>
            </w:r>
          </w:p>
          <w:p w14:paraId="74CFC009">
            <w:pPr>
              <w:pStyle w:val="19"/>
              <w:numPr>
                <w:ilvl w:val="0"/>
                <w:numId w:val="1"/>
              </w:numPr>
              <w:spacing w:before="30" w:after="30"/>
            </w:pPr>
            <w:r>
              <w:rPr>
                <w:rFonts w:ascii="Times New Roman" w:hAnsi="Times New Roman" w:cs="Times New Roman"/>
                <w:color w:val="1C1C1C"/>
                <w:sz w:val="24"/>
                <w:szCs w:val="24"/>
              </w:rPr>
              <w:t>Muskelverspannungen, Radikulopathien &amp; Lumbalgie</w:t>
            </w:r>
          </w:p>
        </w:tc>
      </w:tr>
    </w:tbl>
    <w:p w14:paraId="7769F9FC">
      <w:pPr>
        <w:spacing w:before="180" w:after="0"/>
      </w:pPr>
    </w:p>
    <w:tbl>
      <w:tblPr>
        <w:tblStyle w:val="9"/>
        <w:tblW w:w="10204"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5102"/>
        <w:gridCol w:w="5102"/>
      </w:tblGrid>
      <w:tr w14:paraId="727AC9CA">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5102" w:type="dxa"/>
            <w:tcBorders>
              <w:top w:val="single" w:color="DDD8CC" w:sz="2" w:space="0"/>
              <w:left w:val="single" w:color="DDD8CC" w:sz="2" w:space="0"/>
              <w:bottom w:val="single" w:color="DDD8CC" w:sz="2" w:space="0"/>
              <w:right w:val="single" w:color="DDD8CC" w:sz="2" w:space="0"/>
            </w:tcBorders>
            <w:shd w:val="clear" w:color="auto" w:fill="F9F8F5"/>
            <w:tcMar>
              <w:top w:w="100" w:type="dxa"/>
              <w:left w:w="160" w:type="dxa"/>
              <w:bottom w:w="100" w:type="dxa"/>
              <w:right w:w="100" w:type="dxa"/>
            </w:tcMar>
          </w:tcPr>
          <w:p w14:paraId="7FC02C77">
            <w:pPr>
              <w:spacing w:before="0" w:after="40"/>
              <w:jc w:val="center"/>
            </w:pPr>
            <w:r>
              <w:rPr>
                <w:rFonts w:ascii="Calibri" w:hAnsi="Calibri" w:cs="Calibri"/>
                <w:b/>
                <w:bCs/>
                <w:caps/>
                <w:color w:val="9A7B2F"/>
                <w:spacing w:val="80"/>
                <w:sz w:val="15"/>
                <w:szCs w:val="15"/>
              </w:rPr>
              <w:t>BEHANDLUNGEN</w:t>
            </w:r>
          </w:p>
          <w:p w14:paraId="210AA015">
            <w:pPr>
              <w:spacing w:before="0" w:after="0"/>
              <w:jc w:val="center"/>
            </w:pPr>
            <w:r>
              <w:rPr>
                <w:rFonts w:ascii="Georgia" w:hAnsi="Georgia" w:cs="Georgia"/>
                <w:color w:val="1C1C1C"/>
                <w:sz w:val="22"/>
                <w:szCs w:val="22"/>
              </w:rPr>
              <w:t>5 Einheiten als Block</w:t>
            </w:r>
          </w:p>
        </w:tc>
        <w:tc>
          <w:tcPr>
            <w:tcW w:w="5102" w:type="dxa"/>
            <w:tcBorders>
              <w:top w:val="single" w:color="DDD8CC" w:sz="2" w:space="0"/>
              <w:left w:val="single" w:color="DDD8CC" w:sz="2" w:space="0"/>
              <w:bottom w:val="single" w:color="DDD8CC" w:sz="2" w:space="0"/>
              <w:right w:val="single" w:color="DDD8CC" w:sz="2" w:space="0"/>
            </w:tcBorders>
            <w:shd w:val="clear" w:color="auto" w:fill="F9F8F5"/>
            <w:tcMar>
              <w:top w:w="100" w:type="dxa"/>
              <w:left w:w="160" w:type="dxa"/>
              <w:bottom w:w="100" w:type="dxa"/>
              <w:right w:w="160" w:type="dxa"/>
            </w:tcMar>
          </w:tcPr>
          <w:p w14:paraId="46CC4C07">
            <w:pPr>
              <w:spacing w:before="0" w:after="40"/>
              <w:jc w:val="center"/>
            </w:pPr>
            <w:r>
              <w:rPr>
                <w:rFonts w:ascii="Calibri" w:hAnsi="Calibri" w:cs="Calibri"/>
                <w:b/>
                <w:bCs/>
                <w:caps/>
                <w:color w:val="9A7B2F"/>
                <w:spacing w:val="80"/>
                <w:sz w:val="15"/>
                <w:szCs w:val="15"/>
              </w:rPr>
              <w:t>WIEDERHOLUNGEN</w:t>
            </w:r>
          </w:p>
          <w:p w14:paraId="1ABF0189">
            <w:pPr>
              <w:spacing w:before="0" w:after="0"/>
              <w:jc w:val="center"/>
            </w:pPr>
            <w:r>
              <w:rPr>
                <w:rFonts w:ascii="Georgia" w:hAnsi="Georgia" w:cs="Georgia"/>
                <w:color w:val="1C1C1C"/>
                <w:sz w:val="22"/>
                <w:szCs w:val="22"/>
              </w:rPr>
              <w:t>Alle 10–14 Tage  ·  ca. 5 Min. pro Sitzung</w:t>
            </w:r>
          </w:p>
        </w:tc>
      </w:tr>
    </w:tbl>
    <w:p w14:paraId="79A256EC">
      <w:pPr>
        <w:spacing w:before="180" w:after="0"/>
      </w:pPr>
    </w:p>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3E09D1E1">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691EE806">
            <w:pPr>
              <w:spacing w:before="0" w:after="60"/>
              <w:rPr>
                <w:rFonts w:hint="default"/>
                <w:lang w:val="de-DE"/>
              </w:rPr>
            </w:pPr>
            <w:r>
              <w:rPr>
                <w:rFonts w:ascii="Georgia" w:hAnsi="Georgia" w:cs="Georgia"/>
                <w:b/>
                <w:bCs/>
                <w:color w:val="9A7B2F"/>
                <w:sz w:val="24"/>
                <w:szCs w:val="24"/>
              </w:rPr>
              <w:t>Wussten Sie</w:t>
            </w:r>
            <w:r>
              <w:rPr>
                <w:rFonts w:hint="default" w:ascii="Georgia" w:hAnsi="Georgia" w:cs="Georgia"/>
                <w:b/>
                <w:bCs/>
                <w:color w:val="9A7B2F"/>
                <w:sz w:val="24"/>
                <w:szCs w:val="24"/>
                <w:lang w:val="de-DE"/>
              </w:rPr>
              <w:t xml:space="preserve"> </w:t>
            </w:r>
            <w:r>
              <w:rPr>
                <w:rFonts w:ascii="Georgia" w:hAnsi="Georgia" w:cs="Georgia"/>
                <w:b/>
                <w:bCs/>
                <w:color w:val="9A7B2F"/>
                <w:sz w:val="24"/>
                <w:szCs w:val="24"/>
              </w:rPr>
              <w:t xml:space="preserve">? – </w:t>
            </w:r>
            <w:r>
              <w:rPr>
                <w:rFonts w:hint="default" w:ascii="Georgia" w:hAnsi="Georgia" w:cs="Georgia"/>
                <w:b/>
                <w:bCs/>
                <w:color w:val="9A7B2F"/>
                <w:sz w:val="24"/>
                <w:szCs w:val="24"/>
                <w:lang w:val="de-DE"/>
              </w:rPr>
              <w:t>Wir  kombinieren die Stoßwellen- und Magnetolithterapie</w:t>
            </w:r>
          </w:p>
          <w:p w14:paraId="0B1C8D93">
            <w:pPr>
              <w:spacing w:before="0" w:after="60"/>
            </w:pPr>
            <w:r>
              <w:rPr>
                <w:rFonts w:ascii="Times New Roman" w:hAnsi="Times New Roman" w:cs="Times New Roman"/>
                <w:color w:val="3E3E3E"/>
                <w:sz w:val="24"/>
                <w:szCs w:val="24"/>
              </w:rPr>
              <w:t xml:space="preserve">Beide Therapien ergänzen sich optimal: Die Stoßwelle aktiviert die Selbstheilung, die Magnetolitherapie vertieft die Regeneration auf Zellebene. Gemeinsam erzielen wir für Sie das </w:t>
            </w:r>
            <w:r>
              <w:rPr>
                <w:rFonts w:ascii="Times New Roman" w:hAnsi="Times New Roman" w:cs="Times New Roman"/>
                <w:b/>
                <w:bCs/>
                <w:color w:val="3E3E3E"/>
                <w:sz w:val="24"/>
                <w:szCs w:val="24"/>
              </w:rPr>
              <w:t>bestmögliche Behandlungsergebnis</w:t>
            </w:r>
            <w:r>
              <w:rPr>
                <w:rFonts w:ascii="Times New Roman" w:hAnsi="Times New Roman" w:cs="Times New Roman"/>
                <w:color w:val="3E3E3E"/>
                <w:sz w:val="24"/>
                <w:szCs w:val="24"/>
              </w:rPr>
              <w:t xml:space="preserve"> – schneller, nachhaltiger, schonender. Mehr dazu auf Seite 2.</w:t>
            </w:r>
          </w:p>
        </w:tc>
      </w:tr>
    </w:tbl>
    <w:p w14:paraId="6528AF68">
      <w:pPr>
        <w:spacing w:before="120" w:after="40"/>
        <w:jc w:val="both"/>
        <w:rPr>
          <w:rFonts w:ascii="Georgia" w:hAnsi="Georgia" w:cs="Georgia"/>
          <w:color w:val="101010"/>
          <w:sz w:val="20"/>
          <w:szCs w:val="20"/>
        </w:rPr>
      </w:pPr>
    </w:p>
    <w:p w14:paraId="2DB1D8BF">
      <w:pPr>
        <w:spacing w:before="120" w:after="40"/>
        <w:jc w:val="both"/>
        <w:rPr>
          <w:rFonts w:ascii="Georgia" w:hAnsi="Georgia" w:cs="Georgia"/>
          <w:color w:val="101010"/>
          <w:sz w:val="20"/>
          <w:szCs w:val="20"/>
        </w:rPr>
      </w:pPr>
    </w:p>
    <w:p w14:paraId="32BD0FD6">
      <w:pPr>
        <w:spacing w:before="120" w:after="40"/>
        <w:jc w:val="center"/>
      </w:pPr>
      <w:r>
        <w:rPr>
          <w:rFonts w:ascii="Georgia" w:hAnsi="Georgia" w:cs="Georgia"/>
          <w:color w:val="101010"/>
          <w:sz w:val="44"/>
          <w:szCs w:val="44"/>
        </w:rPr>
        <w:t xml:space="preserve">Extrakorporale </w:t>
      </w:r>
      <w:r>
        <w:rPr>
          <w:rFonts w:ascii="Georgia" w:hAnsi="Georgia" w:cs="Georgia"/>
          <w:color w:val="B8952A"/>
          <w:sz w:val="44"/>
          <w:szCs w:val="44"/>
        </w:rPr>
        <w:t>Magnetolitherapie</w:t>
      </w:r>
    </w:p>
    <w:p w14:paraId="6B3AE2D3">
      <w:pPr>
        <w:spacing w:before="0" w:after="60"/>
        <w:jc w:val="center"/>
      </w:pPr>
      <w:r>
        <w:rPr>
          <w:rFonts w:ascii="Calibri" w:hAnsi="Calibri" w:cs="Calibri"/>
          <w:color w:val="auto"/>
          <w:spacing w:val="60"/>
          <w:sz w:val="24"/>
          <w:szCs w:val="24"/>
        </w:rPr>
        <w:t>Nahezu schmerzfrei  ·  Ambulant  ·  Tiefe Zellregeneration</w:t>
      </w:r>
    </w:p>
    <w:p w14:paraId="06C65C46">
      <w:pPr>
        <w:pBdr>
          <w:bottom w:val="single" w:color="DDD8CC" w:sz="2" w:space="1"/>
        </w:pBdr>
        <w:spacing w:before="0" w:after="0"/>
      </w:pPr>
    </w:p>
    <w:p w14:paraId="53C5FB0D">
      <w:pPr>
        <w:spacing w:before="20" w:after="0"/>
        <w:rPr>
          <w:rFonts w:ascii="Times New Roman" w:hAnsi="Times New Roman" w:cs="Times New Roman"/>
          <w:b/>
          <w:bCs/>
          <w:color w:val="1C1C1C"/>
          <w:sz w:val="24"/>
          <w:szCs w:val="24"/>
        </w:rPr>
      </w:pPr>
    </w:p>
    <w:p w14:paraId="7EE5D606">
      <w:pPr>
        <w:spacing w:before="20" w:after="0"/>
        <w:rPr>
          <w:rFonts w:ascii="Times New Roman" w:hAnsi="Times New Roman" w:cs="Times New Roman"/>
          <w:b/>
          <w:bCs/>
          <w:color w:val="1C1C1C"/>
          <w:sz w:val="24"/>
          <w:szCs w:val="24"/>
        </w:rPr>
      </w:pPr>
      <w:r>
        <w:rPr>
          <w:rFonts w:ascii="Times New Roman" w:hAnsi="Times New Roman" w:cs="Times New Roman"/>
          <w:b/>
          <w:bCs/>
          <w:color w:val="1C1C1C"/>
          <w:sz w:val="24"/>
          <w:szCs w:val="24"/>
        </w:rPr>
        <w:t xml:space="preserve">Sehr geehrte Patientin, </w:t>
      </w:r>
    </w:p>
    <w:p w14:paraId="5648AD50">
      <w:pPr>
        <w:spacing w:before="20" w:after="0"/>
        <w:rPr>
          <w:rFonts w:ascii="Times New Roman" w:hAnsi="Times New Roman" w:cs="Times New Roman"/>
          <w:b/>
          <w:bCs/>
          <w:color w:val="1C1C1C"/>
          <w:sz w:val="24"/>
          <w:szCs w:val="24"/>
        </w:rPr>
      </w:pPr>
      <w:r>
        <w:rPr>
          <w:rFonts w:hint="default" w:cs="Times New Roman"/>
          <w:b/>
          <w:bCs/>
          <w:color w:val="1C1C1C"/>
          <w:sz w:val="24"/>
          <w:szCs w:val="24"/>
          <w:lang w:val="de-DE"/>
        </w:rPr>
        <w:t>S</w:t>
      </w:r>
      <w:r>
        <w:rPr>
          <w:rFonts w:ascii="Times New Roman" w:hAnsi="Times New Roman" w:cs="Times New Roman"/>
          <w:b/>
          <w:bCs/>
          <w:color w:val="1C1C1C"/>
          <w:sz w:val="24"/>
          <w:szCs w:val="24"/>
        </w:rPr>
        <w:t>ehr geehrter Patient,</w:t>
      </w:r>
    </w:p>
    <w:p w14:paraId="5349E0B9">
      <w:pPr>
        <w:pStyle w:val="17"/>
        <w:spacing w:after="60"/>
        <w:jc w:val="both"/>
      </w:pPr>
      <w:r>
        <w:t>Die Magnetolitherapie nutzt hochfrequente Magnetfelder, um Regenerationsprozesse direkt auf Zellebene anzuregen. Sie ist nahezu vollständig schmerzfrei, hinterlässt keine Ausfallzeiten und eignet sich ideal zur Unterstützung nach Operationen oder bei chronischen Beschwerden.</w:t>
      </w:r>
    </w:p>
    <w:tbl>
      <w:tblPr>
        <w:tblStyle w:val="9"/>
        <w:tblW w:w="10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3777D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DD8CC" w:sz="2" w:space="0"/>
              <w:left w:val="single" w:color="B8952A" w:sz="18" w:space="0"/>
              <w:bottom w:val="single" w:color="DDD8CC" w:sz="2" w:space="0"/>
              <w:right w:val="single" w:color="DDD8CC" w:sz="2" w:space="0"/>
            </w:tcBorders>
            <w:shd w:val="clear" w:color="auto" w:fill="F7F2E8"/>
            <w:tcMar>
              <w:top w:w="100" w:type="dxa"/>
              <w:left w:w="160" w:type="dxa"/>
              <w:bottom w:w="100" w:type="dxa"/>
              <w:right w:w="160" w:type="dxa"/>
            </w:tcMar>
          </w:tcPr>
          <w:p w14:paraId="33AF67CA">
            <w:pPr>
              <w:spacing w:before="0" w:after="60"/>
            </w:pPr>
            <w:r>
              <w:rPr>
                <w:rFonts w:ascii="Times New Roman" w:hAnsi="Times New Roman" w:cs="Times New Roman"/>
                <w:b/>
                <w:bCs/>
                <w:color w:val="1C1C1C"/>
                <w:sz w:val="26"/>
                <w:szCs w:val="26"/>
              </w:rPr>
              <w:t>Wie wirkt die Magnetolitherapie?</w:t>
            </w:r>
          </w:p>
          <w:p w14:paraId="707FD649">
            <w:pPr>
              <w:spacing w:before="0" w:after="0"/>
              <w:jc w:val="both"/>
            </w:pPr>
            <w:r>
              <w:rPr>
                <w:sz w:val="24"/>
                <w:szCs w:val="24"/>
              </w:rPr>
              <w:t>Hochfrequente Magnetfelder (bis 3 Tesla) durchdringen das Gewebe tief und aktivieren dort die Zellregeneration: Stoffwechsel wird angeregt, Entzündungsprozesse gehemmt, Schmerzsignale reduziert.</w:t>
            </w:r>
            <w:r>
              <w:rPr>
                <w:b w:val="0"/>
                <w:bCs w:val="0"/>
                <w:sz w:val="24"/>
                <w:szCs w:val="24"/>
              </w:rPr>
              <w:t xml:space="preserve"> Die Wirkung ist tief, nachhaltig und vollkommen ohne äußere Einwirkung auf die Haut.</w:t>
            </w:r>
          </w:p>
        </w:tc>
      </w:tr>
    </w:tbl>
    <w:p w14:paraId="54510EFE">
      <w:pPr>
        <w:spacing w:before="180" w:after="0"/>
      </w:pPr>
    </w:p>
    <w:tbl>
      <w:tblPr>
        <w:tblStyle w:val="9"/>
        <w:tblW w:w="10181"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10181"/>
      </w:tblGrid>
      <w:tr w14:paraId="5796EEF6">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0181"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4F2CB5BD">
            <w:pPr>
              <w:pBdr>
                <w:bottom w:val="single" w:color="D8C990" w:sz="2" w:space="2"/>
              </w:pBdr>
              <w:spacing w:before="0" w:after="80"/>
            </w:pPr>
            <w:r>
              <w:rPr>
                <w:rFonts w:ascii="Georgia" w:hAnsi="Georgia" w:cs="Georgia"/>
                <w:b/>
                <w:bCs/>
                <w:caps/>
                <w:color w:val="9A7B2F"/>
                <w:spacing w:val="60"/>
                <w:sz w:val="22"/>
                <w:szCs w:val="22"/>
              </w:rPr>
              <w:t>Anwendungsgebiete</w:t>
            </w:r>
          </w:p>
          <w:p w14:paraId="77C7EE8F">
            <w:pPr>
              <w:pStyle w:val="19"/>
              <w:numPr>
                <w:ilvl w:val="0"/>
                <w:numId w:val="1"/>
              </w:numPr>
              <w:spacing w:before="30" w:after="30"/>
            </w:pPr>
            <w:r>
              <w:rPr>
                <w:rFonts w:ascii="Times New Roman" w:hAnsi="Times New Roman" w:cs="Times New Roman"/>
                <w:color w:val="1C1C1C"/>
                <w:sz w:val="24"/>
                <w:szCs w:val="24"/>
              </w:rPr>
              <w:t>Chronische Schmerzen &amp; Muskelverspannungen</w:t>
            </w:r>
          </w:p>
          <w:p w14:paraId="4F280CD0">
            <w:pPr>
              <w:pStyle w:val="19"/>
              <w:numPr>
                <w:ilvl w:val="0"/>
                <w:numId w:val="1"/>
              </w:numPr>
              <w:spacing w:before="30" w:after="30"/>
            </w:pPr>
            <w:r>
              <w:rPr>
                <w:rFonts w:ascii="Times New Roman" w:hAnsi="Times New Roman" w:cs="Times New Roman"/>
                <w:color w:val="1C1C1C"/>
                <w:sz w:val="24"/>
                <w:szCs w:val="24"/>
              </w:rPr>
              <w:t>Rückenschmerzen, Lumbalgie, Radikulopathien</w:t>
            </w:r>
          </w:p>
          <w:p w14:paraId="03DBA383">
            <w:pPr>
              <w:pStyle w:val="19"/>
              <w:numPr>
                <w:ilvl w:val="0"/>
                <w:numId w:val="1"/>
              </w:numPr>
              <w:spacing w:before="30" w:after="30"/>
            </w:pPr>
            <w:r>
              <w:rPr>
                <w:rFonts w:ascii="Times New Roman" w:hAnsi="Times New Roman" w:cs="Times New Roman"/>
                <w:color w:val="1C1C1C"/>
                <w:sz w:val="24"/>
                <w:szCs w:val="24"/>
              </w:rPr>
              <w:t>Degenerative Gelenkerkrankungen &amp; Arthrose</w:t>
            </w:r>
          </w:p>
          <w:p w14:paraId="1390CED9">
            <w:pPr>
              <w:pStyle w:val="19"/>
              <w:numPr>
                <w:ilvl w:val="0"/>
                <w:numId w:val="1"/>
              </w:numPr>
              <w:spacing w:before="30" w:after="30"/>
            </w:pPr>
            <w:r>
              <w:rPr>
                <w:rFonts w:ascii="Times New Roman" w:hAnsi="Times New Roman" w:cs="Times New Roman"/>
                <w:color w:val="1C1C1C"/>
                <w:sz w:val="24"/>
                <w:szCs w:val="24"/>
              </w:rPr>
              <w:t>Sportverletzungen &amp; nach Operationen</w:t>
            </w:r>
          </w:p>
          <w:p w14:paraId="12A2FF4C">
            <w:pPr>
              <w:pStyle w:val="19"/>
              <w:numPr>
                <w:ilvl w:val="0"/>
                <w:numId w:val="1"/>
              </w:numPr>
              <w:spacing w:before="30" w:after="30"/>
            </w:pPr>
            <w:r>
              <w:rPr>
                <w:rFonts w:ascii="Times New Roman" w:hAnsi="Times New Roman" w:cs="Times New Roman"/>
                <w:color w:val="1C1C1C"/>
                <w:sz w:val="24"/>
                <w:szCs w:val="24"/>
              </w:rPr>
              <w:t>Gelenke nach Verletzungen &amp; bei Knorpelschäden</w:t>
            </w:r>
          </w:p>
          <w:p w14:paraId="45C5FED4">
            <w:pPr>
              <w:pStyle w:val="19"/>
              <w:numPr>
                <w:ilvl w:val="0"/>
                <w:numId w:val="1"/>
              </w:numPr>
              <w:spacing w:before="30" w:after="30"/>
            </w:pPr>
            <w:r>
              <w:rPr>
                <w:rFonts w:ascii="Times New Roman" w:hAnsi="Times New Roman" w:cs="Times New Roman"/>
                <w:color w:val="1C1C1C"/>
                <w:sz w:val="24"/>
                <w:szCs w:val="24"/>
              </w:rPr>
              <w:t>Sehnenüberlastungssyndrome (nicht bei Implantaten*)</w:t>
            </w:r>
          </w:p>
        </w:tc>
      </w:tr>
    </w:tbl>
    <w:p w14:paraId="4F623F72">
      <w:pPr>
        <w:spacing w:before="180" w:after="0"/>
      </w:pPr>
    </w:p>
    <w:tbl>
      <w:tblPr>
        <w:tblStyle w:val="9"/>
        <w:tblW w:w="10204"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5102"/>
        <w:gridCol w:w="5102"/>
      </w:tblGrid>
      <w:tr w14:paraId="38B672F4">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5102" w:type="dxa"/>
            <w:tcBorders>
              <w:top w:val="single" w:color="DDD8CC" w:sz="2" w:space="0"/>
              <w:left w:val="single" w:color="DDD8CC" w:sz="2" w:space="0"/>
              <w:bottom w:val="single" w:color="DDD8CC" w:sz="2" w:space="0"/>
              <w:right w:val="single" w:color="DDD8CC" w:sz="2" w:space="0"/>
            </w:tcBorders>
            <w:shd w:val="clear" w:color="auto" w:fill="F9F8F5"/>
            <w:tcMar>
              <w:top w:w="100" w:type="dxa"/>
              <w:left w:w="160" w:type="dxa"/>
              <w:bottom w:w="100" w:type="dxa"/>
              <w:right w:w="100" w:type="dxa"/>
            </w:tcMar>
          </w:tcPr>
          <w:p w14:paraId="784F014A">
            <w:pPr>
              <w:spacing w:before="0" w:after="40"/>
              <w:jc w:val="center"/>
            </w:pPr>
            <w:r>
              <w:rPr>
                <w:rFonts w:ascii="Calibri" w:hAnsi="Calibri" w:cs="Calibri"/>
                <w:b/>
                <w:bCs/>
                <w:caps/>
                <w:color w:val="9A7B2F"/>
                <w:spacing w:val="80"/>
                <w:sz w:val="15"/>
                <w:szCs w:val="15"/>
              </w:rPr>
              <w:t>BEHANDLUNGEN</w:t>
            </w:r>
          </w:p>
          <w:p w14:paraId="2071558D">
            <w:pPr>
              <w:spacing w:before="0" w:after="0"/>
              <w:jc w:val="center"/>
            </w:pPr>
            <w:r>
              <w:rPr>
                <w:rFonts w:ascii="Georgia" w:hAnsi="Georgia" w:cs="Georgia"/>
                <w:color w:val="1C1C1C"/>
                <w:sz w:val="22"/>
                <w:szCs w:val="22"/>
              </w:rPr>
              <w:t>6–8 Einheiten als Block</w:t>
            </w:r>
          </w:p>
        </w:tc>
        <w:tc>
          <w:tcPr>
            <w:tcW w:w="5102" w:type="dxa"/>
            <w:tcBorders>
              <w:top w:val="single" w:color="DDD8CC" w:sz="2" w:space="0"/>
              <w:left w:val="single" w:color="DDD8CC" w:sz="2" w:space="0"/>
              <w:bottom w:val="single" w:color="DDD8CC" w:sz="2" w:space="0"/>
              <w:right w:val="single" w:color="DDD8CC" w:sz="2" w:space="0"/>
            </w:tcBorders>
            <w:shd w:val="clear" w:color="auto" w:fill="F9F8F5"/>
            <w:tcMar>
              <w:top w:w="100" w:type="dxa"/>
              <w:left w:w="160" w:type="dxa"/>
              <w:bottom w:w="100" w:type="dxa"/>
              <w:right w:w="160" w:type="dxa"/>
            </w:tcMar>
          </w:tcPr>
          <w:p w14:paraId="68A5C13B">
            <w:pPr>
              <w:spacing w:before="0" w:after="40"/>
              <w:jc w:val="center"/>
            </w:pPr>
            <w:r>
              <w:rPr>
                <w:rFonts w:ascii="Calibri" w:hAnsi="Calibri" w:cs="Calibri"/>
                <w:b/>
                <w:bCs/>
                <w:caps/>
                <w:color w:val="9A7B2F"/>
                <w:spacing w:val="80"/>
                <w:sz w:val="15"/>
                <w:szCs w:val="15"/>
              </w:rPr>
              <w:t>WIEDERHOLUNGEN</w:t>
            </w:r>
          </w:p>
          <w:p w14:paraId="2C69C393">
            <w:pPr>
              <w:spacing w:before="0" w:after="0"/>
              <w:jc w:val="center"/>
            </w:pPr>
            <w:r>
              <w:rPr>
                <w:rFonts w:ascii="Georgia" w:hAnsi="Georgia" w:cs="Georgia"/>
                <w:color w:val="1C1C1C"/>
                <w:sz w:val="22"/>
                <w:szCs w:val="22"/>
              </w:rPr>
              <w:t>Alle 3–5 Tage  ·  ca. 8–10 Min. pro Sitzung</w:t>
            </w:r>
          </w:p>
        </w:tc>
      </w:tr>
    </w:tbl>
    <w:p w14:paraId="1A09ABB0">
      <w:pPr>
        <w:spacing w:before="180" w:after="0"/>
      </w:pPr>
    </w:p>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480A1047">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573BB288">
            <w:pPr>
              <w:spacing w:before="0" w:after="60"/>
              <w:rPr>
                <w:rFonts w:hint="default" w:ascii="Georgia" w:hAnsi="Georgia" w:cs="Georgia"/>
                <w:b/>
                <w:bCs/>
                <w:color w:val="9A7B2F"/>
                <w:sz w:val="24"/>
                <w:szCs w:val="24"/>
                <w:lang w:val="de-DE"/>
              </w:rPr>
            </w:pPr>
            <w:r>
              <w:rPr>
                <w:rFonts w:ascii="Georgia" w:hAnsi="Georgia" w:cs="Georgia"/>
                <w:b/>
                <w:bCs/>
                <w:color w:val="9A7B2F"/>
                <w:sz w:val="24"/>
                <w:szCs w:val="24"/>
              </w:rPr>
              <w:t xml:space="preserve"> </w:t>
            </w:r>
            <w:r>
              <w:rPr>
                <w:rFonts w:hint="default" w:ascii="Georgia" w:hAnsi="Georgia" w:cs="Georgia"/>
                <w:b/>
                <w:bCs/>
                <w:color w:val="9A7B2F"/>
                <w:sz w:val="24"/>
                <w:szCs w:val="24"/>
                <w:lang w:val="de-DE"/>
              </w:rPr>
              <w:t>Stoßwellen- und Magnetoliththerapie - unser kombiniertes Therapiekonzept</w:t>
            </w:r>
          </w:p>
          <w:p w14:paraId="2931F2FF">
            <w:pPr>
              <w:spacing w:before="0" w:after="60"/>
              <w:jc w:val="both"/>
              <w:rPr>
                <w:rFonts w:ascii="Times New Roman" w:hAnsi="Times New Roman" w:cs="Times New Roman"/>
                <w:color w:val="3E3E3E"/>
                <w:sz w:val="24"/>
                <w:szCs w:val="24"/>
              </w:rPr>
            </w:pPr>
            <w:r>
              <w:rPr>
                <w:rFonts w:ascii="Times New Roman" w:hAnsi="Times New Roman" w:cs="Times New Roman"/>
                <w:color w:val="3E3E3E"/>
                <w:sz w:val="24"/>
                <w:szCs w:val="24"/>
              </w:rPr>
              <w:t xml:space="preserve">Wir bieten Ihnen beide Therapien gemeinsam </w:t>
            </w:r>
            <w:r>
              <w:rPr>
                <w:rFonts w:hint="default" w:cs="Times New Roman"/>
                <w:color w:val="3E3E3E"/>
                <w:sz w:val="24"/>
                <w:szCs w:val="24"/>
                <w:lang w:val="de-DE"/>
              </w:rPr>
              <w:t xml:space="preserve">und </w:t>
            </w:r>
            <w:r>
              <w:rPr>
                <w:rFonts w:ascii="Times New Roman" w:hAnsi="Times New Roman" w:cs="Times New Roman"/>
                <w:color w:val="3E3E3E"/>
                <w:sz w:val="24"/>
                <w:szCs w:val="24"/>
              </w:rPr>
              <w:t xml:space="preserve">abgestimmt aufeinander, individuell auf Sie zugeschnitten. Während die Stoßwelle mechanische Impulse setzt und Heilungsprozesse anstößt, vertieft die Magnetolitherapie die Wirkung auf Zellebene. </w:t>
            </w:r>
          </w:p>
          <w:p w14:paraId="6225499F">
            <w:pPr>
              <w:spacing w:before="0" w:after="60"/>
              <w:rPr>
                <w:rFonts w:ascii="Times New Roman" w:hAnsi="Times New Roman" w:cs="Times New Roman"/>
                <w:color w:val="3E3E3E"/>
                <w:sz w:val="24"/>
                <w:szCs w:val="24"/>
              </w:rPr>
            </w:pPr>
            <w:r>
              <w:rPr>
                <w:rFonts w:ascii="Times New Roman" w:hAnsi="Times New Roman" w:cs="Times New Roman"/>
                <w:color w:val="3E3E3E"/>
                <w:sz w:val="24"/>
                <w:szCs w:val="24"/>
              </w:rPr>
              <w:t xml:space="preserve">Das Ergebnis ist </w:t>
            </w:r>
            <w:r>
              <w:rPr>
                <w:rFonts w:ascii="Times New Roman" w:hAnsi="Times New Roman" w:cs="Times New Roman"/>
                <w:b/>
                <w:bCs/>
                <w:color w:val="3E3E3E"/>
                <w:sz w:val="24"/>
                <w:szCs w:val="24"/>
              </w:rPr>
              <w:t>mehr als die Summe beider Teile</w:t>
            </w:r>
            <w:r>
              <w:rPr>
                <w:rFonts w:ascii="Times New Roman" w:hAnsi="Times New Roman" w:cs="Times New Roman"/>
                <w:color w:val="3E3E3E"/>
                <w:sz w:val="24"/>
                <w:szCs w:val="24"/>
              </w:rPr>
              <w:t xml:space="preserve"> </w:t>
            </w:r>
          </w:p>
          <w:p w14:paraId="6C88613D">
            <w:pPr>
              <w:spacing w:before="0" w:after="40"/>
            </w:pPr>
            <w:r>
              <w:rPr>
                <w:rFonts w:ascii="Calibri" w:hAnsi="Calibri" w:cs="Calibri"/>
                <w:i/>
                <w:color w:val="6A6056"/>
                <w:sz w:val="20"/>
                <w:szCs w:val="20"/>
              </w:rPr>
              <w:t>* Magnetolitherapie nicht geeignet bei Herzschrittmacher, Defibrillator, Hörgeräten oder nicht MR-täuglichen Implantaten.</w:t>
            </w:r>
          </w:p>
        </w:tc>
      </w:tr>
    </w:tbl>
    <w:p w14:paraId="10AB82CC"/>
    <w:p w14:paraId="69CE8B9A"/>
    <w:p w14:paraId="4B4FD303"/>
    <w:p w14:paraId="16139D10"/>
    <w:p w14:paraId="282B225E"/>
    <w:sectPr>
      <w:headerReference r:id="rId3" w:type="default"/>
      <w:pgSz w:w="11906" w:h="16838"/>
      <w:pgMar w:top="574" w:right="851" w:bottom="724" w:left="851"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10204"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4297"/>
      <w:gridCol w:w="5907"/>
    </w:tblGrid>
    <w:tr w14:paraId="16CAC369">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rPr>
        <w:trHeight w:val="1225" w:hRule="atLeast"/>
      </w:trPr>
      <w:tc>
        <w:tcPr>
          <w:tcW w:w="3800" w:type="dxa"/>
          <w:tcBorders>
            <w:top w:val="nil"/>
            <w:left w:val="nil"/>
            <w:bottom w:val="nil"/>
            <w:right w:val="nil"/>
          </w:tcBorders>
          <w:tcMar>
            <w:top w:w="0" w:type="dxa"/>
            <w:left w:w="0" w:type="dxa"/>
            <w:bottom w:w="0" w:type="dxa"/>
            <w:right w:w="200" w:type="dxa"/>
          </w:tcMar>
          <w:vAlign w:val="center"/>
        </w:tcPr>
        <w:p w14:paraId="6E5D2AC2">
          <w:pPr>
            <w:spacing w:before="0" w:after="0"/>
          </w:pPr>
          <w:r>
            <w:drawing>
              <wp:inline distT="0" distB="0" distL="0" distR="0">
                <wp:extent cx="2601595" cy="695325"/>
                <wp:effectExtent l="0" t="0" r="0" b="3175"/>
                <wp:docPr id="1" name="Bild 1" descr="C:/Users/oliver/Desktop/Neuer Ordner/die ORDI/Logo/Neues_Logo_003_transparent.pngNeues_Logo_003_transpa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descr="C:/Users/oliver/Desktop/Neuer Ordner/die ORDI/Logo/Neues_Logo_003_transparent.pngNeues_Logo_003_transparent"/>
                        <pic:cNvPicPr>
                          <a:picLocks noChangeAspect="1" noChangeArrowheads="1"/>
                        </pic:cNvPicPr>
                      </pic:nvPicPr>
                      <pic:blipFill>
                        <a:blip r:embed="rId1"/>
                        <a:srcRect t="5528" b="5528"/>
                        <a:stretch>
                          <a:fillRect/>
                        </a:stretch>
                      </pic:blipFill>
                      <pic:spPr>
                        <a:xfrm>
                          <a:off x="0" y="0"/>
                          <a:ext cx="2601595" cy="695325"/>
                        </a:xfrm>
                        <a:prstGeom prst="rect">
                          <a:avLst/>
                        </a:prstGeom>
                      </pic:spPr>
                    </pic:pic>
                  </a:graphicData>
                </a:graphic>
              </wp:inline>
            </w:drawing>
          </w:r>
        </w:p>
      </w:tc>
      <w:tc>
        <w:tcPr>
          <w:tcW w:w="6404" w:type="dxa"/>
          <w:tcBorders>
            <w:top w:val="nil"/>
            <w:left w:val="nil"/>
            <w:bottom w:val="nil"/>
            <w:right w:val="nil"/>
          </w:tcBorders>
          <w:tcMar>
            <w:top w:w="0" w:type="dxa"/>
            <w:left w:w="0" w:type="dxa"/>
            <w:bottom w:w="0" w:type="dxa"/>
            <w:right w:w="0" w:type="dxa"/>
          </w:tcMar>
          <w:vAlign w:val="center"/>
        </w:tcPr>
        <w:p w14:paraId="2D8FC49F">
          <w:pPr>
            <w:wordWrap w:val="0"/>
            <w:spacing w:before="0" w:after="30"/>
            <w:jc w:val="right"/>
            <w:rPr>
              <w:rFonts w:hint="default"/>
              <w:lang w:val="de-DE"/>
            </w:rPr>
          </w:pPr>
          <w:r>
            <w:rPr>
              <w:rFonts w:ascii="Calibri" w:hAnsi="Calibri" w:eastAsia="Calibri" w:cs="Calibri"/>
              <w:b/>
              <w:bCs/>
              <w:color w:val="1C1C1C"/>
              <w:sz w:val="17"/>
              <w:szCs w:val="17"/>
            </w:rPr>
            <w:t>OA Dr. med. univ. Shady El Marto WDM</w:t>
          </w:r>
          <w:r>
            <w:rPr>
              <w:rFonts w:hint="default" w:ascii="Calibri" w:hAnsi="Calibri" w:eastAsia="Calibri" w:cs="Calibri"/>
              <w:b/>
              <w:bCs/>
              <w:color w:val="1C1C1C"/>
              <w:sz w:val="17"/>
              <w:szCs w:val="17"/>
              <w:lang w:val="de-DE"/>
            </w:rPr>
            <w:t xml:space="preserve"> </w:t>
          </w:r>
        </w:p>
        <w:p w14:paraId="0F254B4D">
          <w:pPr>
            <w:wordWrap w:val="0"/>
            <w:spacing w:before="0" w:after="0"/>
            <w:jc w:val="right"/>
            <w:rPr>
              <w:rFonts w:hint="default"/>
              <w:lang w:val="de-DE"/>
            </w:rPr>
          </w:pPr>
          <w:r>
            <w:rPr>
              <w:rFonts w:ascii="Calibri" w:hAnsi="Calibri" w:eastAsia="Calibri" w:cs="Calibri"/>
              <w:color w:val="666666"/>
              <w:sz w:val="15"/>
              <w:szCs w:val="15"/>
            </w:rPr>
            <w:t>Facharzt für Orthopädie und Traumatologie  |  Facharzt für Unfallchirurgie</w:t>
          </w:r>
          <w:r>
            <w:rPr>
              <w:rFonts w:hint="default" w:ascii="Calibri" w:hAnsi="Calibri" w:eastAsia="Calibri" w:cs="Calibri"/>
              <w:color w:val="666666"/>
              <w:sz w:val="15"/>
              <w:szCs w:val="15"/>
              <w:lang w:val="de-DE"/>
            </w:rPr>
            <w:t xml:space="preserve"> </w:t>
          </w:r>
        </w:p>
        <w:p w14:paraId="38E00E37">
          <w:pPr>
            <w:spacing w:before="0" w:after="0"/>
            <w:jc w:val="center"/>
            <w:rPr>
              <w:rFonts w:hint="default"/>
              <w:lang w:val="de-DE"/>
            </w:rPr>
          </w:pPr>
          <w:r>
            <w:rPr>
              <w:rFonts w:hint="default" w:ascii="Calibri" w:hAnsi="Calibri" w:eastAsia="Calibri" w:cs="Calibri"/>
              <w:color w:val="666666"/>
              <w:sz w:val="15"/>
              <w:szCs w:val="15"/>
              <w:lang w:val="de-DE"/>
            </w:rPr>
            <w:t xml:space="preserve">                                                                     </w:t>
          </w:r>
          <w:r>
            <w:rPr>
              <w:rFonts w:ascii="Calibri" w:hAnsi="Calibri" w:eastAsia="Calibri" w:cs="Calibri"/>
              <w:color w:val="666666"/>
              <w:sz w:val="15"/>
              <w:szCs w:val="15"/>
            </w:rPr>
            <w:t>Am Hof 11 Top 9  |  1010 Wien  |  Tel.:</w:t>
          </w:r>
          <w:r>
            <w:rPr>
              <w:rFonts w:ascii="Calibri" w:hAnsi="Calibri" w:eastAsia="Calibri" w:cs="Calibri"/>
              <w:b/>
              <w:bCs/>
              <w:color w:val="666666"/>
              <w:sz w:val="15"/>
              <w:szCs w:val="15"/>
            </w:rPr>
            <w:t xml:space="preserve"> +43 664 328 44 65</w:t>
          </w:r>
          <w:r>
            <w:rPr>
              <w:rFonts w:hint="default" w:ascii="Calibri" w:hAnsi="Calibri" w:eastAsia="Calibri" w:cs="Calibri"/>
              <w:color w:val="666666"/>
              <w:sz w:val="15"/>
              <w:szCs w:val="15"/>
              <w:lang w:val="de-DE"/>
            </w:rPr>
            <w:t xml:space="preserve">     </w:t>
          </w:r>
        </w:p>
        <w:p w14:paraId="3D2A998F">
          <w:pPr>
            <w:wordWrap w:val="0"/>
            <w:spacing w:before="0" w:after="0"/>
            <w:jc w:val="right"/>
            <w:rPr>
              <w:rFonts w:hint="default"/>
              <w:lang w:val="de-DE"/>
            </w:rPr>
          </w:pPr>
          <w:r>
            <w:rPr>
              <w:rFonts w:ascii="Calibri" w:hAnsi="Calibri" w:eastAsia="Calibri" w:cs="Calibri"/>
              <w:color w:val="9A7B2F"/>
              <w:sz w:val="15"/>
              <w:szCs w:val="15"/>
            </w:rPr>
            <w:t>ordination@dr-elmarto.at  |  www.dr-elmarto.at</w:t>
          </w:r>
          <w:r>
            <w:rPr>
              <w:rFonts w:hint="default" w:ascii="Calibri" w:hAnsi="Calibri" w:eastAsia="Calibri" w:cs="Calibri"/>
              <w:color w:val="9A7B2F"/>
              <w:sz w:val="15"/>
              <w:szCs w:val="15"/>
              <w:lang w:val="de-DE"/>
            </w:rPr>
            <w:t xml:space="preserve"> </w:t>
          </w:r>
        </w:p>
      </w:tc>
    </w:tr>
  </w:tbl>
  <w:p w14:paraId="4C47FA82">
    <w:pPr>
      <w:pBdr>
        <w:bottom w:val="single" w:color="B8952A" w:sz="12" w:space="1"/>
      </w:pBdr>
      <w:spacing w:before="6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20" w:hanging="280"/>
      </w:pPr>
      <w:rPr>
        <w:rFonts w:ascii="Arial" w:hAnsi="Arial" w:eastAsia="Arial" w:cs="Arial"/>
        <w:color w:val="B8952A"/>
        <w:sz w:val="26"/>
        <w:szCs w:val="26"/>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0753A3D"/>
    <w:rsid w:val="074C2609"/>
    <w:rsid w:val="10F442DE"/>
    <w:rsid w:val="15C64B46"/>
    <w:rsid w:val="32F31EA6"/>
    <w:rsid w:val="353B041A"/>
    <w:rsid w:val="5C46562F"/>
    <w:rsid w:val="5EC2745F"/>
    <w:rsid w:val="75B84239"/>
    <w:rsid w:val="7AA34743"/>
    <w:rsid w:val="7B582B5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Times New Roman" w:hAnsi="Times New Roman" w:eastAsia="SimSun" w:cs="Times New Roman"/>
      <w:sz w:val="21"/>
      <w:szCs w:val="22"/>
    </w:rPr>
  </w:style>
  <w:style w:type="paragraph" w:styleId="2">
    <w:name w:val="heading 1"/>
    <w:next w:val="1"/>
    <w:qFormat/>
    <w:uiPriority w:val="0"/>
    <w:rPr>
      <w:rFonts w:ascii="Times New Roman" w:hAnsi="Times New Roman" w:eastAsia="SimSun" w:cs="Times New Roman"/>
      <w:color w:val="2E74B5"/>
      <w:sz w:val="32"/>
      <w:szCs w:val="32"/>
    </w:rPr>
  </w:style>
  <w:style w:type="paragraph" w:styleId="3">
    <w:name w:val="heading 2"/>
    <w:next w:val="1"/>
    <w:qFormat/>
    <w:uiPriority w:val="0"/>
    <w:rPr>
      <w:rFonts w:ascii="Times New Roman" w:hAnsi="Times New Roman" w:eastAsia="SimSun" w:cs="Times New Roman"/>
      <w:color w:val="2E74B5"/>
      <w:sz w:val="26"/>
      <w:szCs w:val="26"/>
    </w:rPr>
  </w:style>
  <w:style w:type="paragraph" w:styleId="4">
    <w:name w:val="heading 3"/>
    <w:next w:val="1"/>
    <w:qFormat/>
    <w:uiPriority w:val="0"/>
    <w:rPr>
      <w:rFonts w:ascii="Times New Roman" w:hAnsi="Times New Roman" w:eastAsia="SimSun" w:cs="Times New Roman"/>
      <w:color w:val="1F4D78"/>
      <w:sz w:val="24"/>
      <w:szCs w:val="24"/>
    </w:rPr>
  </w:style>
  <w:style w:type="paragraph" w:styleId="5">
    <w:name w:val="heading 4"/>
    <w:next w:val="1"/>
    <w:qFormat/>
    <w:uiPriority w:val="0"/>
    <w:rPr>
      <w:rFonts w:ascii="Times New Roman" w:hAnsi="Times New Roman" w:eastAsia="SimSun" w:cs="Times New Roman"/>
      <w:i/>
      <w:iCs/>
      <w:color w:val="2E74B5"/>
      <w:sz w:val="21"/>
      <w:szCs w:val="22"/>
    </w:rPr>
  </w:style>
  <w:style w:type="paragraph" w:styleId="6">
    <w:name w:val="heading 5"/>
    <w:next w:val="1"/>
    <w:qFormat/>
    <w:uiPriority w:val="0"/>
    <w:rPr>
      <w:rFonts w:ascii="Times New Roman" w:hAnsi="Times New Roman" w:eastAsia="SimSun" w:cs="Times New Roman"/>
      <w:color w:val="2E74B5"/>
      <w:sz w:val="21"/>
      <w:szCs w:val="22"/>
    </w:rPr>
  </w:style>
  <w:style w:type="paragraph" w:styleId="7">
    <w:name w:val="heading 6"/>
    <w:next w:val="1"/>
    <w:qFormat/>
    <w:uiPriority w:val="0"/>
    <w:rPr>
      <w:rFonts w:ascii="Times New Roman" w:hAnsi="Times New Roman" w:eastAsia="SimSun" w:cs="Times New Roman"/>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Strong"/>
    <w:qFormat/>
    <w:uiPriority w:val="0"/>
    <w:rPr>
      <w:b/>
      <w:bCs/>
    </w:rPr>
  </w:style>
  <w:style w:type="character" w:styleId="12">
    <w:name w:val="footnote reference"/>
    <w:semiHidden/>
    <w:unhideWhenUsed/>
    <w:qFormat/>
    <w:uiPriority w:val="99"/>
    <w:rPr>
      <w:vertAlign w:val="superscript"/>
    </w:rPr>
  </w:style>
  <w:style w:type="character" w:styleId="13">
    <w:name w:val="Hyperlink"/>
    <w:unhideWhenUsed/>
    <w:qFormat/>
    <w:uiPriority w:val="99"/>
    <w:rPr>
      <w:color w:val="0563C1"/>
      <w:u w:val="single"/>
    </w:rPr>
  </w:style>
  <w:style w:type="paragraph" w:styleId="14">
    <w:name w:val="endnote text"/>
    <w:link w:val="21"/>
    <w:semiHidden/>
    <w:unhideWhenUsed/>
    <w:qFormat/>
    <w:uiPriority w:val="99"/>
    <w:pPr>
      <w:spacing w:after="0" w:line="240" w:lineRule="auto"/>
    </w:pPr>
    <w:rPr>
      <w:rFonts w:ascii="Times New Roman" w:hAnsi="Times New Roman" w:eastAsia="SimSun" w:cs="Times New Roman"/>
      <w:sz w:val="20"/>
      <w:szCs w:val="20"/>
    </w:rPr>
  </w:style>
  <w:style w:type="paragraph" w:styleId="15">
    <w:name w:val="footnote text"/>
    <w:link w:val="20"/>
    <w:semiHidden/>
    <w:unhideWhenUsed/>
    <w:qFormat/>
    <w:uiPriority w:val="99"/>
    <w:pPr>
      <w:spacing w:after="0" w:line="240" w:lineRule="auto"/>
    </w:pPr>
    <w:rPr>
      <w:rFonts w:ascii="Times New Roman" w:hAnsi="Times New Roman" w:eastAsia="SimSun" w:cs="Times New Roman"/>
      <w:sz w:val="20"/>
      <w:szCs w:val="20"/>
    </w:rPr>
  </w:style>
  <w:style w:type="paragraph" w:styleId="16">
    <w:name w:val="footer"/>
    <w:basedOn w:val="1"/>
    <w:qFormat/>
    <w:uiPriority w:val="0"/>
    <w:pPr>
      <w:tabs>
        <w:tab w:val="center" w:pos="4153"/>
        <w:tab w:val="right" w:pos="8306"/>
      </w:tabs>
    </w:pPr>
  </w:style>
  <w:style w:type="paragraph" w:styleId="1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8">
    <w:name w:val="Title"/>
    <w:qFormat/>
    <w:uiPriority w:val="0"/>
    <w:rPr>
      <w:rFonts w:ascii="Times New Roman" w:hAnsi="Times New Roman" w:eastAsia="SimSun" w:cs="Times New Roman"/>
      <w:sz w:val="56"/>
      <w:szCs w:val="56"/>
    </w:rPr>
  </w:style>
  <w:style w:type="paragraph" w:styleId="19">
    <w:name w:val="List Paragraph"/>
    <w:qFormat/>
    <w:uiPriority w:val="0"/>
    <w:rPr>
      <w:rFonts w:ascii="Times New Roman" w:hAnsi="Times New Roman" w:eastAsia="SimSun" w:cs="Times New Roman"/>
      <w:sz w:val="21"/>
      <w:szCs w:val="22"/>
    </w:rPr>
  </w:style>
  <w:style w:type="character" w:customStyle="1" w:styleId="20">
    <w:name w:val="Footnote Text Char"/>
    <w:link w:val="15"/>
    <w:semiHidden/>
    <w:unhideWhenUsed/>
    <w:qFormat/>
    <w:uiPriority w:val="99"/>
    <w:rPr>
      <w:sz w:val="20"/>
      <w:szCs w:val="20"/>
    </w:rPr>
  </w:style>
  <w:style w:type="character" w:customStyle="1" w:styleId="21">
    <w:name w:val="Endnote Text Char"/>
    <w:link w:val="14"/>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419</Words>
  <Characters>3200</Characters>
  <TotalTime>0</TotalTime>
  <ScaleCrop>false</ScaleCrop>
  <LinksUpToDate>false</LinksUpToDate>
  <CharactersWithSpaces>3575</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2026-04-20T22:06:00Z</dcterms:created>
  <dc:creator>Un-named</dc:creator>
  <cp:lastModifiedBy>OS Premium Account</cp:lastModifiedBy>
  <dcterms:modified xsi:type="dcterms:W3CDTF">2026-04-23T19:54:40Z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eyJoZGlkIjoiZTdmYzMyMDcyOWY0ZjJjZjIzYTU2ZDQ4OWJjNzcxY2IiLCJ1c2VySWQiOiI3Njk2NTgyNDI4NTM5In0=</vt:lpwstr>
  </property>
  <property fmtid="{D5CDD505-2E9C-101B-9397-08002B2CF9AE}" pid="3" name="KSOProductBuildVer">
    <vt:lpwstr>1031-12.1.0.25242</vt:lpwstr>
  </property>
  <property fmtid="{D5CDD505-2E9C-101B-9397-08002B2CF9AE}" pid="4" name="ICV">
    <vt:lpwstr>D475E1658C1D480DA1043505A6FCA1DB_13</vt:lpwstr>
  </property>
</Properties>
</file>