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77A001">
      <w:pPr>
        <w:spacing w:before="120" w:after="40"/>
        <w:jc w:val="center"/>
      </w:pPr>
      <w:r>
        <w:rPr>
          <w:rFonts w:ascii="Georgia" w:hAnsi="Georgia" w:cs="Georgia"/>
          <w:color w:val="101010"/>
          <w:sz w:val="44"/>
          <w:szCs w:val="44"/>
        </w:rPr>
        <w:t xml:space="preserve">Extrakorporale </w:t>
      </w:r>
      <w:r>
        <w:rPr>
          <w:rFonts w:ascii="Georgia" w:hAnsi="Georgia" w:cs="Georgia"/>
          <w:color w:val="B8952A"/>
          <w:sz w:val="44"/>
          <w:szCs w:val="44"/>
        </w:rPr>
        <w:t>Stoßwellentherapie</w:t>
      </w:r>
    </w:p>
    <w:p w14:paraId="0077A002">
      <w:pPr>
        <w:spacing w:before="0" w:after="40"/>
        <w:jc w:val="center"/>
      </w:pPr>
      <w:r>
        <w:rPr>
          <w:rFonts w:ascii="Calibri" w:hAnsi="Calibri" w:cs="Calibri"/>
          <w:color w:val="9A7B2F"/>
          <w:spacing w:val="80"/>
          <w:sz w:val="20"/>
          <w:szCs w:val="20"/>
        </w:rPr>
        <w:t>ESWT</w:t>
      </w:r>
    </w:p>
    <w:p w14:paraId="0077A003">
      <w:pPr>
        <w:spacing w:before="0" w:after="60"/>
        <w:jc w:val="center"/>
      </w:pPr>
      <w:r>
        <w:rPr>
          <w:rFonts w:ascii="Calibri" w:hAnsi="Calibri" w:cs="Calibri"/>
          <w:color w:val="auto"/>
          <w:spacing w:val="60"/>
          <w:sz w:val="24"/>
          <w:szCs w:val="24"/>
        </w:rPr>
        <w:t>Nichtinvasiv  ·  Ambulant  ·  Zurück zum Sport</w:t>
      </w:r>
    </w:p>
    <w:p w14:paraId="481BA001">
      <w:pPr>
        <w:pBdr>
          <w:bottom w:val="single" w:color="DDD8CC" w:sz="2" w:space="1"/>
        </w:pBdr>
        <w:spacing w:before="0" w:after="0"/>
      </w:pPr>
    </w:p>
    <w:p w14:paraId="50FFA001">
      <w:pPr>
        <w:spacing w:before="20" w:after="0"/>
        <w:rPr>
          <w:rFonts w:ascii="Times New Roman" w:hAnsi="Times New Roman" w:cs="Times New Roman"/>
          <w:b/>
          <w:bCs/>
          <w:color w:val="1C1C1C"/>
          <w:sz w:val="24"/>
          <w:szCs w:val="24"/>
        </w:rPr>
      </w:pPr>
      <w:r>
        <w:rPr>
          <w:rFonts w:ascii="Times New Roman" w:hAnsi="Times New Roman" w:cs="Times New Roman"/>
          <w:b/>
          <w:bCs/>
          <w:color w:val="1C1C1C"/>
          <w:sz w:val="24"/>
          <w:szCs w:val="24"/>
        </w:rPr>
        <w:t>Sehr geehrte Patientin, sehr geehrter Patient,</w:t>
      </w:r>
    </w:p>
    <w:p w14:paraId="2869A001">
      <w:pPr>
        <w:pStyle w:val="17"/>
        <w:spacing w:after="60"/>
      </w:pPr>
      <w:r>
        <w:t xml:space="preserve">Die extrakorporale Stoßwellentherapie setzt hochenergetische Schallwellen gezielt im Gewebe ein – ohne Operation, ohne Narkose, ohne Ausfallzeiten. Was ursprünglich aus der Nierensteintherapie stammt, hat sich in der Orthopädie und Sportmedizin zu einem der wirksamsten nichtinvasiven Behandlungsverfahren entwickelt. Besonders nach Bandrekonstruktionen und bei Knorpelschädigungen lässt sich das Behandlungsergebnis durch ESWT gravierend verbessern – und die Rückkehr zum Sport deutlich beschleunigen.</w:t>
      </w:r>
    </w:p>
    <w:tbl>
      <w:tblPr>
        <w:tblStyle w:val="9"/>
        <w:tblW w:w="1020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204"/>
      </w:tblGrid>
      <w:tr w14:paraId="0DAAA0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204" w:type="dxa"/>
            <w:tcBorders>
              <w:top w:val="single" w:color="DDD8CC" w:sz="2" w:space="0"/>
              <w:left w:val="single" w:color="B8952A" w:sz="18" w:space="0"/>
              <w:bottom w:val="single" w:color="DDD8CC" w:sz="2" w:space="0"/>
              <w:right w:val="single" w:color="DDD8CC" w:sz="2" w:space="0"/>
            </w:tcBorders>
            <w:shd w:val="clear" w:color="auto" w:fill="F7F2E8"/>
            <w:tcMar>
              <w:top w:w="100" w:type="dxa"/>
              <w:left w:w="160" w:type="dxa"/>
              <w:bottom w:w="100" w:type="dxa"/>
              <w:right w:w="160" w:type="dxa"/>
            </w:tcMar>
          </w:tcPr>
          <w:p w14:paraId="45C4A001">
            <w:pPr>
              <w:spacing w:before="0" w:after="60"/>
            </w:pPr>
            <w:r>
              <w:rPr>
                <w:rFonts w:ascii="Times New Roman" w:hAnsi="Times New Roman" w:cs="Times New Roman"/>
                <w:b/>
                <w:bCs/>
                <w:color w:val="1C1C1C"/>
                <w:sz w:val="26"/>
                <w:szCs w:val="26"/>
              </w:rPr>
              <w:t>Wie wirkt die Stoßwellentherapie?</w:t>
            </w:r>
          </w:p>
          <w:p w14:paraId="4631A001">
            <w:pPr>
              <w:spacing w:before="0" w:after="40"/>
            </w:pPr>
            <w:r>
              <w:rPr>
                <w:sz w:val="24"/>
                <w:szCs w:val="24"/>
              </w:rPr>
              <w:t xml:space="preserve">Hochenergetische Druckwellen (500–1.000 bar) werden präzise auf das betroffene Gewebe geleitet. Ihr Hauptwirkmechanismus ist biologisch: Durch das Phänomen der </w:t>
            </w:r>
            <w:r>
              <w:rPr>
                <w:b/>
                <w:bCs/>
                <w:sz w:val="24"/>
                <w:szCs w:val="24"/>
              </w:rPr>
              <w:t>Mechanotransduktion</w:t>
            </w:r>
            <w:r>
              <w:rPr>
                <w:sz w:val="24"/>
                <w:szCs w:val="24"/>
              </w:rPr>
              <w:t xml:space="preserve"> wandeln Körperzellen den physikalischen Impuls in biochemische Heilungssignale um. Die Folgen: gesteigerte Durchblutung, aufgelöste Verkalkungen, aktivierte Wachstumsfaktoren, gehemmte Entzündungsmediatoren – und spürbar weniger Schmerz.</w:t>
            </w:r>
          </w:p>
          <w:p w14:paraId="4631A002">
            <w:pPr>
              <w:spacing w:before="0" w:after="0"/>
            </w:pPr>
            <w:r>
              <w:rPr>
                <w:sz w:val="24"/>
                <w:szCs w:val="24"/>
              </w:rPr>
              <w:t xml:space="preserve">Laut einem Narrative Review in </w:t>
            </w:r>
            <w:r>
              <w:rPr>
                <w:i/>
                <w:iCs/>
                <w:sz w:val="24"/>
                <w:szCs w:val="24"/>
              </w:rPr>
              <w:t>Healthcare</w:t>
            </w:r>
            <w:r>
              <w:rPr>
                <w:sz w:val="24"/>
                <w:szCs w:val="24"/>
              </w:rPr>
              <w:t xml:space="preserve"> (Vázquez-Sasot et al., 2023), der 3.517 Veröffentlichungen zu ESWT auswertete, besteht </w:t>
            </w:r>
            <w:r>
              <w:rPr>
                <w:b/>
                <w:bCs/>
                <w:sz w:val="24"/>
                <w:szCs w:val="24"/>
              </w:rPr>
              <w:t>solide Evidenz (Evidenzgrad 1+)</w:t>
            </w:r>
            <w:r>
              <w:rPr>
                <w:sz w:val="24"/>
                <w:szCs w:val="24"/>
              </w:rPr>
              <w:t xml:space="preserve"> für den Einsatz bei Tendinopathien, Plantarfasziitis, Arthrose und Knochenpathologien – mit kaum nennenswerten Nebenwirkungen.</w:t>
            </w:r>
          </w:p>
        </w:tc>
      </w:tr>
    </w:tbl>
    <w:p w14:paraId="13DEA001">
      <w:pPr>
        <w:spacing w:before="180" w:after="0"/>
      </w:pPr>
    </w:p>
    <w:tbl>
      <w:tblPr>
        <w:tblStyle w:val="9"/>
        <w:tblW w:w="10204" w:type="dxa"/>
        <w:tblInd w:w="0" w:type="dxa"/>
        <w:tblBorders>
          <w:top w:val="none" w:color="FFFFFF" w:sz="0" w:space="0"/>
          <w:left w:val="none" w:color="FFFFFF" w:sz="0" w:space="0"/>
          <w:bottom w:val="none" w:color="FFFFFF" w:sz="0" w:space="0"/>
          <w:right w:val="none" w:color="FFFFFF" w:sz="0" w:space="0"/>
          <w:insideH w:val="single" w:color="auto" w:sz="4" w:space="0"/>
          <w:insideV w:val="single" w:color="auto" w:sz="4" w:space="0"/>
        </w:tblBorders>
        <w:tblLayout w:type="autofit"/>
        <w:tblCellMar>
          <w:top w:w="0" w:type="dxa"/>
          <w:left w:w="10" w:type="dxa"/>
          <w:bottom w:w="0" w:type="dxa"/>
          <w:right w:w="10" w:type="dxa"/>
        </w:tblCellMar>
      </w:tblPr>
      <w:tblGrid>
        <w:gridCol w:w="4951"/>
        <w:gridCol w:w="240"/>
        <w:gridCol w:w="5013"/>
      </w:tblGrid>
      <w:tr w14:paraId="1662A001">
        <w:tblPrEx>
          <w:tblBorders>
            <w:top w:val="none" w:color="FFFFFF" w:sz="0" w:space="0"/>
            <w:left w:val="none" w:color="FFFFFF" w:sz="0" w:space="0"/>
            <w:bottom w:val="none" w:color="FFFFFF" w:sz="0" w:space="0"/>
            <w:right w:val="none" w:color="FFFFFF" w:sz="0" w:space="0"/>
            <w:insideH w:val="single" w:color="auto" w:sz="4" w:space="0"/>
            <w:insideV w:val="single" w:color="auto" w:sz="4" w:space="0"/>
          </w:tblBorders>
          <w:tblCellMar>
            <w:top w:w="0" w:type="dxa"/>
            <w:left w:w="10" w:type="dxa"/>
            <w:bottom w:w="0" w:type="dxa"/>
            <w:right w:w="10" w:type="dxa"/>
          </w:tblCellMar>
        </w:tblPrEx>
        <w:tc>
          <w:tcPr>
            <w:tcW w:w="4951" w:type="dxa"/>
            <w:tcBorders>
              <w:top w:val="single" w:color="DDD8CC" w:sz="2" w:space="0"/>
              <w:left w:val="single" w:color="DDD8CC" w:sz="2" w:space="0"/>
              <w:bottom w:val="single" w:color="DDD8CC" w:sz="2" w:space="0"/>
              <w:right w:val="single" w:color="DDD8CC" w:sz="2" w:space="0"/>
            </w:tcBorders>
            <w:tcMar>
              <w:top w:w="100" w:type="dxa"/>
              <w:left w:w="140" w:type="dxa"/>
              <w:bottom w:w="100" w:type="dxa"/>
              <w:right w:w="140" w:type="dxa"/>
            </w:tcMar>
          </w:tcPr>
          <w:p w14:paraId="6E70A001">
            <w:pPr>
              <w:pBdr>
                <w:bottom w:val="single" w:color="D8C990" w:sz="2" w:space="2"/>
              </w:pBdr>
              <w:spacing w:before="0" w:after="80"/>
            </w:pPr>
            <w:r>
              <w:rPr>
                <w:rFonts w:ascii="Georgia" w:hAnsi="Georgia" w:cs="Georgia"/>
                <w:b/>
                <w:bCs/>
                <w:caps/>
                <w:color w:val="9A7B2F"/>
                <w:spacing w:val="60"/>
                <w:sz w:val="22"/>
                <w:szCs w:val="22"/>
              </w:rPr>
              <w:t>Ihre Vorteile</w:t>
            </w:r>
          </w:p>
          <w:p w14:paraId="1960A001">
            <w:pPr>
              <w:pStyle w:val="19"/>
              <w:numPr>
                <w:ilvl w:val="0"/>
                <w:numId w:val="1"/>
              </w:numPr>
              <w:spacing w:before="30" w:after="30"/>
            </w:pPr>
            <w:r>
              <w:rPr>
                <w:rFonts w:ascii="Times New Roman" w:hAnsi="Times New Roman" w:cs="Times New Roman"/>
                <w:color w:val="1C1C1C"/>
                <w:sz w:val="24"/>
                <w:szCs w:val="24"/>
              </w:rPr>
              <w:t>Keine Operation, kein Narkoserisiko</w:t>
            </w:r>
          </w:p>
          <w:p w14:paraId="1960A002">
            <w:pPr>
              <w:pStyle w:val="19"/>
              <w:numPr>
                <w:ilvl w:val="0"/>
                <w:numId w:val="1"/>
              </w:numPr>
              <w:spacing w:before="30" w:after="30"/>
            </w:pPr>
            <w:r>
              <w:rPr>
                <w:rFonts w:ascii="Times New Roman" w:hAnsi="Times New Roman" w:cs="Times New Roman"/>
                <w:color w:val="1C1C1C"/>
                <w:sz w:val="24"/>
                <w:szCs w:val="24"/>
              </w:rPr>
              <w:t>Ambulant – keine Ausfallzeiten</w:t>
            </w:r>
          </w:p>
          <w:p w14:paraId="1960A003">
            <w:pPr>
              <w:pStyle w:val="19"/>
              <w:numPr>
                <w:ilvl w:val="0"/>
                <w:numId w:val="1"/>
              </w:numPr>
              <w:spacing w:before="30" w:after="30"/>
            </w:pPr>
            <w:r>
              <w:rPr>
                <w:rFonts w:ascii="Times New Roman" w:hAnsi="Times New Roman" w:cs="Times New Roman"/>
                <w:color w:val="1C1C1C"/>
                <w:sz w:val="24"/>
                <w:szCs w:val="24"/>
              </w:rPr>
              <w:t>Aktivierung körpereigener Heilungsprozesse</w:t>
            </w:r>
          </w:p>
          <w:p w14:paraId="1960A004">
            <w:pPr>
              <w:pStyle w:val="19"/>
              <w:numPr>
                <w:ilvl w:val="0"/>
                <w:numId w:val="1"/>
              </w:numPr>
              <w:spacing w:before="30" w:after="30"/>
            </w:pPr>
            <w:r>
              <w:rPr>
                <w:rFonts w:ascii="Times New Roman" w:hAnsi="Times New Roman" w:cs="Times New Roman"/>
                <w:color w:val="1C1C1C"/>
                <w:sz w:val="24"/>
                <w:szCs w:val="24"/>
              </w:rPr>
              <w:t>Nachhaltige Schmerzreduktion – auch langfristig</w:t>
            </w:r>
          </w:p>
          <w:p w14:paraId="1960A005">
            <w:pPr>
              <w:pStyle w:val="19"/>
              <w:numPr>
                <w:ilvl w:val="0"/>
                <w:numId w:val="1"/>
              </w:numPr>
              <w:spacing w:before="30" w:after="30"/>
            </w:pPr>
            <w:r>
              <w:rPr>
                <w:rFonts w:ascii="Times New Roman" w:hAnsi="Times New Roman" w:cs="Times New Roman"/>
                <w:color w:val="1C1C1C"/>
                <w:sz w:val="24"/>
                <w:szCs w:val="24"/>
              </w:rPr>
              <w:t>Schnellere Rückkehr zum Sport</w:t>
            </w:r>
          </w:p>
          <w:p w14:paraId="1960A006">
            <w:pPr>
              <w:pStyle w:val="19"/>
              <w:numPr>
                <w:ilvl w:val="0"/>
                <w:numId w:val="1"/>
              </w:numPr>
              <w:spacing w:before="30" w:after="30"/>
            </w:pPr>
            <w:r>
              <w:rPr>
                <w:rFonts w:ascii="Times New Roman" w:hAnsi="Times New Roman" w:cs="Times New Roman"/>
                <w:color w:val="1C1C1C"/>
                <w:sz w:val="24"/>
                <w:szCs w:val="24"/>
              </w:rPr>
              <w:t>Individuell auf Ihr Schmerzempfinden eingestellt</w:t>
            </w:r>
          </w:p>
          <w:p w14:paraId="1960A007">
            <w:pPr>
              <w:pStyle w:val="19"/>
              <w:numPr>
                <w:ilvl w:val="0"/>
                <w:numId w:val="1"/>
              </w:numPr>
              <w:spacing w:before="30" w:after="30"/>
            </w:pPr>
            <w:r>
              <w:rPr>
                <w:rFonts w:ascii="Times New Roman" w:hAnsi="Times New Roman" w:cs="Times New Roman"/>
                <w:color w:val="1C1C1C"/>
                <w:sz w:val="24"/>
                <w:szCs w:val="24"/>
              </w:rPr>
              <w:t>Wirksam auch dort, wo andere Therapien versagen</w:t>
            </w:r>
          </w:p>
        </w:tc>
        <w:tc>
          <w:tcPr>
            <w:tcW w:w="240" w:type="dxa"/>
            <w:tcBorders>
              <w:top w:val="nil"/>
              <w:left w:val="nil"/>
              <w:bottom w:val="nil"/>
              <w:right w:val="nil"/>
            </w:tcBorders>
          </w:tcPr>
          <w:p w14:paraId="5D18A001"/>
        </w:tc>
        <w:tc>
          <w:tcPr>
            <w:tcW w:w="5013" w:type="dxa"/>
            <w:tcBorders>
              <w:top w:val="single" w:color="DDD8CC" w:sz="2" w:space="0"/>
              <w:left w:val="single" w:color="DDD8CC" w:sz="2" w:space="0"/>
              <w:bottom w:val="single" w:color="DDD8CC" w:sz="2" w:space="0"/>
              <w:right w:val="single" w:color="DDD8CC" w:sz="2" w:space="0"/>
            </w:tcBorders>
            <w:tcMar>
              <w:top w:w="100" w:type="dxa"/>
              <w:left w:w="140" w:type="dxa"/>
              <w:bottom w:w="100" w:type="dxa"/>
              <w:right w:w="140" w:type="dxa"/>
            </w:tcMar>
          </w:tcPr>
          <w:p w14:paraId="4981A001">
            <w:pPr>
              <w:pBdr>
                <w:bottom w:val="single" w:color="D8C990" w:sz="2" w:space="2"/>
              </w:pBdr>
              <w:spacing w:before="0" w:after="80"/>
            </w:pPr>
            <w:r>
              <w:rPr>
                <w:rFonts w:ascii="Georgia" w:hAnsi="Georgia" w:cs="Georgia"/>
                <w:b/>
                <w:bCs/>
                <w:caps/>
                <w:color w:val="9A7B2F"/>
                <w:spacing w:val="60"/>
                <w:sz w:val="22"/>
                <w:szCs w:val="22"/>
              </w:rPr>
              <w:t>Anwendungsgebiete</w:t>
            </w:r>
          </w:p>
          <w:p w14:paraId="4ED4A001">
            <w:pPr>
              <w:pStyle w:val="19"/>
              <w:numPr>
                <w:ilvl w:val="0"/>
                <w:numId w:val="1"/>
              </w:numPr>
              <w:spacing w:before="30" w:after="30"/>
            </w:pPr>
            <w:r>
              <w:rPr>
                <w:rFonts w:ascii="Times New Roman" w:hAnsi="Times New Roman" w:cs="Times New Roman"/>
                <w:color w:val="1C1C1C"/>
                <w:sz w:val="24"/>
                <w:szCs w:val="24"/>
              </w:rPr>
              <w:t>Muskuloskelettale Erkrankungen</w:t>
            </w:r>
          </w:p>
          <w:p w14:paraId="4ED4A002">
            <w:pPr>
              <w:pStyle w:val="19"/>
              <w:numPr>
                <w:ilvl w:val="0"/>
                <w:numId w:val="1"/>
              </w:numPr>
              <w:spacing w:before="30" w:after="30"/>
            </w:pPr>
            <w:r>
              <w:rPr>
                <w:rFonts w:ascii="Times New Roman" w:hAnsi="Times New Roman" w:cs="Times New Roman"/>
                <w:color w:val="1C1C1C"/>
                <w:sz w:val="24"/>
                <w:szCs w:val="24"/>
              </w:rPr>
              <w:t>Degenerative Erkrankungen (Bandscheibenvorfall, Spondylarthrose)</w:t>
            </w:r>
          </w:p>
          <w:p w14:paraId="4ED4A003">
            <w:pPr>
              <w:pStyle w:val="19"/>
              <w:numPr>
                <w:ilvl w:val="0"/>
                <w:numId w:val="1"/>
              </w:numPr>
              <w:spacing w:before="30" w:after="30"/>
            </w:pPr>
            <w:r>
              <w:rPr>
                <w:rFonts w:ascii="Times New Roman" w:hAnsi="Times New Roman" w:cs="Times New Roman"/>
                <w:color w:val="1C1C1C"/>
                <w:sz w:val="24"/>
                <w:szCs w:val="24"/>
              </w:rPr>
              <w:t>Arthrose (Knie, Hüfte, Hände, Schulter, Ellenbogen)</w:t>
            </w:r>
          </w:p>
          <w:p w14:paraId="4ED4A004">
            <w:pPr>
              <w:pStyle w:val="19"/>
              <w:numPr>
                <w:ilvl w:val="0"/>
                <w:numId w:val="1"/>
              </w:numPr>
              <w:spacing w:before="30" w:after="30"/>
            </w:pPr>
            <w:r>
              <w:rPr>
                <w:rFonts w:ascii="Times New Roman" w:hAnsi="Times New Roman" w:cs="Times New Roman"/>
                <w:color w:val="1C1C1C"/>
                <w:sz w:val="24"/>
                <w:szCs w:val="24"/>
              </w:rPr>
              <w:t>Sehnenüberlastungssyndrome &amp; chronische Entzündungen</w:t>
            </w:r>
          </w:p>
          <w:p w14:paraId="4ED4A005">
            <w:pPr>
              <w:pStyle w:val="19"/>
              <w:numPr>
                <w:ilvl w:val="0"/>
                <w:numId w:val="1"/>
              </w:numPr>
              <w:spacing w:before="30" w:after="30"/>
            </w:pPr>
            <w:r>
              <w:rPr>
                <w:rFonts w:ascii="Times New Roman" w:hAnsi="Times New Roman" w:cs="Times New Roman"/>
                <w:color w:val="1C1C1C"/>
                <w:sz w:val="24"/>
                <w:szCs w:val="24"/>
              </w:rPr>
              <w:t>Sportverletzungen &amp; nach Operationen (Kreuzband, Knorpel)</w:t>
            </w:r>
          </w:p>
          <w:p w14:paraId="4ED4A006">
            <w:pPr>
              <w:pStyle w:val="19"/>
              <w:numPr>
                <w:ilvl w:val="0"/>
                <w:numId w:val="1"/>
              </w:numPr>
              <w:spacing w:before="30" w:after="30"/>
            </w:pPr>
            <w:r>
              <w:rPr>
                <w:rFonts w:ascii="Times New Roman" w:hAnsi="Times New Roman" w:cs="Times New Roman"/>
                <w:color w:val="1C1C1C"/>
                <w:sz w:val="24"/>
                <w:szCs w:val="24"/>
              </w:rPr>
              <w:t>Muskelverspannungen, Radikulopathien &amp; Lumbalgie</w:t>
            </w:r>
          </w:p>
        </w:tc>
      </w:tr>
    </w:tbl>
    <w:p w14:paraId="31C9A001">
      <w:pPr>
        <w:spacing w:before="180" w:after="0"/>
      </w:pPr>
    </w:p>
    <w:tbl>
      <w:tblPr>
        <w:tblStyle w:val="9"/>
        <w:tblW w:w="10204" w:type="dxa"/>
        <w:tblInd w:w="0" w:type="dxa"/>
        <w:tblBorders>
          <w:top w:val="none" w:color="FFFFFF" w:sz="0" w:space="0"/>
          <w:left w:val="none" w:color="FFFFFF" w:sz="0" w:space="0"/>
          <w:bottom w:val="none" w:color="FFFFFF" w:sz="0" w:space="0"/>
          <w:right w:val="none" w:color="FFFFFF" w:sz="0" w:space="0"/>
          <w:insideH w:val="single" w:color="auto" w:sz="4" w:space="0"/>
          <w:insideV w:val="single" w:color="auto" w:sz="4" w:space="0"/>
        </w:tblBorders>
        <w:tblLayout w:type="autofit"/>
        <w:tblCellMar>
          <w:top w:w="0" w:type="dxa"/>
          <w:left w:w="10" w:type="dxa"/>
          <w:bottom w:w="0" w:type="dxa"/>
          <w:right w:w="10" w:type="dxa"/>
        </w:tblCellMar>
      </w:tblPr>
      <w:tblGrid>
        <w:gridCol w:w="5102"/>
        <w:gridCol w:w="5102"/>
      </w:tblGrid>
      <w:tr w14:paraId="7718A001">
        <w:tblPrEx>
          <w:tblBorders>
            <w:top w:val="none" w:color="FFFFFF" w:sz="0" w:space="0"/>
            <w:left w:val="none" w:color="FFFFFF" w:sz="0" w:space="0"/>
            <w:bottom w:val="none" w:color="FFFFFF" w:sz="0" w:space="0"/>
            <w:right w:val="none" w:color="FFFFFF" w:sz="0" w:space="0"/>
            <w:insideH w:val="single" w:color="auto" w:sz="4" w:space="0"/>
            <w:insideV w:val="single" w:color="auto" w:sz="4" w:space="0"/>
          </w:tblBorders>
          <w:tblCellMar>
            <w:top w:w="0" w:type="dxa"/>
            <w:left w:w="10" w:type="dxa"/>
            <w:bottom w:w="0" w:type="dxa"/>
            <w:right w:w="10" w:type="dxa"/>
          </w:tblCellMar>
        </w:tblPrEx>
        <w:tc>
          <w:tcPr>
            <w:tcW w:w="5102" w:type="dxa"/>
            <w:tcBorders>
              <w:top w:val="single" w:color="DDD8CC" w:sz="2" w:space="0"/>
              <w:left w:val="single" w:color="DDD8CC" w:sz="2" w:space="0"/>
              <w:bottom w:val="single" w:color="DDD8CC" w:sz="2" w:space="0"/>
              <w:right w:val="single" w:color="DDD8CC" w:sz="2" w:space="0"/>
            </w:tcBorders>
            <w:shd w:val="clear" w:color="auto" w:fill="F9F8F5"/>
            <w:tcMar>
              <w:top w:w="100" w:type="dxa"/>
              <w:left w:w="160" w:type="dxa"/>
              <w:bottom w:w="100" w:type="dxa"/>
              <w:right w:w="100" w:type="dxa"/>
            </w:tcMar>
          </w:tcPr>
          <w:p w14:paraId="0F7AA001">
            <w:pPr>
              <w:spacing w:before="0" w:after="40"/>
              <w:jc w:val="center"/>
            </w:pPr>
            <w:r>
              <w:rPr>
                <w:rFonts w:ascii="Calibri" w:hAnsi="Calibri" w:cs="Calibri"/>
                <w:b/>
                <w:bCs/>
                <w:caps/>
                <w:color w:val="9A7B2F"/>
                <w:spacing w:val="80"/>
                <w:sz w:val="15"/>
                <w:szCs w:val="15"/>
              </w:rPr>
              <w:t>BEHANDLUNGEN</w:t>
            </w:r>
          </w:p>
          <w:p w14:paraId="723DA001">
            <w:pPr>
              <w:spacing w:before="0" w:after="0"/>
              <w:jc w:val="center"/>
            </w:pPr>
            <w:r>
              <w:rPr>
                <w:rFonts w:ascii="Georgia" w:hAnsi="Georgia" w:cs="Georgia"/>
                <w:color w:val="1C1C1C"/>
                <w:sz w:val="22"/>
                <w:szCs w:val="22"/>
              </w:rPr>
              <w:t>5 Einheiten als Block</w:t>
            </w:r>
          </w:p>
        </w:tc>
        <w:tc>
          <w:tcPr>
            <w:tcW w:w="5102" w:type="dxa"/>
            <w:tcBorders>
              <w:top w:val="single" w:color="DDD8CC" w:sz="2" w:space="0"/>
              <w:left w:val="single" w:color="DDD8CC" w:sz="2" w:space="0"/>
              <w:bottom w:val="single" w:color="DDD8CC" w:sz="2" w:space="0"/>
              <w:right w:val="single" w:color="DDD8CC" w:sz="2" w:space="0"/>
            </w:tcBorders>
            <w:shd w:val="clear" w:color="auto" w:fill="F9F8F5"/>
            <w:tcMar>
              <w:top w:w="100" w:type="dxa"/>
              <w:left w:w="160" w:type="dxa"/>
              <w:bottom w:w="100" w:type="dxa"/>
              <w:right w:w="160" w:type="dxa"/>
            </w:tcMar>
          </w:tcPr>
          <w:p w14:paraId="489EA001">
            <w:pPr>
              <w:spacing w:before="0" w:after="40"/>
              <w:jc w:val="center"/>
            </w:pPr>
            <w:r>
              <w:rPr>
                <w:rFonts w:ascii="Calibri" w:hAnsi="Calibri" w:cs="Calibri"/>
                <w:b/>
                <w:bCs/>
                <w:caps/>
                <w:color w:val="9A7B2F"/>
                <w:spacing w:val="80"/>
                <w:sz w:val="15"/>
                <w:szCs w:val="15"/>
              </w:rPr>
              <w:t>WIEDERHOLUNGEN</w:t>
            </w:r>
          </w:p>
          <w:p w14:paraId="3F98A001">
            <w:pPr>
              <w:spacing w:before="0" w:after="0"/>
              <w:jc w:val="center"/>
            </w:pPr>
            <w:r>
              <w:rPr>
                <w:rFonts w:ascii="Georgia" w:hAnsi="Georgia" w:cs="Georgia"/>
                <w:color w:val="1C1C1C"/>
                <w:sz w:val="22"/>
                <w:szCs w:val="22"/>
              </w:rPr>
              <w:t>Alle 10–14 Tage  ·  ca. 3–5 Min. pro Sitzung</w:t>
            </w:r>
          </w:p>
        </w:tc>
      </w:tr>
    </w:tbl>
    <w:p w14:paraId="7DA5A001">
      <w:pPr>
        <w:spacing w:before="180" w:after="0"/>
      </w:pPr>
    </w:p>
    <w:tbl>
      <w:tblPr>
        <w:tblStyle w:val="9"/>
        <w:tblW w:w="10204" w:type="dxa"/>
        <w:tblInd w:w="0" w:type="dxa"/>
        <w:tblBorders>
          <w:top w:val="single" w:color="D8C990" w:sz="4" w:space="0"/>
          <w:left w:val="single" w:color="D8C990" w:sz="4" w:space="0"/>
          <w:bottom w:val="single" w:color="D8C990" w:sz="4" w:space="0"/>
          <w:right w:val="single" w:color="D8C990" w:sz="4" w:space="0"/>
          <w:insideH w:val="single" w:color="auto" w:sz="4" w:space="0"/>
          <w:insideV w:val="single" w:color="auto" w:sz="4" w:space="0"/>
        </w:tblBorders>
        <w:tblLayout w:type="autofit"/>
        <w:tblCellMar>
          <w:top w:w="0" w:type="dxa"/>
          <w:left w:w="10" w:type="dxa"/>
          <w:bottom w:w="0" w:type="dxa"/>
          <w:right w:w="10" w:type="dxa"/>
        </w:tblCellMar>
      </w:tblPr>
      <w:tblGrid>
        <w:gridCol w:w="10204"/>
      </w:tblGrid>
      <w:tr w14:paraId="1162A001">
        <w:tblPrEx>
          <w:tblBorders>
            <w:top w:val="single" w:color="D8C990" w:sz="4" w:space="0"/>
            <w:left w:val="single" w:color="D8C990" w:sz="4" w:space="0"/>
            <w:bottom w:val="single" w:color="D8C990" w:sz="4" w:space="0"/>
            <w:right w:val="single" w:color="D8C990" w:sz="4" w:space="0"/>
            <w:insideH w:val="single" w:color="auto" w:sz="4" w:space="0"/>
            <w:insideV w:val="single" w:color="auto" w:sz="4" w:space="0"/>
          </w:tblBorders>
          <w:tblCellMar>
            <w:top w:w="0" w:type="dxa"/>
            <w:left w:w="10" w:type="dxa"/>
            <w:bottom w:w="0" w:type="dxa"/>
            <w:right w:w="10" w:type="dxa"/>
          </w:tblCellMar>
        </w:tblPrEx>
        <w:tc>
          <w:tcPr>
            <w:tcW w:w="10204" w:type="dxa"/>
            <w:tcBorders>
              <w:top w:val="single" w:color="D8C990" w:sz="4" w:space="0"/>
              <w:left w:val="single" w:color="D8C990" w:sz="4" w:space="0"/>
              <w:bottom w:val="single" w:color="D8C990" w:sz="4" w:space="0"/>
              <w:right w:val="single" w:color="D8C990" w:sz="4" w:space="0"/>
            </w:tcBorders>
            <w:shd w:val="clear" w:color="auto" w:fill="F7F2E8"/>
            <w:tcMar>
              <w:top w:w="100" w:type="dxa"/>
              <w:left w:w="200" w:type="dxa"/>
              <w:bottom w:w="100" w:type="dxa"/>
              <w:right w:w="200" w:type="dxa"/>
            </w:tcMar>
          </w:tcPr>
          <w:p w14:paraId="7443A001">
            <w:pPr>
              <w:spacing w:before="0" w:after="60"/>
            </w:pPr>
            <w:r>
              <w:rPr>
                <w:rFonts w:ascii="Georgia" w:hAnsi="Georgia" w:cs="Georgia"/>
                <w:b/>
                <w:bCs/>
                <w:color w:val="9A7B2F"/>
                <w:sz w:val="24"/>
                <w:szCs w:val="24"/>
              </w:rPr>
              <w:t xml:space="preserve">Was sagt die Wissenschaft? – </w:t>
            </w:r>
            <w:r>
              <w:rPr>
                <w:rFonts w:ascii="Times New Roman" w:hAnsi="Times New Roman" w:cs="Times New Roman"/>
                <w:color w:val="3E3E3E"/>
                <w:sz w:val="24"/>
                <w:szCs w:val="24"/>
              </w:rPr>
              <w:t>ESWT ist eine der am besten belegten nichtinvasiven Therapien weltweit.</w:t>
            </w:r>
          </w:p>
          <w:p w14:paraId="2EABA001">
            <w:pPr>
              <w:spacing w:before="0" w:after="60"/>
            </w:pPr>
            <w:r>
              <w:rPr>
                <w:rFonts w:ascii="Times New Roman" w:hAnsi="Times New Roman" w:cs="Times New Roman"/>
                <w:color w:val="3E3E3E"/>
                <w:sz w:val="24"/>
                <w:szCs w:val="24"/>
              </w:rPr>
              <w:t xml:space="preserve">Ein Umbrella Review (2024), der 210 systematische Übersichtsarbeiten mit 636 randomisiert-kontrollierten Studien und über 41.000 Patienten zusammenfasste, bestätigt die Wirksamkeit und Sicherheit von ESWT in sieben Therapiebereichen und 37 Erkrankungen. Eine Meta-Analyse von 18 RCTs aus 2024 (Frontiers in Medicine) belegt, dass ESWT Schmerzen bei Schulter-, Ellenbogen- und Fingertendinopathien signifikant reduziert – auch im Vergleich zu Placebo und konventioneller Physiotherapie. Eine aktuelle Untersuchung (Weninger et al., </w:t>
            </w:r>
            <w:r>
              <w:rPr>
                <w:rFonts w:ascii="Times New Roman" w:hAnsi="Times New Roman" w:cs="Times New Roman"/>
                <w:i/>
                <w:iCs/>
                <w:color w:val="3E3E3E"/>
                <w:sz w:val="24"/>
                <w:szCs w:val="24"/>
              </w:rPr>
              <w:t>J Clin Med</w:t>
            </w:r>
            <w:r>
              <w:rPr>
                <w:rFonts w:ascii="Times New Roman" w:hAnsi="Times New Roman" w:cs="Times New Roman"/>
                <w:color w:val="3E3E3E"/>
                <w:sz w:val="24"/>
                <w:szCs w:val="24"/>
              </w:rPr>
              <w:t xml:space="preserve"> 2023) zeigte außerdem, dass ESWT nach vorderer Kreuzbandrekonstruktion das klinische Ergebnis messbar verbessert. Die Kombination mit Magnetolitherapie ist das logische nächste Kapitel – mehr dazu auf Seite 2.</w:t>
            </w:r>
          </w:p>
        </w:tc>
      </w:tr>
    </w:tbl>
    <w:p w14:paraId="PGBREAK1">
      <w:pPr>
        <w:spacing w:before="0" w:after="0"/>
      </w:pPr>
      <w:r>
        <w:br w:type="page"/>
      </w:r>
    </w:p>
    <w:p w14:paraId="0077B001">
      <w:pPr>
        <w:spacing w:before="120" w:after="40"/>
        <w:jc w:val="center"/>
      </w:pPr>
      <w:r>
        <w:rPr>
          <w:rFonts w:ascii="Georgia" w:hAnsi="Georgia" w:cs="Georgia"/>
          <w:color w:val="101010"/>
          <w:sz w:val="44"/>
          <w:szCs w:val="44"/>
        </w:rPr>
        <w:t xml:space="preserve">Extrakorporale </w:t>
      </w:r>
      <w:r>
        <w:rPr>
          <w:rFonts w:ascii="Georgia" w:hAnsi="Georgia" w:cs="Georgia"/>
          <w:color w:val="B8952A"/>
          <w:sz w:val="44"/>
          <w:szCs w:val="44"/>
        </w:rPr>
        <w:t>Magnetolitherapie</w:t>
      </w:r>
    </w:p>
    <w:p w14:paraId="0077B002">
      <w:pPr>
        <w:spacing w:before="0" w:after="40"/>
        <w:jc w:val="center"/>
      </w:pPr>
      <w:r>
        <w:rPr>
          <w:rFonts w:ascii="Calibri" w:hAnsi="Calibri" w:cs="Calibri"/>
          <w:color w:val="9A7B2F"/>
          <w:spacing w:val="80"/>
          <w:sz w:val="20"/>
          <w:szCs w:val="20"/>
        </w:rPr>
        <w:t>EMTT – Extrakorporale Magnetotransduktions-Therapie</w:t>
      </w:r>
    </w:p>
    <w:p w14:paraId="0077B003">
      <w:pPr>
        <w:spacing w:before="0" w:after="60"/>
        <w:jc w:val="center"/>
      </w:pPr>
      <w:r>
        <w:rPr>
          <w:rFonts w:ascii="Calibri" w:hAnsi="Calibri" w:cs="Calibri"/>
          <w:color w:val="auto"/>
          <w:spacing w:val="60"/>
          <w:sz w:val="24"/>
          <w:szCs w:val="24"/>
        </w:rPr>
        <w:t>Nahezu schmerzfrei  ·  Ambulant  ·  Tiefe Zellregeneration</w:t>
      </w:r>
    </w:p>
    <w:p w14:paraId="481BB001">
      <w:pPr>
        <w:pBdr>
          <w:bottom w:val="single" w:color="DDD8CC" w:sz="2" w:space="1"/>
        </w:pBdr>
        <w:spacing w:before="0" w:after="0"/>
      </w:pPr>
    </w:p>
    <w:p w14:paraId="50FFB001">
      <w:pPr>
        <w:spacing w:before="20" w:after="0"/>
        <w:rPr>
          <w:rFonts w:ascii="Times New Roman" w:hAnsi="Times New Roman" w:cs="Times New Roman"/>
          <w:b/>
          <w:bCs/>
          <w:color w:val="1C1C1C"/>
          <w:sz w:val="24"/>
          <w:szCs w:val="24"/>
        </w:rPr>
      </w:pPr>
      <w:r>
        <w:rPr>
          <w:rFonts w:ascii="Times New Roman" w:hAnsi="Times New Roman" w:cs="Times New Roman"/>
          <w:b/>
          <w:bCs/>
          <w:color w:val="1C1C1C"/>
          <w:sz w:val="24"/>
          <w:szCs w:val="24"/>
        </w:rPr>
        <w:t>Sehr geehrte Patientin, sehr geehrter Patient,</w:t>
      </w:r>
    </w:p>
    <w:p w14:paraId="2869B001">
      <w:pPr>
        <w:pStyle w:val="17"/>
        <w:spacing w:after="60"/>
      </w:pPr>
      <w:r>
        <w:t xml:space="preserve">Die Magnetolitherapie (EMTT) ist eine der jüngsten und vielversprechendsten Entwicklungen in der nichtinvasiven Muskel-Skelett-Medizin. Im Gegensatz zu klassischer Magnetfeldtherapie arbeitet EMTT mit hochfrequenten Pulsen (bis 300 kHz) und einer Feldstärke von bis zu 80 mT – Werte, die deutlich über konventionellen Geräten liegen und eine tiefere Gewebepenetration ermöglichen. Das Ergebnis ist eine Therapie, die nahezu vollständig schmerzfrei ist und keine Ausfallzeiten hinterlässt.</w:t>
      </w:r>
    </w:p>
    <w:tbl>
      <w:tblPr>
        <w:tblStyle w:val="9"/>
        <w:tblW w:w="1020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204"/>
      </w:tblGrid>
      <w:tr w14:paraId="0DAEB0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204" w:type="dxa"/>
            <w:tcBorders>
              <w:top w:val="single" w:color="DDD8CC" w:sz="2" w:space="0"/>
              <w:left w:val="single" w:color="B8952A" w:sz="18" w:space="0"/>
              <w:bottom w:val="single" w:color="DDD8CC" w:sz="2" w:space="0"/>
              <w:right w:val="single" w:color="DDD8CC" w:sz="2" w:space="0"/>
            </w:tcBorders>
            <w:shd w:val="clear" w:color="auto" w:fill="F7F2E8"/>
            <w:tcMar>
              <w:top w:w="100" w:type="dxa"/>
              <w:left w:w="160" w:type="dxa"/>
              <w:bottom w:w="100" w:type="dxa"/>
              <w:right w:w="160" w:type="dxa"/>
            </w:tcMar>
          </w:tcPr>
          <w:p w14:paraId="45C4B001">
            <w:pPr>
              <w:spacing w:before="0" w:after="60"/>
            </w:pPr>
            <w:r>
              <w:rPr>
                <w:rFonts w:ascii="Times New Roman" w:hAnsi="Times New Roman" w:cs="Times New Roman"/>
                <w:b/>
                <w:bCs/>
                <w:color w:val="1C1C1C"/>
                <w:sz w:val="26"/>
                <w:szCs w:val="26"/>
              </w:rPr>
              <w:t>Wie wirkt die Magnetolitherapie auf Zellebene?</w:t>
            </w:r>
          </w:p>
          <w:p w14:paraId="4631B001">
            <w:pPr>
              <w:spacing w:before="0" w:after="40"/>
            </w:pPr>
            <w:r>
              <w:rPr>
                <w:sz w:val="24"/>
                <w:szCs w:val="24"/>
              </w:rPr>
              <w:t xml:space="preserve">Hochfrequente Magnetfelder induzieren elektrische Mikrostromflüsse im Gewebe. Diese aktivieren calcium-abhängige Signalwege in den Zellen – mit messbaren Folgen: Entzündungsmediatoren werden gehemmt, der Stoffwechsel in Osteoblasten und Sehnenzellen wird angeregt, Kollagensynthese und Knochenmineralisation beschleunigt. Die Wirkung ist tief, ohne die Haut zu belasten.</w:t>
            </w:r>
          </w:p>
          <w:p w14:paraId="4631B002">
            <w:pPr>
              <w:spacing w:before="0" w:after="0"/>
            </w:pPr>
            <w:r>
              <w:rPr>
                <w:sz w:val="24"/>
                <w:szCs w:val="24"/>
              </w:rPr>
              <w:t xml:space="preserve">Eine Studie der Technischen Universität München (Gerdesmeyer et al., </w:t>
            </w:r>
            <w:r>
              <w:rPr>
                <w:i/>
                <w:iCs/>
                <w:sz w:val="24"/>
                <w:szCs w:val="24"/>
              </w:rPr>
              <w:t>Biomedicines</w:t>
            </w:r>
            <w:r>
              <w:rPr>
                <w:sz w:val="24"/>
                <w:szCs w:val="24"/>
              </w:rPr>
              <w:t xml:space="preserve"> 2024) zeigte erstmals, dass EMTT alle Phasen der Osteoblastogenese signifikant fördert: Schlüsselgene wie RUNX2 und COL1A1 wurden auf das Siebenfache hochreguliert. Gleichzeitig belegte eine randomisierte, placebokontrollierte Studie mit 126 Patienten (Hollander et al., 2025), dass EMTT bei Kniearthrose, Schultertendinopathie und Lendenwirbelarthrose signifikant Schmerzen reduziert und die körperliche Funktion verbessert.</w:t>
            </w:r>
          </w:p>
        </w:tc>
      </w:tr>
    </w:tbl>
    <w:p w14:paraId="13DEB001">
      <w:pPr>
        <w:spacing w:before="180" w:after="0"/>
      </w:pPr>
    </w:p>
    <w:tbl>
      <w:tblPr>
        <w:tblStyle w:val="9"/>
        <w:tblW w:w="10204" w:type="dxa"/>
        <w:tblInd w:w="0" w:type="dxa"/>
        <w:tblBorders>
          <w:top w:val="none" w:color="FFFFFF" w:sz="0" w:space="0"/>
          <w:left w:val="none" w:color="FFFFFF" w:sz="0" w:space="0"/>
          <w:bottom w:val="none" w:color="FFFFFF" w:sz="0" w:space="0"/>
          <w:right w:val="none" w:color="FFFFFF" w:sz="0" w:space="0"/>
          <w:insideH w:val="single" w:color="auto" w:sz="4" w:space="0"/>
          <w:insideV w:val="single" w:color="auto" w:sz="4" w:space="0"/>
        </w:tblBorders>
        <w:tblLayout w:type="autofit"/>
        <w:tblCellMar>
          <w:top w:w="0" w:type="dxa"/>
          <w:left w:w="10" w:type="dxa"/>
          <w:bottom w:w="0" w:type="dxa"/>
          <w:right w:w="10" w:type="dxa"/>
        </w:tblCellMar>
      </w:tblPr>
      <w:tblGrid>
        <w:gridCol w:w="4951"/>
        <w:gridCol w:w="240"/>
        <w:gridCol w:w="5013"/>
      </w:tblGrid>
      <w:tr w14:paraId="1662B001">
        <w:tblPrEx>
          <w:tblBorders>
            <w:top w:val="none" w:color="FFFFFF" w:sz="0" w:space="0"/>
            <w:left w:val="none" w:color="FFFFFF" w:sz="0" w:space="0"/>
            <w:bottom w:val="none" w:color="FFFFFF" w:sz="0" w:space="0"/>
            <w:right w:val="none" w:color="FFFFFF" w:sz="0" w:space="0"/>
            <w:insideH w:val="single" w:color="auto" w:sz="4" w:space="0"/>
            <w:insideV w:val="single" w:color="auto" w:sz="4" w:space="0"/>
          </w:tblBorders>
          <w:tblCellMar>
            <w:top w:w="0" w:type="dxa"/>
            <w:left w:w="10" w:type="dxa"/>
            <w:bottom w:w="0" w:type="dxa"/>
            <w:right w:w="10" w:type="dxa"/>
          </w:tblCellMar>
        </w:tblPrEx>
        <w:tc>
          <w:tcPr>
            <w:tcW w:w="4951" w:type="dxa"/>
            <w:tcBorders>
              <w:top w:val="single" w:color="DDD8CC" w:sz="2" w:space="0"/>
              <w:left w:val="single" w:color="DDD8CC" w:sz="2" w:space="0"/>
              <w:bottom w:val="single" w:color="DDD8CC" w:sz="2" w:space="0"/>
              <w:right w:val="single" w:color="DDD8CC" w:sz="2" w:space="0"/>
            </w:tcBorders>
            <w:tcMar>
              <w:top w:w="100" w:type="dxa"/>
              <w:left w:w="140" w:type="dxa"/>
              <w:bottom w:w="100" w:type="dxa"/>
              <w:right w:w="140" w:type="dxa"/>
            </w:tcMar>
          </w:tcPr>
          <w:p w14:paraId="6E70B001">
            <w:pPr>
              <w:pBdr>
                <w:bottom w:val="single" w:color="D8C990" w:sz="2" w:space="2"/>
              </w:pBdr>
              <w:spacing w:before="0" w:after="80"/>
            </w:pPr>
            <w:r>
              <w:rPr>
                <w:rFonts w:ascii="Georgia" w:hAnsi="Georgia" w:cs="Georgia"/>
                <w:b/>
                <w:bCs/>
                <w:caps/>
                <w:color w:val="9A7B2F"/>
                <w:spacing w:val="60"/>
                <w:sz w:val="22"/>
                <w:szCs w:val="22"/>
              </w:rPr>
              <w:t>Ihre Vorteile</w:t>
            </w:r>
          </w:p>
          <w:p w14:paraId="1960B001">
            <w:pPr>
              <w:pStyle w:val="19"/>
              <w:numPr>
                <w:ilvl w:val="0"/>
                <w:numId w:val="1"/>
              </w:numPr>
              <w:spacing w:before="30" w:after="30"/>
            </w:pPr>
            <w:r>
              <w:rPr>
                <w:rFonts w:ascii="Times New Roman" w:hAnsi="Times New Roman" w:cs="Times New Roman"/>
                <w:color w:val="1C1C1C"/>
                <w:sz w:val="24"/>
                <w:szCs w:val="24"/>
              </w:rPr>
              <w:t>Nahezu vollständig schmerzfrei</w:t>
            </w:r>
          </w:p>
          <w:p w14:paraId="1960B002">
            <w:pPr>
              <w:pStyle w:val="19"/>
              <w:numPr>
                <w:ilvl w:val="0"/>
                <w:numId w:val="1"/>
              </w:numPr>
              <w:spacing w:before="30" w:after="30"/>
            </w:pPr>
            <w:r>
              <w:rPr>
                <w:rFonts w:ascii="Times New Roman" w:hAnsi="Times New Roman" w:cs="Times New Roman"/>
                <w:color w:val="1C1C1C"/>
                <w:sz w:val="24"/>
                <w:szCs w:val="24"/>
              </w:rPr>
              <w:t>Tiefe Gewebewirkung ohne Hautbelastung</w:t>
            </w:r>
          </w:p>
          <w:p w14:paraId="1960B003">
            <w:pPr>
              <w:pStyle w:val="19"/>
              <w:numPr>
                <w:ilvl w:val="0"/>
                <w:numId w:val="1"/>
              </w:numPr>
              <w:spacing w:before="30" w:after="30"/>
            </w:pPr>
            <w:r>
              <w:rPr>
                <w:rFonts w:ascii="Times New Roman" w:hAnsi="Times New Roman" w:cs="Times New Roman"/>
                <w:color w:val="1C1C1C"/>
                <w:sz w:val="24"/>
                <w:szCs w:val="24"/>
              </w:rPr>
              <w:t>Regeneration auf Zellebene – wissenschaftlich belegt</w:t>
            </w:r>
          </w:p>
          <w:p w14:paraId="1960B004">
            <w:pPr>
              <w:pStyle w:val="19"/>
              <w:numPr>
                <w:ilvl w:val="0"/>
                <w:numId w:val="1"/>
              </w:numPr>
              <w:spacing w:before="30" w:after="30"/>
            </w:pPr>
            <w:r>
              <w:rPr>
                <w:rFonts w:ascii="Times New Roman" w:hAnsi="Times New Roman" w:cs="Times New Roman"/>
                <w:color w:val="1C1C1C"/>
                <w:sz w:val="24"/>
                <w:szCs w:val="24"/>
              </w:rPr>
              <w:t>Entzündungshemmend &amp; schmerzlindernd</w:t>
            </w:r>
          </w:p>
          <w:p w14:paraId="1960B005">
            <w:pPr>
              <w:pStyle w:val="19"/>
              <w:numPr>
                <w:ilvl w:val="0"/>
                <w:numId w:val="1"/>
              </w:numPr>
              <w:spacing w:before="30" w:after="30"/>
            </w:pPr>
            <w:r>
              <w:rPr>
                <w:rFonts w:ascii="Times New Roman" w:hAnsi="Times New Roman" w:cs="Times New Roman"/>
                <w:color w:val="1C1C1C"/>
                <w:sz w:val="24"/>
                <w:szCs w:val="24"/>
              </w:rPr>
              <w:t>Keine Einschränkungen nach der Behandlung</w:t>
            </w:r>
          </w:p>
          <w:p w14:paraId="1960B006">
            <w:pPr>
              <w:pStyle w:val="19"/>
              <w:numPr>
                <w:ilvl w:val="0"/>
                <w:numId w:val="1"/>
              </w:numPr>
              <w:spacing w:before="30" w:after="30"/>
            </w:pPr>
            <w:r>
              <w:rPr>
                <w:rFonts w:ascii="Times New Roman" w:hAnsi="Times New Roman" w:cs="Times New Roman"/>
                <w:color w:val="1C1C1C"/>
                <w:sz w:val="24"/>
                <w:szCs w:val="24"/>
              </w:rPr>
              <w:t>Auch dopingkonform – für Leistungssportler</w:t>
            </w:r>
          </w:p>
          <w:p w14:paraId="1960B007">
            <w:pPr>
              <w:pStyle w:val="19"/>
              <w:numPr>
                <w:ilvl w:val="0"/>
                <w:numId w:val="1"/>
              </w:numPr>
              <w:spacing w:before="30" w:after="30"/>
            </w:pPr>
            <w:r>
              <w:rPr>
                <w:rFonts w:ascii="Times New Roman" w:hAnsi="Times New Roman" w:cs="Times New Roman"/>
                <w:color w:val="1C1C1C"/>
                <w:sz w:val="24"/>
                <w:szCs w:val="24"/>
              </w:rPr>
              <w:t>Ideal kombinierbar mit ESWT (Seite 1)</w:t>
            </w:r>
          </w:p>
        </w:tc>
        <w:tc>
          <w:tcPr>
            <w:tcW w:w="240" w:type="dxa"/>
            <w:tcBorders>
              <w:top w:val="nil"/>
              <w:left w:val="nil"/>
              <w:bottom w:val="nil"/>
              <w:right w:val="nil"/>
            </w:tcBorders>
          </w:tcPr>
          <w:p w14:paraId="5D18B001"/>
        </w:tc>
        <w:tc>
          <w:tcPr>
            <w:tcW w:w="5013" w:type="dxa"/>
            <w:tcBorders>
              <w:top w:val="single" w:color="DDD8CC" w:sz="2" w:space="0"/>
              <w:left w:val="single" w:color="DDD8CC" w:sz="2" w:space="0"/>
              <w:bottom w:val="single" w:color="DDD8CC" w:sz="2" w:space="0"/>
              <w:right w:val="single" w:color="DDD8CC" w:sz="2" w:space="0"/>
            </w:tcBorders>
            <w:tcMar>
              <w:top w:w="100" w:type="dxa"/>
              <w:left w:w="140" w:type="dxa"/>
              <w:bottom w:w="100" w:type="dxa"/>
              <w:right w:w="140" w:type="dxa"/>
            </w:tcMar>
          </w:tcPr>
          <w:p w14:paraId="4981B001">
            <w:pPr>
              <w:pBdr>
                <w:bottom w:val="single" w:color="D8C990" w:sz="2" w:space="2"/>
              </w:pBdr>
              <w:spacing w:before="0" w:after="80"/>
            </w:pPr>
            <w:r>
              <w:rPr>
                <w:rFonts w:ascii="Georgia" w:hAnsi="Georgia" w:cs="Georgia"/>
                <w:b/>
                <w:bCs/>
                <w:caps/>
                <w:color w:val="9A7B2F"/>
                <w:spacing w:val="60"/>
                <w:sz w:val="22"/>
                <w:szCs w:val="22"/>
              </w:rPr>
              <w:t>Anwendungsgebiete</w:t>
            </w:r>
          </w:p>
          <w:p w14:paraId="4ED4B001">
            <w:pPr>
              <w:pStyle w:val="19"/>
              <w:numPr>
                <w:ilvl w:val="0"/>
                <w:numId w:val="1"/>
              </w:numPr>
              <w:spacing w:before="30" w:after="30"/>
            </w:pPr>
            <w:r>
              <w:rPr>
                <w:rFonts w:ascii="Times New Roman" w:hAnsi="Times New Roman" w:cs="Times New Roman"/>
                <w:color w:val="1C1C1C"/>
                <w:sz w:val="24"/>
                <w:szCs w:val="24"/>
              </w:rPr>
              <w:t>Chronische Schmerzen &amp; Muskelverspannungen</w:t>
            </w:r>
          </w:p>
          <w:p w14:paraId="4ED4B002">
            <w:pPr>
              <w:pStyle w:val="19"/>
              <w:numPr>
                <w:ilvl w:val="0"/>
                <w:numId w:val="1"/>
              </w:numPr>
              <w:spacing w:before="30" w:after="30"/>
            </w:pPr>
            <w:r>
              <w:rPr>
                <w:rFonts w:ascii="Times New Roman" w:hAnsi="Times New Roman" w:cs="Times New Roman"/>
                <w:color w:val="1C1C1C"/>
                <w:sz w:val="24"/>
                <w:szCs w:val="24"/>
              </w:rPr>
              <w:t>Rückenschmerzen, Lumbalgie, Radikulopathien</w:t>
            </w:r>
          </w:p>
          <w:p w14:paraId="4ED4B003">
            <w:pPr>
              <w:pStyle w:val="19"/>
              <w:numPr>
                <w:ilvl w:val="0"/>
                <w:numId w:val="1"/>
              </w:numPr>
              <w:spacing w:before="30" w:after="30"/>
            </w:pPr>
            <w:r>
              <w:rPr>
                <w:rFonts w:ascii="Times New Roman" w:hAnsi="Times New Roman" w:cs="Times New Roman"/>
                <w:color w:val="1C1C1C"/>
                <w:sz w:val="24"/>
                <w:szCs w:val="24"/>
              </w:rPr>
              <w:t>Degenerative Gelenkerkrankungen &amp; Arthrose</w:t>
            </w:r>
          </w:p>
          <w:p w14:paraId="4ED4B004">
            <w:pPr>
              <w:pStyle w:val="19"/>
              <w:numPr>
                <w:ilvl w:val="0"/>
                <w:numId w:val="1"/>
              </w:numPr>
              <w:spacing w:before="30" w:after="30"/>
            </w:pPr>
            <w:r>
              <w:rPr>
                <w:rFonts w:ascii="Times New Roman" w:hAnsi="Times New Roman" w:cs="Times New Roman"/>
                <w:color w:val="1C1C1C"/>
                <w:sz w:val="24"/>
                <w:szCs w:val="24"/>
              </w:rPr>
              <w:t>Sportverletzungen &amp; nach Operationen</w:t>
            </w:r>
          </w:p>
          <w:p w14:paraId="4ED4B005">
            <w:pPr>
              <w:pStyle w:val="19"/>
              <w:numPr>
                <w:ilvl w:val="0"/>
                <w:numId w:val="1"/>
              </w:numPr>
              <w:spacing w:before="30" w:after="30"/>
            </w:pPr>
            <w:r>
              <w:rPr>
                <w:rFonts w:ascii="Times New Roman" w:hAnsi="Times New Roman" w:cs="Times New Roman"/>
                <w:color w:val="1C1C1C"/>
                <w:sz w:val="24"/>
                <w:szCs w:val="24"/>
              </w:rPr>
              <w:t>Gelenke nach Verletzungen &amp; bei Knorpelschäden</w:t>
            </w:r>
          </w:p>
          <w:p w14:paraId="4ED4B006">
            <w:pPr>
              <w:pStyle w:val="19"/>
              <w:numPr>
                <w:ilvl w:val="0"/>
                <w:numId w:val="1"/>
              </w:numPr>
              <w:spacing w:before="30" w:after="30"/>
            </w:pPr>
            <w:r>
              <w:rPr>
                <w:rFonts w:ascii="Times New Roman" w:hAnsi="Times New Roman" w:cs="Times New Roman"/>
                <w:color w:val="1C1C1C"/>
                <w:sz w:val="24"/>
                <w:szCs w:val="24"/>
              </w:rPr>
              <w:t>Sehnenüberlastungssyndrome (nicht bei Implantaten*)</w:t>
            </w:r>
          </w:p>
        </w:tc>
      </w:tr>
    </w:tbl>
    <w:p w14:paraId="31C9B001">
      <w:pPr>
        <w:spacing w:before="180" w:after="0"/>
      </w:pPr>
    </w:p>
    <w:tbl>
      <w:tblPr>
        <w:tblStyle w:val="9"/>
        <w:tblW w:w="10204" w:type="dxa"/>
        <w:tblInd w:w="0" w:type="dxa"/>
        <w:tblBorders>
          <w:top w:val="none" w:color="FFFFFF" w:sz="0" w:space="0"/>
          <w:left w:val="none" w:color="FFFFFF" w:sz="0" w:space="0"/>
          <w:bottom w:val="none" w:color="FFFFFF" w:sz="0" w:space="0"/>
          <w:right w:val="none" w:color="FFFFFF" w:sz="0" w:space="0"/>
          <w:insideH w:val="single" w:color="auto" w:sz="4" w:space="0"/>
          <w:insideV w:val="single" w:color="auto" w:sz="4" w:space="0"/>
        </w:tblBorders>
        <w:tblLayout w:type="autofit"/>
        <w:tblCellMar>
          <w:top w:w="0" w:type="dxa"/>
          <w:left w:w="10" w:type="dxa"/>
          <w:bottom w:w="0" w:type="dxa"/>
          <w:right w:w="10" w:type="dxa"/>
        </w:tblCellMar>
      </w:tblPr>
      <w:tblGrid>
        <w:gridCol w:w="5102"/>
        <w:gridCol w:w="5102"/>
      </w:tblGrid>
      <w:tr w14:paraId="7718B001">
        <w:tblPrEx>
          <w:tblBorders>
            <w:top w:val="none" w:color="FFFFFF" w:sz="0" w:space="0"/>
            <w:left w:val="none" w:color="FFFFFF" w:sz="0" w:space="0"/>
            <w:bottom w:val="none" w:color="FFFFFF" w:sz="0" w:space="0"/>
            <w:right w:val="none" w:color="FFFFFF" w:sz="0" w:space="0"/>
            <w:insideH w:val="single" w:color="auto" w:sz="4" w:space="0"/>
            <w:insideV w:val="single" w:color="auto" w:sz="4" w:space="0"/>
          </w:tblBorders>
          <w:tblCellMar>
            <w:top w:w="0" w:type="dxa"/>
            <w:left w:w="10" w:type="dxa"/>
            <w:bottom w:w="0" w:type="dxa"/>
            <w:right w:w="10" w:type="dxa"/>
          </w:tblCellMar>
        </w:tblPrEx>
        <w:tc>
          <w:tcPr>
            <w:tcW w:w="5102" w:type="dxa"/>
            <w:tcBorders>
              <w:top w:val="single" w:color="DDD8CC" w:sz="2" w:space="0"/>
              <w:left w:val="single" w:color="DDD8CC" w:sz="2" w:space="0"/>
              <w:bottom w:val="single" w:color="DDD8CC" w:sz="2" w:space="0"/>
              <w:right w:val="single" w:color="DDD8CC" w:sz="2" w:space="0"/>
            </w:tcBorders>
            <w:shd w:val="clear" w:color="auto" w:fill="F9F8F5"/>
            <w:tcMar>
              <w:top w:w="100" w:type="dxa"/>
              <w:left w:w="160" w:type="dxa"/>
              <w:bottom w:w="100" w:type="dxa"/>
              <w:right w:w="100" w:type="dxa"/>
            </w:tcMar>
          </w:tcPr>
          <w:p w14:paraId="0F7AB001">
            <w:pPr>
              <w:spacing w:before="0" w:after="40"/>
              <w:jc w:val="center"/>
            </w:pPr>
            <w:r>
              <w:rPr>
                <w:rFonts w:ascii="Calibri" w:hAnsi="Calibri" w:cs="Calibri"/>
                <w:b/>
                <w:bCs/>
                <w:caps/>
                <w:color w:val="9A7B2F"/>
                <w:spacing w:val="80"/>
                <w:sz w:val="15"/>
                <w:szCs w:val="15"/>
              </w:rPr>
              <w:t>BEHANDLUNGEN</w:t>
            </w:r>
          </w:p>
          <w:p w14:paraId="723DB001">
            <w:pPr>
              <w:spacing w:before="0" w:after="0"/>
              <w:jc w:val="center"/>
            </w:pPr>
            <w:r>
              <w:rPr>
                <w:rFonts w:ascii="Georgia" w:hAnsi="Georgia" w:cs="Georgia"/>
                <w:color w:val="1C1C1C"/>
                <w:sz w:val="22"/>
                <w:szCs w:val="22"/>
              </w:rPr>
              <w:t>6–8 Einheiten als Block</w:t>
            </w:r>
          </w:p>
        </w:tc>
        <w:tc>
          <w:tcPr>
            <w:tcW w:w="5102" w:type="dxa"/>
            <w:tcBorders>
              <w:top w:val="single" w:color="DDD8CC" w:sz="2" w:space="0"/>
              <w:left w:val="single" w:color="DDD8CC" w:sz="2" w:space="0"/>
              <w:bottom w:val="single" w:color="DDD8CC" w:sz="2" w:space="0"/>
              <w:right w:val="single" w:color="DDD8CC" w:sz="2" w:space="0"/>
            </w:tcBorders>
            <w:shd w:val="clear" w:color="auto" w:fill="F9F8F5"/>
            <w:tcMar>
              <w:top w:w="100" w:type="dxa"/>
              <w:left w:w="160" w:type="dxa"/>
              <w:bottom w:w="100" w:type="dxa"/>
              <w:right w:w="160" w:type="dxa"/>
            </w:tcMar>
          </w:tcPr>
          <w:p w14:paraId="489EB001">
            <w:pPr>
              <w:spacing w:before="0" w:after="40"/>
              <w:jc w:val="center"/>
            </w:pPr>
            <w:r>
              <w:rPr>
                <w:rFonts w:ascii="Calibri" w:hAnsi="Calibri" w:cs="Calibri"/>
                <w:b/>
                <w:bCs/>
                <w:caps/>
                <w:color w:val="9A7B2F"/>
                <w:spacing w:val="80"/>
                <w:sz w:val="15"/>
                <w:szCs w:val="15"/>
              </w:rPr>
              <w:t>WIEDERHOLUNGEN</w:t>
            </w:r>
          </w:p>
          <w:p w14:paraId="3F98B001">
            <w:pPr>
              <w:spacing w:before="0" w:after="0"/>
              <w:jc w:val="center"/>
            </w:pPr>
            <w:r>
              <w:rPr>
                <w:rFonts w:ascii="Georgia" w:hAnsi="Georgia" w:cs="Georgia"/>
                <w:color w:val="1C1C1C"/>
                <w:sz w:val="22"/>
                <w:szCs w:val="22"/>
              </w:rPr>
              <w:t>Alle 3–5 Tage  ·  ca. 8–10 Min. pro Sitzung</w:t>
            </w:r>
          </w:p>
        </w:tc>
      </w:tr>
    </w:tbl>
    <w:p w14:paraId="7DA5B001">
      <w:pPr>
        <w:spacing w:before="180" w:after="0"/>
      </w:pPr>
    </w:p>
    <w:tbl>
      <w:tblPr>
        <w:tblStyle w:val="9"/>
        <w:tblW w:w="10204" w:type="dxa"/>
        <w:tblInd w:w="0" w:type="dxa"/>
        <w:tblBorders>
          <w:top w:val="single" w:color="D8C990" w:sz="4" w:space="0"/>
          <w:left w:val="single" w:color="D8C990" w:sz="4" w:space="0"/>
          <w:bottom w:val="single" w:color="D8C990" w:sz="4" w:space="0"/>
          <w:right w:val="single" w:color="D8C990" w:sz="4" w:space="0"/>
          <w:insideH w:val="single" w:color="auto" w:sz="4" w:space="0"/>
          <w:insideV w:val="single" w:color="auto" w:sz="4" w:space="0"/>
        </w:tblBorders>
        <w:tblLayout w:type="autofit"/>
        <w:tblCellMar>
          <w:top w:w="0" w:type="dxa"/>
          <w:left w:w="10" w:type="dxa"/>
          <w:bottom w:w="0" w:type="dxa"/>
          <w:right w:w="10" w:type="dxa"/>
        </w:tblCellMar>
      </w:tblPr>
      <w:tblGrid>
        <w:gridCol w:w="10204"/>
      </w:tblGrid>
      <w:tr w14:paraId="1162B001">
        <w:tblPrEx>
          <w:tblBorders>
            <w:top w:val="single" w:color="D8C990" w:sz="4" w:space="0"/>
            <w:left w:val="single" w:color="D8C990" w:sz="4" w:space="0"/>
            <w:bottom w:val="single" w:color="D8C990" w:sz="4" w:space="0"/>
            <w:right w:val="single" w:color="D8C990" w:sz="4" w:space="0"/>
            <w:insideH w:val="single" w:color="auto" w:sz="4" w:space="0"/>
            <w:insideV w:val="single" w:color="auto" w:sz="4" w:space="0"/>
          </w:tblBorders>
          <w:tblCellMar>
            <w:top w:w="0" w:type="dxa"/>
            <w:left w:w="10" w:type="dxa"/>
            <w:bottom w:w="0" w:type="dxa"/>
            <w:right w:w="10" w:type="dxa"/>
          </w:tblCellMar>
        </w:tblPrEx>
        <w:tc>
          <w:tcPr>
            <w:tcW w:w="10204" w:type="dxa"/>
            <w:tcBorders>
              <w:top w:val="single" w:color="D8C990" w:sz="4" w:space="0"/>
              <w:left w:val="single" w:color="D8C990" w:sz="4" w:space="0"/>
              <w:bottom w:val="single" w:color="D8C990" w:sz="4" w:space="0"/>
              <w:right w:val="single" w:color="D8C990" w:sz="4" w:space="0"/>
            </w:tcBorders>
            <w:shd w:val="clear" w:color="auto" w:fill="F7F2E8"/>
            <w:tcMar>
              <w:top w:w="100" w:type="dxa"/>
              <w:left w:w="200" w:type="dxa"/>
              <w:bottom w:w="100" w:type="dxa"/>
              <w:right w:w="200" w:type="dxa"/>
            </w:tcMar>
          </w:tcPr>
          <w:p w14:paraId="7443B001">
            <w:pPr>
              <w:spacing w:before="0" w:after="60"/>
            </w:pPr>
            <w:r>
              <w:rPr>
                <w:rFonts w:ascii="Georgia" w:hAnsi="Georgia" w:cs="Georgia"/>
                <w:b/>
                <w:bCs/>
                <w:color w:val="9A7B2F"/>
                <w:sz w:val="24"/>
                <w:szCs w:val="24"/>
              </w:rPr>
              <w:t xml:space="preserve">Hand in Hand – </w:t>
            </w:r>
            <w:r>
              <w:rPr>
                <w:rFonts w:ascii="Times New Roman" w:hAnsi="Times New Roman" w:cs="Times New Roman"/>
                <w:color w:val="3E3E3E"/>
                <w:sz w:val="24"/>
                <w:szCs w:val="24"/>
              </w:rPr>
              <w:t>ESWT und Magnetolitherapie: unser kombiniertes Therapiekonzept</w:t>
            </w:r>
          </w:p>
          <w:p w14:paraId="2EABB001">
            <w:pPr>
              <w:spacing w:before="0" w:after="60"/>
            </w:pPr>
            <w:r>
              <w:rPr>
                <w:rFonts w:ascii="Times New Roman" w:hAnsi="Times New Roman" w:cs="Times New Roman"/>
                <w:color w:val="3E3E3E"/>
                <w:sz w:val="24"/>
                <w:szCs w:val="24"/>
              </w:rPr>
              <w:t xml:space="preserve">Bereits 2018 belegte eine prospektive, randomisierte Studie (Klüter et al., </w:t>
            </w:r>
            <w:r>
              <w:rPr>
                <w:rFonts w:ascii="Times New Roman" w:hAnsi="Times New Roman" w:cs="Times New Roman"/>
                <w:i/>
                <w:iCs/>
                <w:color w:val="3E3E3E"/>
                <w:sz w:val="24"/>
                <w:szCs w:val="24"/>
              </w:rPr>
              <w:t>Electromagnetic Biology and Medicine</w:t>
            </w:r>
            <w:r>
              <w:rPr>
                <w:rFonts w:ascii="Times New Roman" w:hAnsi="Times New Roman" w:cs="Times New Roman"/>
                <w:color w:val="3E3E3E"/>
                <w:sz w:val="24"/>
                <w:szCs w:val="24"/>
              </w:rPr>
              <w:t xml:space="preserve">) an 86 Patienten mit Rotatorenmanschettentendinopathie, dass die Kombination aus ESWT und EMTT der Einzeltherapie überlegen ist. Während die Stoßwelle mechanische Impulse setzt und Heilungsprozesse an der Gewebeoberfläche anstößt, vertieft die Magnetolitherapie die Wirkung auf Zellebene – durch Anregung der Osteoblastenaktivität, Kollagensynthese und Entzündungshemmung. Das Ergebnis dieser Kombination ist </w:t>
            </w:r>
            <w:r>
              <w:rPr>
                <w:rFonts w:ascii="Times New Roman" w:hAnsi="Times New Roman" w:cs="Times New Roman"/>
                <w:b/>
                <w:bCs/>
                <w:color w:val="3E3E3E"/>
                <w:sz w:val="24"/>
                <w:szCs w:val="24"/>
              </w:rPr>
              <w:t>mehr als die Summe beider Teile</w:t>
            </w:r>
            <w:r>
              <w:rPr>
                <w:rFonts w:ascii="Times New Roman" w:hAnsi="Times New Roman" w:cs="Times New Roman"/>
                <w:color w:val="3E3E3E"/>
                <w:sz w:val="24"/>
                <w:szCs w:val="24"/>
              </w:rPr>
              <w:t xml:space="preserve"> – rascher, nachhaltiger, schonender.</w:t>
            </w:r>
          </w:p>
          <w:p w14:paraId="6329B001">
            <w:pPr>
              <w:spacing w:before="0" w:after="60"/>
            </w:pPr>
            <w:r>
              <w:rPr>
                <w:rFonts w:ascii="Georgia" w:hAnsi="Georgia" w:cs="Georgia"/>
                <w:b/>
                <w:bCs/>
                <w:color w:val="9A7B2F"/>
                <w:sz w:val="26"/>
                <w:szCs w:val="26"/>
              </w:rPr>
              <w:t>Für weitere Informationen und Terminvereinbarung stehen wir Ihnen jederzeit zur Verfügung.</w:t>
            </w:r>
          </w:p>
          <w:p w14:paraId="FN01B001">
            <w:pPr>
              <w:spacing w:before="0" w:after="40"/>
            </w:pPr>
            <w:r>
              <w:rPr>
                <w:rFonts w:ascii="Calibri" w:hAnsi="Calibri" w:cs="Calibri"/>
                <w:color w:val="6A6056"/>
                <w:sz w:val="20"/>
                <w:szCs w:val="20"/>
                <w:i/>
                <w:iCs/>
              </w:rPr>
              <w:t>* Magnetolitherapie nicht geeignet bei Herzschrittmacher, Defibrillator, Hörgeräten oder nicht MR-täuglichen Implantaten.</w:t>
            </w:r>
          </w:p>
        </w:tc>
      </w:tr>
    </w:tbl>
    <w:p w14:paraId="7DA5C001"/>
    <w:sectPr>
      <w:headerReference r:id="rId3" w:type="default"/>
      <w:pgSz w:w="11906" w:h="16838"/>
      <w:pgMar w:top="574" w:right="851" w:bottom="724" w:left="851"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2010600030101010101"/>
    <w:charset w:val="86"/>
    <w:family w:val="auto"/>
    <w:pitch w:val="default"/>
    <w:sig w:usb0="A00002BF" w:usb1="38CF7CFA" w:usb2="00000016" w:usb3="00000000" w:csb0="0004000F"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Georgia">
    <w:panose1 w:val="02040502050405020303"/>
    <w:charset w:val="00"/>
    <w:family w:val="auto"/>
    <w:pitch w:val="default"/>
    <w:sig w:usb0="00000287" w:usb1="00000000" w:usb2="00000000" w:usb3="00000000" w:csb0="2000009F" w:csb1="00000000"/>
  </w:font>
  <w:font w:name="Microsoft YaHei">
    <w:panose1 w:val="020B0503020204020204"/>
    <w:charset w:val="86"/>
    <w:family w:val="auto"/>
    <w:pitch w:val="default"/>
    <w:sig w:usb0="80000287" w:usb1="2ACF3C50" w:usb2="00000016" w:usb3="00000000" w:csb0="0004001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9"/>
      <w:tblW w:w="10204" w:type="dxa"/>
      <w:tblInd w:w="0" w:type="dxa"/>
      <w:tblBorders>
        <w:top w:val="none" w:color="FFFFFF" w:sz="0" w:space="0"/>
        <w:left w:val="none" w:color="FFFFFF" w:sz="0" w:space="0"/>
        <w:bottom w:val="none" w:color="FFFFFF" w:sz="0" w:space="0"/>
        <w:right w:val="none" w:color="FFFFFF" w:sz="0" w:space="0"/>
        <w:insideH w:val="single" w:color="auto" w:sz="4" w:space="0"/>
        <w:insideV w:val="single" w:color="auto" w:sz="4" w:space="0"/>
      </w:tblBorders>
      <w:tblLayout w:type="autofit"/>
      <w:tblCellMar>
        <w:top w:w="0" w:type="dxa"/>
        <w:left w:w="10" w:type="dxa"/>
        <w:bottom w:w="0" w:type="dxa"/>
        <w:right w:w="10" w:type="dxa"/>
      </w:tblCellMar>
    </w:tblPr>
    <w:tblGrid>
      <w:gridCol w:w="4297"/>
      <w:gridCol w:w="5907"/>
    </w:tblGrid>
    <w:tr w14:paraId="16CAC369">
      <w:tblPrEx>
        <w:tblBorders>
          <w:top w:val="none" w:color="FFFFFF" w:sz="0" w:space="0"/>
          <w:left w:val="none" w:color="FFFFFF" w:sz="0" w:space="0"/>
          <w:bottom w:val="none" w:color="FFFFFF" w:sz="0" w:space="0"/>
          <w:right w:val="none" w:color="FFFFFF" w:sz="0" w:space="0"/>
          <w:insideH w:val="single" w:color="auto" w:sz="4" w:space="0"/>
          <w:insideV w:val="single" w:color="auto" w:sz="4" w:space="0"/>
        </w:tblBorders>
        <w:tblCellMar>
          <w:top w:w="0" w:type="dxa"/>
          <w:left w:w="10" w:type="dxa"/>
          <w:bottom w:w="0" w:type="dxa"/>
          <w:right w:w="10" w:type="dxa"/>
        </w:tblCellMar>
      </w:tblPrEx>
      <w:trPr>
        <w:trHeight w:val="1225" w:hRule="atLeast"/>
      </w:trPr>
      <w:tc>
        <w:tcPr>
          <w:tcW w:w="3800" w:type="dxa"/>
          <w:tcBorders>
            <w:top w:val="nil"/>
            <w:left w:val="nil"/>
            <w:bottom w:val="nil"/>
            <w:right w:val="nil"/>
          </w:tcBorders>
          <w:tcMar>
            <w:top w:w="0" w:type="dxa"/>
            <w:left w:w="0" w:type="dxa"/>
            <w:bottom w:w="0" w:type="dxa"/>
            <w:right w:w="200" w:type="dxa"/>
          </w:tcMar>
          <w:vAlign w:val="center"/>
        </w:tcPr>
        <w:p w14:paraId="6E5D2AC2">
          <w:pPr>
            <w:spacing w:before="0" w:after="0"/>
          </w:pPr>
          <w:r>
            <w:drawing>
              <wp:inline distT="0" distB="0" distL="0" distR="0">
                <wp:extent cx="2601595" cy="695325"/>
                <wp:effectExtent l="0" t="0" r="0" b="3175"/>
                <wp:docPr id="1" name="Bild 1" descr="C:/Users/oliver/Desktop/Neuer Ordner/die ORDI/Logo/Neues_Logo_003_transparent.pngNeues_Logo_003_transpar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ild 1" descr="C:/Users/oliver/Desktop/Neuer Ordner/die ORDI/Logo/Neues_Logo_003_transparent.pngNeues_Logo_003_transparent"/>
                        <pic:cNvPicPr>
                          <a:picLocks noChangeAspect="1" noChangeArrowheads="1"/>
                        </pic:cNvPicPr>
                      </pic:nvPicPr>
                      <pic:blipFill>
                        <a:blip r:embed="rId1"/>
                        <a:srcRect t="5528" b="5528"/>
                        <a:stretch>
                          <a:fillRect/>
                        </a:stretch>
                      </pic:blipFill>
                      <pic:spPr>
                        <a:xfrm>
                          <a:off x="0" y="0"/>
                          <a:ext cx="2601595" cy="695325"/>
                        </a:xfrm>
                        <a:prstGeom prst="rect">
                          <a:avLst/>
                        </a:prstGeom>
                      </pic:spPr>
                    </pic:pic>
                  </a:graphicData>
                </a:graphic>
              </wp:inline>
            </w:drawing>
          </w:r>
        </w:p>
      </w:tc>
      <w:tc>
        <w:tcPr>
          <w:tcW w:w="6404" w:type="dxa"/>
          <w:tcBorders>
            <w:top w:val="nil"/>
            <w:left w:val="nil"/>
            <w:bottom w:val="nil"/>
            <w:right w:val="nil"/>
          </w:tcBorders>
          <w:tcMar>
            <w:top w:w="0" w:type="dxa"/>
            <w:left w:w="0" w:type="dxa"/>
            <w:bottom w:w="0" w:type="dxa"/>
            <w:right w:w="0" w:type="dxa"/>
          </w:tcMar>
          <w:vAlign w:val="center"/>
        </w:tcPr>
        <w:p w14:paraId="2D8FC49F">
          <w:pPr>
            <w:wordWrap w:val="0"/>
            <w:spacing w:before="0" w:after="30"/>
            <w:jc w:val="right"/>
            <w:rPr>
              <w:rFonts w:hint="default"/>
              <w:lang w:val="de-DE"/>
            </w:rPr>
          </w:pPr>
          <w:r>
            <w:rPr>
              <w:rFonts w:ascii="Calibri" w:hAnsi="Calibri" w:eastAsia="Calibri" w:cs="Calibri"/>
              <w:b/>
              <w:bCs/>
              <w:color w:val="1C1C1C"/>
              <w:sz w:val="17"/>
              <w:szCs w:val="17"/>
            </w:rPr>
            <w:t>OA Dr. med. univ. Shady El Marto WDM</w:t>
          </w:r>
          <w:r>
            <w:rPr>
              <w:rFonts w:hint="default" w:ascii="Calibri" w:hAnsi="Calibri" w:eastAsia="Calibri" w:cs="Calibri"/>
              <w:b/>
              <w:bCs/>
              <w:color w:val="1C1C1C"/>
              <w:sz w:val="17"/>
              <w:szCs w:val="17"/>
              <w:lang w:val="de-DE"/>
            </w:rPr>
            <w:t xml:space="preserve"> </w:t>
          </w:r>
        </w:p>
        <w:p w14:paraId="0F254B4D">
          <w:pPr>
            <w:wordWrap w:val="0"/>
            <w:spacing w:before="0" w:after="0"/>
            <w:jc w:val="right"/>
            <w:rPr>
              <w:rFonts w:hint="default"/>
              <w:lang w:val="de-DE"/>
            </w:rPr>
          </w:pPr>
          <w:r>
            <w:rPr>
              <w:rFonts w:ascii="Calibri" w:hAnsi="Calibri" w:eastAsia="Calibri" w:cs="Calibri"/>
              <w:color w:val="666666"/>
              <w:sz w:val="15"/>
              <w:szCs w:val="15"/>
            </w:rPr>
            <w:t>Facharzt für Orthopädie und Traumatologie  |  Facharzt für Unfallchirurgie</w:t>
          </w:r>
          <w:r>
            <w:rPr>
              <w:rFonts w:hint="default" w:ascii="Calibri" w:hAnsi="Calibri" w:eastAsia="Calibri" w:cs="Calibri"/>
              <w:color w:val="666666"/>
              <w:sz w:val="15"/>
              <w:szCs w:val="15"/>
              <w:lang w:val="de-DE"/>
            </w:rPr>
            <w:t xml:space="preserve"> </w:t>
          </w:r>
        </w:p>
        <w:p w14:paraId="38E00E37">
          <w:pPr>
            <w:spacing w:before="0" w:after="0"/>
            <w:jc w:val="center"/>
            <w:rPr>
              <w:rFonts w:hint="default"/>
              <w:lang w:val="de-DE"/>
            </w:rPr>
          </w:pPr>
          <w:r>
            <w:rPr>
              <w:rFonts w:hint="default" w:ascii="Calibri" w:hAnsi="Calibri" w:eastAsia="Calibri" w:cs="Calibri"/>
              <w:color w:val="666666"/>
              <w:sz w:val="15"/>
              <w:szCs w:val="15"/>
              <w:lang w:val="de-DE"/>
            </w:rPr>
            <w:t xml:space="preserve">                                                                     </w:t>
          </w:r>
          <w:r>
            <w:rPr>
              <w:rFonts w:ascii="Calibri" w:hAnsi="Calibri" w:eastAsia="Calibri" w:cs="Calibri"/>
              <w:color w:val="666666"/>
              <w:sz w:val="15"/>
              <w:szCs w:val="15"/>
            </w:rPr>
            <w:t>Am Hof 11 Top 9  |  1010 Wien  |  Tel.:</w:t>
          </w:r>
          <w:r>
            <w:rPr>
              <w:rFonts w:ascii="Calibri" w:hAnsi="Calibri" w:eastAsia="Calibri" w:cs="Calibri"/>
              <w:b/>
              <w:bCs/>
              <w:color w:val="666666"/>
              <w:sz w:val="15"/>
              <w:szCs w:val="15"/>
            </w:rPr>
            <w:t xml:space="preserve"> +43 664 328 44 65</w:t>
          </w:r>
          <w:r>
            <w:rPr>
              <w:rFonts w:hint="default" w:ascii="Calibri" w:hAnsi="Calibri" w:eastAsia="Calibri" w:cs="Calibri"/>
              <w:color w:val="666666"/>
              <w:sz w:val="15"/>
              <w:szCs w:val="15"/>
              <w:lang w:val="de-DE"/>
            </w:rPr>
            <w:t xml:space="preserve">     </w:t>
          </w:r>
        </w:p>
        <w:p w14:paraId="3D2A998F">
          <w:pPr>
            <w:wordWrap w:val="0"/>
            <w:spacing w:before="0" w:after="0"/>
            <w:jc w:val="right"/>
            <w:rPr>
              <w:rFonts w:hint="default"/>
              <w:lang w:val="de-DE"/>
            </w:rPr>
          </w:pPr>
          <w:r>
            <w:rPr>
              <w:rFonts w:ascii="Calibri" w:hAnsi="Calibri" w:eastAsia="Calibri" w:cs="Calibri"/>
              <w:color w:val="9A7B2F"/>
              <w:sz w:val="15"/>
              <w:szCs w:val="15"/>
            </w:rPr>
            <w:t>ordination@dr-elmarto.at  |  www.dr-elmarto.at</w:t>
          </w:r>
          <w:r>
            <w:rPr>
              <w:rFonts w:hint="default" w:ascii="Calibri" w:hAnsi="Calibri" w:eastAsia="Calibri" w:cs="Calibri"/>
              <w:color w:val="9A7B2F"/>
              <w:sz w:val="15"/>
              <w:szCs w:val="15"/>
              <w:lang w:val="de-DE"/>
            </w:rPr>
            <w:t xml:space="preserve"> </w:t>
          </w:r>
        </w:p>
      </w:tc>
    </w:tr>
  </w:tbl>
  <w:p w14:paraId="4C47FA82">
    <w:pPr>
      <w:pBdr>
        <w:bottom w:val="single" w:color="B8952A" w:sz="12" w:space="1"/>
      </w:pBdr>
      <w:spacing w:before="60" w:after="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420" w:hanging="280"/>
      </w:pPr>
      <w:rPr>
        <w:rFonts w:ascii="Arial" w:hAnsi="Arial" w:eastAsia="Arial" w:cs="Arial"/>
        <w:color w:val="B8952A"/>
        <w:sz w:val="26"/>
        <w:szCs w:val="26"/>
      </w:r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00753A3D"/>
    <w:rsid w:val="074C2609"/>
    <w:rsid w:val="10F442DE"/>
    <w:rsid w:val="15C64B46"/>
    <w:rsid w:val="32F31EA6"/>
    <w:rsid w:val="353B041A"/>
    <w:rsid w:val="5C46562F"/>
    <w:rsid w:val="5EC2745F"/>
    <w:rsid w:val="75B84239"/>
    <w:rsid w:val="7AA34743"/>
    <w:rsid w:val="7B582B5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qFormat="1" w:unhideWhenUsed="0" w:uiPriority="0" w:semiHidden="0" w:name="List Paragraph"/>
  </w:latentStyles>
  <w:style w:type="paragraph" w:default="1" w:styleId="1">
    <w:name w:val="Normal"/>
    <w:qFormat/>
    <w:uiPriority w:val="0"/>
    <w:rPr>
      <w:rFonts w:ascii="Times New Roman" w:hAnsi="Times New Roman" w:eastAsia="SimSun" w:cs="Times New Roman"/>
      <w:sz w:val="21"/>
      <w:szCs w:val="22"/>
    </w:rPr>
  </w:style>
  <w:style w:type="paragraph" w:styleId="2">
    <w:name w:val="heading 1"/>
    <w:next w:val="1"/>
    <w:qFormat/>
    <w:uiPriority w:val="0"/>
    <w:rPr>
      <w:rFonts w:ascii="Times New Roman" w:hAnsi="Times New Roman" w:eastAsia="SimSun" w:cs="Times New Roman"/>
      <w:color w:val="2E74B5"/>
      <w:sz w:val="32"/>
      <w:szCs w:val="32"/>
    </w:rPr>
  </w:style>
  <w:style w:type="paragraph" w:styleId="3">
    <w:name w:val="heading 2"/>
    <w:next w:val="1"/>
    <w:qFormat/>
    <w:uiPriority w:val="0"/>
    <w:rPr>
      <w:rFonts w:ascii="Times New Roman" w:hAnsi="Times New Roman" w:eastAsia="SimSun" w:cs="Times New Roman"/>
      <w:color w:val="2E74B5"/>
      <w:sz w:val="26"/>
      <w:szCs w:val="26"/>
    </w:rPr>
  </w:style>
  <w:style w:type="paragraph" w:styleId="4">
    <w:name w:val="heading 3"/>
    <w:next w:val="1"/>
    <w:qFormat/>
    <w:uiPriority w:val="0"/>
    <w:rPr>
      <w:rFonts w:ascii="Times New Roman" w:hAnsi="Times New Roman" w:eastAsia="SimSun" w:cs="Times New Roman"/>
      <w:color w:val="1F4D78"/>
      <w:sz w:val="24"/>
      <w:szCs w:val="24"/>
    </w:rPr>
  </w:style>
  <w:style w:type="paragraph" w:styleId="5">
    <w:name w:val="heading 4"/>
    <w:next w:val="1"/>
    <w:qFormat/>
    <w:uiPriority w:val="0"/>
    <w:rPr>
      <w:rFonts w:ascii="Times New Roman" w:hAnsi="Times New Roman" w:eastAsia="SimSun" w:cs="Times New Roman"/>
      <w:i/>
      <w:iCs/>
      <w:color w:val="2E74B5"/>
      <w:sz w:val="21"/>
      <w:szCs w:val="22"/>
    </w:rPr>
  </w:style>
  <w:style w:type="paragraph" w:styleId="6">
    <w:name w:val="heading 5"/>
    <w:next w:val="1"/>
    <w:qFormat/>
    <w:uiPriority w:val="0"/>
    <w:rPr>
      <w:rFonts w:ascii="Times New Roman" w:hAnsi="Times New Roman" w:eastAsia="SimSun" w:cs="Times New Roman"/>
      <w:color w:val="2E74B5"/>
      <w:sz w:val="21"/>
      <w:szCs w:val="22"/>
    </w:rPr>
  </w:style>
  <w:style w:type="paragraph" w:styleId="7">
    <w:name w:val="heading 6"/>
    <w:next w:val="1"/>
    <w:qFormat/>
    <w:uiPriority w:val="0"/>
    <w:rPr>
      <w:rFonts w:ascii="Times New Roman" w:hAnsi="Times New Roman" w:eastAsia="SimSun" w:cs="Times New Roman"/>
      <w:color w:val="1F4D78"/>
      <w:sz w:val="21"/>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character" w:styleId="11">
    <w:name w:val="Strong"/>
    <w:qFormat/>
    <w:uiPriority w:val="0"/>
    <w:rPr>
      <w:b/>
      <w:bCs/>
    </w:rPr>
  </w:style>
  <w:style w:type="character" w:styleId="12">
    <w:name w:val="footnote reference"/>
    <w:semiHidden/>
    <w:unhideWhenUsed/>
    <w:qFormat/>
    <w:uiPriority w:val="99"/>
    <w:rPr>
      <w:vertAlign w:val="superscript"/>
    </w:rPr>
  </w:style>
  <w:style w:type="character" w:styleId="13">
    <w:name w:val="Hyperlink"/>
    <w:unhideWhenUsed/>
    <w:qFormat/>
    <w:uiPriority w:val="99"/>
    <w:rPr>
      <w:color w:val="0563C1"/>
      <w:u w:val="single"/>
    </w:rPr>
  </w:style>
  <w:style w:type="paragraph" w:styleId="14">
    <w:name w:val="endnote text"/>
    <w:link w:val="21"/>
    <w:semiHidden/>
    <w:unhideWhenUsed/>
    <w:qFormat/>
    <w:uiPriority w:val="99"/>
    <w:pPr>
      <w:spacing w:after="0" w:line="240" w:lineRule="auto"/>
    </w:pPr>
    <w:rPr>
      <w:rFonts w:ascii="Times New Roman" w:hAnsi="Times New Roman" w:eastAsia="SimSun" w:cs="Times New Roman"/>
      <w:sz w:val="20"/>
      <w:szCs w:val="20"/>
    </w:rPr>
  </w:style>
  <w:style w:type="paragraph" w:styleId="15">
    <w:name w:val="footnote text"/>
    <w:link w:val="20"/>
    <w:semiHidden/>
    <w:unhideWhenUsed/>
    <w:qFormat/>
    <w:uiPriority w:val="99"/>
    <w:pPr>
      <w:spacing w:after="0" w:line="240" w:lineRule="auto"/>
    </w:pPr>
    <w:rPr>
      <w:rFonts w:ascii="Times New Roman" w:hAnsi="Times New Roman" w:eastAsia="SimSun" w:cs="Times New Roman"/>
      <w:sz w:val="20"/>
      <w:szCs w:val="20"/>
    </w:rPr>
  </w:style>
  <w:style w:type="paragraph" w:styleId="16">
    <w:name w:val="footer"/>
    <w:basedOn w:val="1"/>
    <w:qFormat/>
    <w:uiPriority w:val="0"/>
    <w:pPr>
      <w:tabs>
        <w:tab w:val="center" w:pos="4153"/>
        <w:tab w:val="right" w:pos="8306"/>
      </w:tabs>
    </w:pPr>
  </w:style>
  <w:style w:type="paragraph" w:styleId="17">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18">
    <w:name w:val="Title"/>
    <w:qFormat/>
    <w:uiPriority w:val="0"/>
    <w:rPr>
      <w:rFonts w:ascii="Times New Roman" w:hAnsi="Times New Roman" w:eastAsia="SimSun" w:cs="Times New Roman"/>
      <w:sz w:val="56"/>
      <w:szCs w:val="56"/>
    </w:rPr>
  </w:style>
  <w:style w:type="paragraph" w:styleId="19">
    <w:name w:val="List Paragraph"/>
    <w:qFormat/>
    <w:uiPriority w:val="0"/>
    <w:rPr>
      <w:rFonts w:ascii="Times New Roman" w:hAnsi="Times New Roman" w:eastAsia="SimSun" w:cs="Times New Roman"/>
      <w:sz w:val="21"/>
      <w:szCs w:val="22"/>
    </w:rPr>
  </w:style>
  <w:style w:type="character" w:customStyle="1" w:styleId="20">
    <w:name w:val="Footnote Text Char"/>
    <w:link w:val="15"/>
    <w:semiHidden/>
    <w:unhideWhenUsed/>
    <w:qFormat/>
    <w:uiPriority w:val="99"/>
    <w:rPr>
      <w:sz w:val="20"/>
      <w:szCs w:val="20"/>
    </w:rPr>
  </w:style>
  <w:style w:type="character" w:customStyle="1" w:styleId="21">
    <w:name w:val="Endnote Text Char"/>
    <w:link w:val="14"/>
    <w:semiHidden/>
    <w:unhideWhenUsed/>
    <w:qFormat/>
    <w:uiPriority w:val="99"/>
    <w:rPr>
      <w:sz w:val="20"/>
      <w:szCs w:val="20"/>
    </w:rPr>
  </w:style>
</w:styles>
</file>

<file path=word/_rels/document.xml.rels><?xml version="1.0" encoding="UTF-8"?><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Pages>
  <Words>419</Words>
  <Characters>3200</Characters>
  <TotalTime>0</TotalTime>
  <ScaleCrop>false</ScaleCrop>
  <LinksUpToDate>false</LinksUpToDate>
  <CharactersWithSpaces>3575</CharactersWithSpaces>
  <Application>WPS Office_12.1.0.25242_F1E327BC-269C-435d-A152-05C5408002CA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2026-04-20T22:06:00Z</dcterms:created>
  <dc:creator>Un-named</dc:creator>
  <cp:lastModifiedBy>OS Premium Account</cp:lastModifiedBy>
  <dcterms:modified xsi:type="dcterms:W3CDTF">2026-04-23T19:54:40Z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eyJoZGlkIjoiZTdmYzMyMDcyOWY0ZjJjZjIzYTU2ZDQ4OWJjNzcxY2IiLCJ1c2VySWQiOiI3Njk2NTgyNDI4NTM5In0=</vt:lpwstr>
  </property>
  <property fmtid="{D5CDD505-2E9C-101B-9397-08002B2CF9AE}" pid="3" name="KSOProductBuildVer">
    <vt:lpwstr>1031-12.1.0.25242</vt:lpwstr>
  </property>
  <property fmtid="{D5CDD505-2E9C-101B-9397-08002B2CF9AE}" pid="4" name="ICV">
    <vt:lpwstr>D475E1658C1D480DA1043505A6FCA1DB_13</vt:lpwstr>
  </property>
</Properties>
</file>