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8E6BFA">
      <w:pPr>
        <w:spacing w:before="120" w:after="30"/>
        <w:jc w:val="center"/>
      </w:pPr>
      <w:r>
        <w:rPr>
          <w:rFonts w:ascii="Georgia" w:hAnsi="Georgia" w:cs="Georgia"/>
          <w:color w:val="101010"/>
          <w:sz w:val="44"/>
          <w:szCs w:val="44"/>
        </w:rPr>
        <w:t xml:space="preserve">Early Active </w:t>
      </w:r>
      <w:r>
        <w:rPr>
          <w:rFonts w:ascii="Georgia" w:hAnsi="Georgia" w:cs="Georgia"/>
          <w:color w:val="B8952A"/>
          <w:sz w:val="44"/>
          <w:szCs w:val="44"/>
        </w:rPr>
        <w:t>Rehab</w:t>
      </w:r>
    </w:p>
    <w:p w14:paraId="6114BB36">
      <w:pPr>
        <w:spacing w:before="0" w:after="60"/>
        <w:jc w:val="center"/>
      </w:pPr>
      <w:r>
        <w:rPr>
          <w:rFonts w:ascii="Calibri" w:hAnsi="Calibri" w:cs="Calibri"/>
          <w:color w:val="auto"/>
          <w:spacing w:val="60"/>
          <w:sz w:val="24"/>
          <w:szCs w:val="24"/>
        </w:rPr>
        <w:t>Schneller wieder fit  ·  Schneller zurück im Leben</w:t>
      </w:r>
    </w:p>
    <w:p w14:paraId="5377D739">
      <w:pPr>
        <w:pBdr>
          <w:bottom w:val="single" w:color="DDD8CC" w:sz="2" w:space="1"/>
        </w:pBdr>
        <w:spacing w:before="0" w:after="0"/>
      </w:pPr>
    </w:p>
    <w:p w14:paraId="239DEB79">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Sehr geehrte Patientin, sehr geehrter Patient,</w:t>
      </w:r>
    </w:p>
    <w:p w14:paraId="18CC5EE9">
      <w:pPr>
        <w:pStyle w:val="17"/>
        <w:spacing w:after="60"/>
        <w:jc w:val="both"/>
      </w:pPr>
      <w:r>
        <w:t>nach einer Operation oder Verletzung zählt jeder Tag. Je früher der Körper die richtigen Impulse erhält, desto schneller setzt die Regeneration ein und desto rascher kehren Sie in Ihren Alltag und in den Sport zurück.</w:t>
      </w:r>
      <w:bookmarkStart w:id="0" w:name="_GoBack"/>
      <w:bookmarkEnd w:id="0"/>
    </w:p>
    <w:p w14:paraId="5D3F236F">
      <w:pPr>
        <w:pStyle w:val="17"/>
        <w:spacing w:before="0" w:after="60"/>
        <w:jc w:val="both"/>
      </w:pPr>
      <w:r>
        <w:t xml:space="preserve">Unser Konzept </w:t>
      </w:r>
      <w:r>
        <w:rPr>
          <w:b/>
          <w:bCs/>
        </w:rPr>
        <w:t>Early Active Rehab</w:t>
      </w:r>
      <w:r>
        <w:t xml:space="preserve"> vereint vier gezielt aufeinander abgestimmte Therapiemaßnahmen zu einem wirkungsvollen Regenerationskonzept. Jede Anwendung setzt dort an, wo der Körper in der Heilungsphase Unterstützung braucht: Schwellungen werden reduziert, Schmerzen gelindert, Regenerationsprozesse aktiviert und Gewebe nachhaltig gestärkt. So verkürzt sich der Weg zurück zu Beweglichkeit, Alltag und voller Leistungsfähigkeit oft deutlich – nicht erst nach Monaten, sondern vielfach schon innerhalb weniger Wochen.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4DCA3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1A12B00D">
            <w:pPr>
              <w:spacing w:before="0" w:after="60"/>
            </w:pPr>
            <w:r>
              <w:rPr>
                <w:rFonts w:ascii="Times New Roman" w:hAnsi="Times New Roman" w:cs="Times New Roman"/>
                <w:b/>
                <w:bCs/>
                <w:color w:val="1C1C1C"/>
                <w:sz w:val="26"/>
                <w:szCs w:val="26"/>
              </w:rPr>
              <w:t>Vier Therapien. Ein Ziel: Ihre schnellste Genesung.</w:t>
            </w:r>
          </w:p>
          <w:p w14:paraId="5A2273A1">
            <w:pPr>
              <w:spacing w:before="0" w:after="0"/>
              <w:jc w:val="both"/>
              <w:rPr>
                <w:sz w:val="24"/>
                <w:szCs w:val="24"/>
              </w:rPr>
            </w:pPr>
            <w:r>
              <w:rPr>
                <w:sz w:val="24"/>
                <w:szCs w:val="24"/>
              </w:rPr>
              <w:t xml:space="preserve">Early Active Rehab ist unser exklusives, in der Ordination entwickeltes Nachbehandlungskonzept. </w:t>
            </w:r>
          </w:p>
          <w:p w14:paraId="7958FE15">
            <w:pPr>
              <w:spacing w:before="0" w:after="0"/>
              <w:jc w:val="both"/>
            </w:pPr>
            <w:r>
              <w:rPr>
                <w:sz w:val="24"/>
                <w:szCs w:val="24"/>
              </w:rPr>
              <w:t xml:space="preserve">Es kombiniert </w:t>
            </w:r>
            <w:r>
              <w:rPr>
                <w:b/>
                <w:bCs/>
                <w:sz w:val="24"/>
                <w:szCs w:val="24"/>
              </w:rPr>
              <w:t>Kältekompressionstherapie, Magnetolitherapie, Vitamin-C-Infusionstherapie und extrakorporale Stoßwellentherapie</w:t>
            </w:r>
            <w:r>
              <w:rPr>
                <w:sz w:val="24"/>
                <w:szCs w:val="24"/>
              </w:rPr>
              <w:t xml:space="preserve"> – vier hocheffektive, nichtinvasive Verfahren, die in ihrer Kombination deutlich mehr bewirken als jedes einzelne davon allein.</w:t>
            </w:r>
          </w:p>
        </w:tc>
      </w:tr>
    </w:tbl>
    <w:p w14:paraId="35576D10">
      <w:pPr>
        <w:spacing w:before="180" w:after="0"/>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951"/>
        <w:gridCol w:w="240"/>
        <w:gridCol w:w="5013"/>
      </w:tblGrid>
      <w:tr w14:paraId="6406D5F0">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95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2FFCF395">
            <w:pPr>
              <w:pBdr>
                <w:bottom w:val="single" w:color="D8C990" w:sz="2" w:space="2"/>
              </w:pBdr>
              <w:spacing w:before="0" w:after="80"/>
            </w:pPr>
            <w:r>
              <w:rPr>
                <w:rFonts w:ascii="Georgia" w:hAnsi="Georgia" w:cs="Georgia"/>
                <w:b/>
                <w:bCs/>
                <w:caps/>
                <w:color w:val="9A7B2F"/>
                <w:spacing w:val="60"/>
                <w:sz w:val="22"/>
                <w:szCs w:val="22"/>
              </w:rPr>
              <w:t>Kältekompression</w:t>
            </w:r>
          </w:p>
          <w:p w14:paraId="4BEBC81E">
            <w:pPr>
              <w:spacing w:before="0" w:after="30"/>
            </w:pPr>
            <w:r>
              <w:rPr>
                <w:rFonts w:ascii="Times New Roman" w:hAnsi="Times New Roman" w:cs="Times New Roman"/>
                <w:b w:val="0"/>
                <w:bCs w:val="0"/>
                <w:color w:val="1C1C1C"/>
                <w:sz w:val="24"/>
                <w:szCs w:val="24"/>
              </w:rPr>
              <w:t>Game Ready –</w:t>
            </w:r>
            <w:r>
              <w:rPr>
                <w:rFonts w:hint="default" w:cs="Times New Roman"/>
                <w:b w:val="0"/>
                <w:bCs w:val="0"/>
                <w:color w:val="1C1C1C"/>
                <w:sz w:val="24"/>
                <w:szCs w:val="24"/>
                <w:lang w:val="de-DE"/>
              </w:rPr>
              <w:t xml:space="preserve"> Kältekompression</w:t>
            </w:r>
            <w:r>
              <w:rPr>
                <w:rFonts w:ascii="Times New Roman" w:hAnsi="Times New Roman" w:cs="Times New Roman"/>
                <w:b/>
                <w:bCs/>
                <w:color w:val="1C1C1C"/>
                <w:sz w:val="24"/>
                <w:szCs w:val="24"/>
              </w:rPr>
              <w:t xml:space="preserve"> </w:t>
            </w:r>
            <w:r>
              <w:rPr>
                <w:rFonts w:ascii="Times New Roman" w:hAnsi="Times New Roman" w:cs="Times New Roman"/>
                <w:color w:val="1C1C1C"/>
                <w:sz w:val="24"/>
                <w:szCs w:val="24"/>
              </w:rPr>
              <w:t>Direkt ab dem ersten Tag nach der OP</w:t>
            </w:r>
            <w:r>
              <w:rPr>
                <w:rFonts w:hint="default" w:cs="Times New Roman"/>
                <w:color w:val="1C1C1C"/>
                <w:sz w:val="24"/>
                <w:szCs w:val="24"/>
                <w:lang w:val="de-DE"/>
              </w:rPr>
              <w:t xml:space="preserve">; </w:t>
            </w:r>
            <w:r>
              <w:rPr>
                <w:rFonts w:ascii="Times New Roman" w:hAnsi="Times New Roman" w:cs="Times New Roman"/>
                <w:color w:val="1C1C1C"/>
                <w:sz w:val="24"/>
                <w:szCs w:val="24"/>
              </w:rPr>
              <w:t>Game Ready kombiniert gezielte Kühlung mit wechselndem Kompressionsdruck. Schwellungen werden aktiv reduziert</w:t>
            </w:r>
          </w:p>
          <w:p w14:paraId="1552A9D8">
            <w:pPr>
              <w:pBdr>
                <w:top w:val="single" w:color="D8C990" w:sz="2" w:space="2"/>
                <w:bottom w:val="single" w:color="D8C990" w:sz="2" w:space="2"/>
              </w:pBdr>
              <w:spacing w:before="60" w:after="80"/>
            </w:pPr>
            <w:r>
              <w:rPr>
                <w:rFonts w:ascii="Georgia" w:hAnsi="Georgia" w:cs="Georgia"/>
                <w:b/>
                <w:bCs/>
                <w:caps/>
                <w:color w:val="9A7B2F"/>
                <w:spacing w:val="60"/>
                <w:sz w:val="22"/>
                <w:szCs w:val="22"/>
              </w:rPr>
              <w:t>Magnetolitherapie</w:t>
            </w:r>
          </w:p>
          <w:p w14:paraId="5B4C8467">
            <w:pPr>
              <w:spacing w:before="0" w:after="30"/>
              <w:rPr>
                <w:rFonts w:hint="default"/>
                <w:lang w:val="de-DE"/>
              </w:rPr>
            </w:pPr>
            <w:r>
              <w:rPr>
                <w:rFonts w:ascii="Times New Roman" w:hAnsi="Times New Roman" w:cs="Times New Roman"/>
                <w:color w:val="1C1C1C"/>
                <w:sz w:val="24"/>
                <w:szCs w:val="24"/>
              </w:rPr>
              <w:t xml:space="preserve">Begleitend </w:t>
            </w:r>
            <w:r>
              <w:rPr>
                <w:rFonts w:hint="default" w:cs="Times New Roman"/>
                <w:color w:val="1C1C1C"/>
                <w:sz w:val="24"/>
                <w:szCs w:val="24"/>
                <w:lang w:val="de-DE"/>
              </w:rPr>
              <w:t>und</w:t>
            </w:r>
            <w:r>
              <w:rPr>
                <w:rFonts w:ascii="Times New Roman" w:hAnsi="Times New Roman" w:cs="Times New Roman"/>
                <w:color w:val="1C1C1C"/>
                <w:sz w:val="24"/>
                <w:szCs w:val="24"/>
              </w:rPr>
              <w:t xml:space="preserve"> nahezu schmerzfrei</w:t>
            </w:r>
            <w:r>
              <w:rPr>
                <w:rFonts w:hint="default" w:cs="Times New Roman"/>
                <w:color w:val="1C1C1C"/>
                <w:sz w:val="24"/>
                <w:szCs w:val="24"/>
                <w:lang w:val="de-DE"/>
              </w:rPr>
              <w:t>;</w:t>
            </w:r>
          </w:p>
          <w:p w14:paraId="078F14DB">
            <w:pPr>
              <w:spacing w:before="30" w:after="30"/>
            </w:pPr>
            <w:r>
              <w:rPr>
                <w:rFonts w:ascii="Times New Roman" w:hAnsi="Times New Roman" w:cs="Times New Roman"/>
                <w:color w:val="1C1C1C"/>
                <w:sz w:val="24"/>
                <w:szCs w:val="24"/>
              </w:rPr>
              <w:t>Hochfrequente Magnetfelder dringen tief ins Gewebe und aktivieren die Zellregeneration auf biologischer Ebene: Entzündungen klingen ab</w:t>
            </w:r>
          </w:p>
        </w:tc>
        <w:tc>
          <w:tcPr>
            <w:tcW w:w="240" w:type="dxa"/>
            <w:tcBorders>
              <w:top w:val="nil"/>
              <w:left w:val="nil"/>
              <w:bottom w:val="nil"/>
              <w:right w:val="nil"/>
            </w:tcBorders>
          </w:tcPr>
          <w:p w14:paraId="797505A0"/>
        </w:tc>
        <w:tc>
          <w:tcPr>
            <w:tcW w:w="5013"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18750132">
            <w:pPr>
              <w:pBdr>
                <w:bottom w:val="single" w:color="D8C990" w:sz="2" w:space="2"/>
              </w:pBdr>
              <w:spacing w:before="0" w:after="80"/>
            </w:pPr>
            <w:r>
              <w:rPr>
                <w:rFonts w:ascii="Georgia" w:hAnsi="Georgia" w:cs="Georgia"/>
                <w:b/>
                <w:bCs/>
                <w:caps/>
                <w:color w:val="9A7B2F"/>
                <w:spacing w:val="60"/>
                <w:sz w:val="22"/>
                <w:szCs w:val="22"/>
              </w:rPr>
              <w:t>Vitamin-C</w:t>
            </w:r>
            <w:r>
              <w:rPr>
                <w:rFonts w:hint="default" w:ascii="Georgia" w:hAnsi="Georgia" w:cs="Georgia"/>
                <w:b/>
                <w:bCs/>
                <w:caps/>
                <w:color w:val="9A7B2F"/>
                <w:spacing w:val="60"/>
                <w:sz w:val="22"/>
                <w:szCs w:val="22"/>
                <w:lang w:val="de-DE"/>
              </w:rPr>
              <w:t xml:space="preserve"> </w:t>
            </w:r>
            <w:r>
              <w:rPr>
                <w:rFonts w:ascii="Georgia" w:hAnsi="Georgia" w:cs="Georgia"/>
                <w:b/>
                <w:bCs/>
                <w:caps/>
                <w:color w:val="9A7B2F"/>
                <w:spacing w:val="60"/>
                <w:sz w:val="22"/>
                <w:szCs w:val="22"/>
              </w:rPr>
              <w:t>Infusion</w:t>
            </w:r>
          </w:p>
          <w:p w14:paraId="12CEF72C">
            <w:pPr>
              <w:spacing w:before="0" w:after="30"/>
              <w:rPr>
                <w:rFonts w:ascii="Times New Roman" w:hAnsi="Times New Roman" w:cs="Times New Roman"/>
                <w:color w:val="1C1C1C"/>
                <w:sz w:val="24"/>
                <w:szCs w:val="24"/>
              </w:rPr>
            </w:pPr>
            <w:r>
              <w:rPr>
                <w:rFonts w:ascii="Times New Roman" w:hAnsi="Times New Roman" w:cs="Times New Roman"/>
                <w:b w:val="0"/>
                <w:bCs w:val="0"/>
                <w:color w:val="1C1C1C"/>
                <w:sz w:val="24"/>
                <w:szCs w:val="24"/>
              </w:rPr>
              <w:t>Intraven</w:t>
            </w:r>
            <w:r>
              <w:rPr>
                <w:rFonts w:hint="default" w:cs="Times New Roman"/>
                <w:b w:val="0"/>
                <w:bCs w:val="0"/>
                <w:color w:val="1C1C1C"/>
                <w:sz w:val="24"/>
                <w:szCs w:val="24"/>
                <w:lang w:val="de-DE"/>
              </w:rPr>
              <w:t>ö</w:t>
            </w:r>
            <w:r>
              <w:rPr>
                <w:rFonts w:ascii="Times New Roman" w:hAnsi="Times New Roman" w:cs="Times New Roman"/>
                <w:b w:val="0"/>
                <w:bCs w:val="0"/>
                <w:color w:val="1C1C1C"/>
                <w:sz w:val="24"/>
                <w:szCs w:val="24"/>
              </w:rPr>
              <w:t>s – Ho</w:t>
            </w:r>
            <w:r>
              <w:rPr>
                <w:rFonts w:ascii="Times New Roman" w:hAnsi="Times New Roman" w:cs="Times New Roman"/>
                <w:color w:val="1C1C1C"/>
                <w:sz w:val="24"/>
                <w:szCs w:val="24"/>
              </w:rPr>
              <w:t xml:space="preserve">chdosiertes Vitamin C </w:t>
            </w:r>
            <w:r>
              <w:rPr>
                <w:rFonts w:hint="default" w:cs="Times New Roman"/>
                <w:color w:val="1C1C1C"/>
                <w:sz w:val="24"/>
                <w:szCs w:val="24"/>
                <w:lang w:val="de-DE"/>
              </w:rPr>
              <w:t xml:space="preserve">ist </w:t>
            </w:r>
            <w:r>
              <w:rPr>
                <w:rFonts w:ascii="Times New Roman" w:hAnsi="Times New Roman" w:cs="Times New Roman"/>
                <w:color w:val="1C1C1C"/>
                <w:sz w:val="24"/>
                <w:szCs w:val="24"/>
              </w:rPr>
              <w:t>sofort</w:t>
            </w:r>
            <w:r>
              <w:rPr>
                <w:rFonts w:hint="default" w:cs="Times New Roman"/>
                <w:color w:val="1C1C1C"/>
                <w:sz w:val="24"/>
                <w:szCs w:val="24"/>
                <w:lang w:val="de-DE"/>
              </w:rPr>
              <w:t xml:space="preserve"> </w:t>
            </w:r>
            <w:r>
              <w:rPr>
                <w:rFonts w:ascii="Times New Roman" w:hAnsi="Times New Roman" w:cs="Times New Roman"/>
                <w:color w:val="1C1C1C"/>
                <w:sz w:val="24"/>
                <w:szCs w:val="24"/>
              </w:rPr>
              <w:t>verfügbar für Wundheilung, Kollagenaufbau und</w:t>
            </w:r>
            <w:r>
              <w:rPr>
                <w:rFonts w:hint="default" w:cs="Times New Roman"/>
                <w:color w:val="1C1C1C"/>
                <w:sz w:val="24"/>
                <w:szCs w:val="24"/>
                <w:lang w:val="de-DE"/>
              </w:rPr>
              <w:t xml:space="preserve"> ihr </w:t>
            </w:r>
            <w:r>
              <w:rPr>
                <w:rFonts w:ascii="Times New Roman" w:hAnsi="Times New Roman" w:cs="Times New Roman"/>
                <w:color w:val="1C1C1C"/>
                <w:sz w:val="24"/>
                <w:szCs w:val="24"/>
              </w:rPr>
              <w:t xml:space="preserve"> Immunsystem. </w:t>
            </w:r>
          </w:p>
          <w:p w14:paraId="2EA3A37F">
            <w:pPr>
              <w:spacing w:before="0" w:after="30"/>
              <w:rPr>
                <w:rFonts w:ascii="Times New Roman" w:hAnsi="Times New Roman" w:cs="Times New Roman"/>
                <w:color w:val="1C1C1C"/>
                <w:sz w:val="24"/>
                <w:szCs w:val="24"/>
              </w:rPr>
            </w:pPr>
          </w:p>
          <w:p w14:paraId="6DC0E6EF">
            <w:pPr>
              <w:pBdr>
                <w:top w:val="single" w:color="D8C990" w:sz="2" w:space="2"/>
                <w:bottom w:val="single" w:color="D8C990" w:sz="2" w:space="2"/>
              </w:pBdr>
              <w:spacing w:before="60" w:after="80"/>
            </w:pPr>
            <w:r>
              <w:rPr>
                <w:rFonts w:ascii="Georgia" w:hAnsi="Georgia" w:cs="Georgia"/>
                <w:b/>
                <w:bCs/>
                <w:caps/>
                <w:color w:val="9A7B2F"/>
                <w:spacing w:val="60"/>
                <w:sz w:val="22"/>
                <w:szCs w:val="22"/>
              </w:rPr>
              <w:t xml:space="preserve"> Stoßwellentherapie</w:t>
            </w:r>
          </w:p>
          <w:p w14:paraId="4B7F8811">
            <w:pPr>
              <w:spacing w:before="0" w:after="30"/>
              <w:rPr>
                <w:rFonts w:hint="default"/>
                <w:lang w:val="de-DE"/>
              </w:rPr>
            </w:pPr>
            <w:r>
              <w:rPr>
                <w:rFonts w:ascii="Times New Roman" w:hAnsi="Times New Roman" w:cs="Times New Roman"/>
                <w:color w:val="1C1C1C"/>
                <w:sz w:val="24"/>
                <w:szCs w:val="24"/>
              </w:rPr>
              <w:t>Der Heilungsabschluss mit Tiefenwirkung</w:t>
            </w:r>
            <w:r>
              <w:rPr>
                <w:rFonts w:hint="default" w:cs="Times New Roman"/>
                <w:color w:val="1C1C1C"/>
                <w:sz w:val="24"/>
                <w:szCs w:val="24"/>
                <w:lang w:val="de-DE"/>
              </w:rPr>
              <w:t>;</w:t>
            </w:r>
          </w:p>
          <w:p w14:paraId="2392FC33">
            <w:pPr>
              <w:spacing w:before="30" w:after="30"/>
            </w:pPr>
            <w:r>
              <w:rPr>
                <w:rFonts w:ascii="Times New Roman" w:hAnsi="Times New Roman" w:cs="Times New Roman"/>
                <w:color w:val="1C1C1C"/>
                <w:sz w:val="24"/>
                <w:szCs w:val="24"/>
              </w:rPr>
              <w:t xml:space="preserve">Hochenergetische Stoßwellen aktivieren die Selbstheilungskräfte im Gewebe, lösen Verkalkungen, fördern die Durchblutung und beschleunigen den Gewebeumbau. </w:t>
            </w:r>
          </w:p>
        </w:tc>
      </w:tr>
    </w:tbl>
    <w:p w14:paraId="030F32A8">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50E6E580">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1C39BE4E">
            <w:pPr>
              <w:spacing w:before="0" w:after="60"/>
              <w:rPr>
                <w:rFonts w:ascii="Georgia" w:hAnsi="Georgia" w:cs="Georgia"/>
                <w:b/>
                <w:bCs/>
                <w:color w:val="9A7B2F"/>
                <w:sz w:val="24"/>
                <w:szCs w:val="24"/>
              </w:rPr>
            </w:pPr>
            <w:r>
              <w:rPr>
                <w:rFonts w:ascii="Georgia" w:hAnsi="Georgia" w:cs="Georgia"/>
                <w:b/>
                <w:bCs/>
                <w:color w:val="9A7B2F"/>
                <w:sz w:val="24"/>
                <w:szCs w:val="24"/>
              </w:rPr>
              <w:t xml:space="preserve">Warum Early Active Rehab? </w:t>
            </w:r>
          </w:p>
          <w:p w14:paraId="3A32D67D">
            <w:pPr>
              <w:spacing w:before="0" w:after="60"/>
              <w:jc w:val="both"/>
              <w:rPr>
                <w:rFonts w:hint="default" w:ascii="Times New Roman" w:hAnsi="Times New Roman" w:cs="Times New Roman"/>
                <w:color w:val="3E3E3E"/>
                <w:sz w:val="24"/>
                <w:szCs w:val="24"/>
              </w:rPr>
            </w:pPr>
            <w:r>
              <w:rPr>
                <w:rFonts w:ascii="Times New Roman" w:hAnsi="Times New Roman" w:cs="Times New Roman"/>
                <w:color w:val="3E3E3E"/>
                <w:sz w:val="24"/>
                <w:szCs w:val="24"/>
              </w:rPr>
              <w:t>Weil jede Phase genau dort ansetzt, wo der Körper gerade steht</w:t>
            </w:r>
            <w:r>
              <w:rPr>
                <w:rFonts w:hint="default" w:cs="Times New Roman"/>
                <w:color w:val="3E3E3E"/>
                <w:sz w:val="24"/>
                <w:szCs w:val="24"/>
                <w:lang w:val="de-DE"/>
              </w:rPr>
              <w:t xml:space="preserve">. </w:t>
            </w:r>
            <w:r>
              <w:rPr>
                <w:rFonts w:ascii="Times New Roman" w:hAnsi="Times New Roman" w:cs="Times New Roman"/>
                <w:color w:val="3E3E3E"/>
                <w:sz w:val="24"/>
                <w:szCs w:val="24"/>
              </w:rPr>
              <w:t>Unser Therapieansatz begleitet jede Phase Ihrer Genesung für eine</w:t>
            </w:r>
            <w:r>
              <w:rPr>
                <w:rFonts w:hint="default" w:ascii="Times New Roman" w:hAnsi="Times New Roman" w:cs="Times New Roman"/>
                <w:color w:val="3E3E3E"/>
                <w:sz w:val="24"/>
                <w:szCs w:val="24"/>
              </w:rPr>
              <w:t> nachhaltige Wiederherstellung der Funktion. So verkürzen wir den Weg zurück in Ihren aktiven Alltag und den Sport oft innerhalb weniger Wochen.</w:t>
            </w:r>
          </w:p>
          <w:p w14:paraId="6875A846">
            <w:pPr>
              <w:spacing w:before="0" w:after="60"/>
              <w:jc w:val="both"/>
              <w:rPr>
                <w:rFonts w:hint="default" w:ascii="Times New Roman" w:hAnsi="Times New Roman" w:cs="Times New Roman"/>
                <w:color w:val="3E3E3E"/>
                <w:sz w:val="24"/>
                <w:szCs w:val="24"/>
              </w:rPr>
            </w:pPr>
          </w:p>
          <w:p w14:paraId="2025B4DD">
            <w:pPr>
              <w:spacing w:before="0" w:after="60"/>
              <w:jc w:val="both"/>
            </w:pPr>
            <w:r>
              <w:rPr>
                <w:rFonts w:ascii="Georgia" w:hAnsi="Georgia" w:cs="Georgia"/>
                <w:b w:val="0"/>
                <w:bCs w:val="0"/>
                <w:color w:val="9A7B2F"/>
                <w:sz w:val="26"/>
                <w:szCs w:val="26"/>
              </w:rPr>
              <w:t>Für weitere Informationen und Terminvereinbarung stehen wir Ihnen jederzeit zur Verfügung.</w:t>
            </w:r>
          </w:p>
        </w:tc>
      </w:tr>
    </w:tbl>
    <w:p w14:paraId="69972270"/>
    <w:p w14:paraId="0B9E1F4A"/>
    <w:sectPr>
      <w:headerReference r:id="rId3" w:type="default"/>
      <w:pgSz w:w="11906" w:h="16838"/>
      <w:pgMar w:top="574" w:right="851" w:bottom="724" w:left="85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297"/>
      <w:gridCol w:w="5907"/>
    </w:tblGrid>
    <w:tr w14:paraId="16CAC369">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trHeight w:val="1225" w:hRule="atLeast"/>
      </w:trPr>
      <w:tc>
        <w:tcPr>
          <w:tcW w:w="3800" w:type="dxa"/>
          <w:tcBorders>
            <w:top w:val="nil"/>
            <w:left w:val="nil"/>
            <w:bottom w:val="nil"/>
            <w:right w:val="nil"/>
          </w:tcBorders>
          <w:tcMar>
            <w:top w:w="0" w:type="dxa"/>
            <w:left w:w="0" w:type="dxa"/>
            <w:bottom w:w="0" w:type="dxa"/>
            <w:right w:w="200" w:type="dxa"/>
          </w:tcMar>
          <w:vAlign w:val="center"/>
        </w:tcPr>
        <w:p w14:paraId="6E5D2AC2">
          <w:pPr>
            <w:spacing w:before="0" w:after="0"/>
          </w:pPr>
          <w:r>
            <w:drawing>
              <wp:inline distT="0" distB="0" distL="0" distR="0">
                <wp:extent cx="2601595" cy="695325"/>
                <wp:effectExtent l="0" t="0" r="0" b="3175"/>
                <wp:docPr id="1" name="Bild 1" descr="C:/Users/oliver/Desktop/Neuer Ordner/die ORDI/Logo/Neues_Logo_003_transparent.pngNeues_Logo_003_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C:/Users/oliver/Desktop/Neuer Ordner/die ORDI/Logo/Neues_Logo_003_transparent.pngNeues_Logo_003_transparent"/>
                        <pic:cNvPicPr>
                          <a:picLocks noChangeAspect="1" noChangeArrowheads="1"/>
                        </pic:cNvPicPr>
                      </pic:nvPicPr>
                      <pic:blipFill>
                        <a:blip r:embed="rId1"/>
                        <a:srcRect t="5528" b="5528"/>
                        <a:stretch>
                          <a:fillRect/>
                        </a:stretch>
                      </pic:blipFill>
                      <pic:spPr>
                        <a:xfrm>
                          <a:off x="0" y="0"/>
                          <a:ext cx="2601595" cy="695325"/>
                        </a:xfrm>
                        <a:prstGeom prst="rect">
                          <a:avLst/>
                        </a:prstGeom>
                      </pic:spPr>
                    </pic:pic>
                  </a:graphicData>
                </a:graphic>
              </wp:inline>
            </w:drawing>
          </w:r>
        </w:p>
      </w:tc>
      <w:tc>
        <w:tcPr>
          <w:tcW w:w="6404" w:type="dxa"/>
          <w:tcBorders>
            <w:top w:val="nil"/>
            <w:left w:val="nil"/>
            <w:bottom w:val="nil"/>
            <w:right w:val="nil"/>
          </w:tcBorders>
          <w:tcMar>
            <w:top w:w="0" w:type="dxa"/>
            <w:left w:w="0" w:type="dxa"/>
            <w:bottom w:w="0" w:type="dxa"/>
            <w:right w:w="0" w:type="dxa"/>
          </w:tcMar>
          <w:vAlign w:val="center"/>
        </w:tcPr>
        <w:p w14:paraId="2D8FC49F">
          <w:pPr>
            <w:wordWrap w:val="0"/>
            <w:spacing w:before="0" w:after="30"/>
            <w:jc w:val="right"/>
            <w:rPr>
              <w:rFonts w:hint="default"/>
              <w:lang w:val="de-DE"/>
            </w:rPr>
          </w:pPr>
          <w:r>
            <w:rPr>
              <w:rFonts w:ascii="Calibri" w:hAnsi="Calibri" w:eastAsia="Calibri" w:cs="Calibri"/>
              <w:b/>
              <w:bCs/>
              <w:color w:val="1C1C1C"/>
              <w:sz w:val="17"/>
              <w:szCs w:val="17"/>
            </w:rPr>
            <w:t>OA Dr. med. univ. Shady El Marto WDM</w:t>
          </w:r>
          <w:r>
            <w:rPr>
              <w:rFonts w:hint="default" w:ascii="Calibri" w:hAnsi="Calibri" w:eastAsia="Calibri" w:cs="Calibri"/>
              <w:b/>
              <w:bCs/>
              <w:color w:val="1C1C1C"/>
              <w:sz w:val="17"/>
              <w:szCs w:val="17"/>
              <w:lang w:val="de-DE"/>
            </w:rPr>
            <w:t xml:space="preserve"> </w:t>
          </w:r>
        </w:p>
        <w:p w14:paraId="0F254B4D">
          <w:pPr>
            <w:wordWrap w:val="0"/>
            <w:spacing w:before="0" w:after="0"/>
            <w:jc w:val="right"/>
            <w:rPr>
              <w:rFonts w:hint="default"/>
              <w:lang w:val="de-DE"/>
            </w:rPr>
          </w:pPr>
          <w:r>
            <w:rPr>
              <w:rFonts w:ascii="Calibri" w:hAnsi="Calibri" w:eastAsia="Calibri" w:cs="Calibri"/>
              <w:color w:val="666666"/>
              <w:sz w:val="15"/>
              <w:szCs w:val="15"/>
            </w:rPr>
            <w:t>Facharzt für Orthopädie und Traumatologie  |  Facharzt für Unfallchirurgie</w:t>
          </w:r>
          <w:r>
            <w:rPr>
              <w:rFonts w:hint="default" w:ascii="Calibri" w:hAnsi="Calibri" w:eastAsia="Calibri" w:cs="Calibri"/>
              <w:color w:val="666666"/>
              <w:sz w:val="15"/>
              <w:szCs w:val="15"/>
              <w:lang w:val="de-DE"/>
            </w:rPr>
            <w:t xml:space="preserve"> </w:t>
          </w:r>
        </w:p>
        <w:p w14:paraId="38E00E37">
          <w:pPr>
            <w:spacing w:before="0" w:after="0"/>
            <w:jc w:val="center"/>
            <w:rPr>
              <w:rFonts w:hint="default"/>
              <w:lang w:val="de-DE"/>
            </w:rPr>
          </w:pPr>
          <w:r>
            <w:rPr>
              <w:rFonts w:hint="default" w:ascii="Calibri" w:hAnsi="Calibri" w:eastAsia="Calibri" w:cs="Calibri"/>
              <w:color w:val="666666"/>
              <w:sz w:val="15"/>
              <w:szCs w:val="15"/>
              <w:lang w:val="de-DE"/>
            </w:rPr>
            <w:t xml:space="preserve">                                                                     </w:t>
          </w:r>
          <w:r>
            <w:rPr>
              <w:rFonts w:ascii="Calibri" w:hAnsi="Calibri" w:eastAsia="Calibri" w:cs="Calibri"/>
              <w:color w:val="666666"/>
              <w:sz w:val="15"/>
              <w:szCs w:val="15"/>
            </w:rPr>
            <w:t>Am Hof 11 Top 9  |  1010 Wien  |  Tel.:</w:t>
          </w:r>
          <w:r>
            <w:rPr>
              <w:rFonts w:ascii="Calibri" w:hAnsi="Calibri" w:eastAsia="Calibri" w:cs="Calibri"/>
              <w:b/>
              <w:bCs/>
              <w:color w:val="666666"/>
              <w:sz w:val="15"/>
              <w:szCs w:val="15"/>
            </w:rPr>
            <w:t xml:space="preserve"> +43 664 328 44 65</w:t>
          </w:r>
          <w:r>
            <w:rPr>
              <w:rFonts w:hint="default" w:ascii="Calibri" w:hAnsi="Calibri" w:eastAsia="Calibri" w:cs="Calibri"/>
              <w:color w:val="666666"/>
              <w:sz w:val="15"/>
              <w:szCs w:val="15"/>
              <w:lang w:val="de-DE"/>
            </w:rPr>
            <w:t xml:space="preserve">     </w:t>
          </w:r>
        </w:p>
        <w:p w14:paraId="3D2A998F">
          <w:pPr>
            <w:wordWrap w:val="0"/>
            <w:spacing w:before="0" w:after="0"/>
            <w:jc w:val="right"/>
            <w:rPr>
              <w:rFonts w:hint="default"/>
              <w:lang w:val="de-DE"/>
            </w:rPr>
          </w:pPr>
          <w:r>
            <w:rPr>
              <w:rFonts w:ascii="Calibri" w:hAnsi="Calibri" w:eastAsia="Calibri" w:cs="Calibri"/>
              <w:color w:val="9A7B2F"/>
              <w:sz w:val="15"/>
              <w:szCs w:val="15"/>
            </w:rPr>
            <w:t>ordination@dr-elmarto.at  |  www.dr-elmarto.at</w:t>
          </w:r>
          <w:r>
            <w:rPr>
              <w:rFonts w:hint="default" w:ascii="Calibri" w:hAnsi="Calibri" w:eastAsia="Calibri" w:cs="Calibri"/>
              <w:color w:val="9A7B2F"/>
              <w:sz w:val="15"/>
              <w:szCs w:val="15"/>
              <w:lang w:val="de-DE"/>
            </w:rPr>
            <w:t xml:space="preserve"> </w:t>
          </w:r>
        </w:p>
      </w:tc>
    </w:tr>
  </w:tbl>
  <w:p w14:paraId="4C47FA82">
    <w:pPr>
      <w:pBdr>
        <w:bottom w:val="single" w:color="B8952A" w:sz="12" w:space="1"/>
      </w:pBdr>
      <w:spacing w:before="60" w:after="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753A3D"/>
    <w:rsid w:val="074C2609"/>
    <w:rsid w:val="10F442DE"/>
    <w:rsid w:val="15C64B46"/>
    <w:rsid w:val="17752149"/>
    <w:rsid w:val="18204876"/>
    <w:rsid w:val="32F31EA6"/>
    <w:rsid w:val="353B041A"/>
    <w:rsid w:val="47A10F92"/>
    <w:rsid w:val="4E5C4BB1"/>
    <w:rsid w:val="59DC369A"/>
    <w:rsid w:val="5C46562F"/>
    <w:rsid w:val="5EC2745F"/>
    <w:rsid w:val="7AA34743"/>
    <w:rsid w:val="7B582B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Strong"/>
    <w:qFormat/>
    <w:uiPriority w:val="0"/>
    <w:rPr>
      <w:b/>
      <w:bCs/>
    </w:rPr>
  </w:style>
  <w:style w:type="character" w:styleId="12">
    <w:name w:val="footnote reference"/>
    <w:semiHidden/>
    <w:unhideWhenUsed/>
    <w:qFormat/>
    <w:uiPriority w:val="99"/>
    <w:rPr>
      <w:vertAlign w:val="superscript"/>
    </w:rPr>
  </w:style>
  <w:style w:type="character" w:styleId="13">
    <w:name w:val="Hyperlink"/>
    <w:unhideWhenUsed/>
    <w:qFormat/>
    <w:uiPriority w:val="99"/>
    <w:rPr>
      <w:color w:val="0563C1"/>
      <w:u w:val="single"/>
    </w:rPr>
  </w:style>
  <w:style w:type="paragraph" w:styleId="14">
    <w:name w:val="endnote text"/>
    <w:link w:val="21"/>
    <w:semiHidden/>
    <w:unhideWhenUsed/>
    <w:qFormat/>
    <w:uiPriority w:val="99"/>
    <w:pPr>
      <w:spacing w:after="0" w:line="240" w:lineRule="auto"/>
    </w:pPr>
    <w:rPr>
      <w:rFonts w:ascii="Times New Roman" w:hAnsi="Times New Roman" w:eastAsia="SimSun" w:cs="Times New Roman"/>
      <w:sz w:val="20"/>
      <w:szCs w:val="20"/>
    </w:rPr>
  </w:style>
  <w:style w:type="paragraph" w:styleId="15">
    <w:name w:val="footnote text"/>
    <w:link w:val="20"/>
    <w:semiHidden/>
    <w:unhideWhenUsed/>
    <w:qFormat/>
    <w:uiPriority w:val="99"/>
    <w:pPr>
      <w:spacing w:after="0" w:line="240" w:lineRule="auto"/>
    </w:pPr>
    <w:rPr>
      <w:rFonts w:ascii="Times New Roman" w:hAnsi="Times New Roman" w:eastAsia="SimSun" w:cs="Times New Roman"/>
      <w:sz w:val="20"/>
      <w:szCs w:val="20"/>
    </w:rPr>
  </w:style>
  <w:style w:type="paragraph" w:styleId="16">
    <w:name w:val="footer"/>
    <w:basedOn w:val="1"/>
    <w:qFormat/>
    <w:uiPriority w:val="0"/>
    <w:pPr>
      <w:tabs>
        <w:tab w:val="center" w:pos="4153"/>
        <w:tab w:val="right" w:pos="8306"/>
      </w:tabs>
    </w:p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Title"/>
    <w:qFormat/>
    <w:uiPriority w:val="0"/>
    <w:rPr>
      <w:rFonts w:ascii="Times New Roman" w:hAnsi="Times New Roman" w:eastAsia="SimSun" w:cs="Times New Roman"/>
      <w:sz w:val="56"/>
      <w:szCs w:val="56"/>
    </w:rPr>
  </w:style>
  <w:style w:type="paragraph" w:styleId="19">
    <w:name w:val="List Paragraph"/>
    <w:qFormat/>
    <w:uiPriority w:val="0"/>
    <w:rPr>
      <w:rFonts w:ascii="Times New Roman" w:hAnsi="Times New Roman" w:eastAsia="SimSun" w:cs="Times New Roman"/>
      <w:sz w:val="21"/>
      <w:szCs w:val="22"/>
    </w:rPr>
  </w:style>
  <w:style w:type="character" w:customStyle="1" w:styleId="20">
    <w:name w:val="Footnote Text Char"/>
    <w:link w:val="15"/>
    <w:semiHidden/>
    <w:unhideWhenUsed/>
    <w:qFormat/>
    <w:uiPriority w:val="99"/>
    <w:rPr>
      <w:sz w:val="20"/>
      <w:szCs w:val="20"/>
    </w:rPr>
  </w:style>
  <w:style w:type="character" w:customStyle="1" w:styleId="21">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430</Words>
  <Characters>2719</Characters>
  <TotalTime>1</TotalTime>
  <ScaleCrop>false</ScaleCrop>
  <LinksUpToDate>false</LinksUpToDate>
  <CharactersWithSpaces>3131</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2026-04-20T22:06:00Z</dcterms:created>
  <dc:creator>Un-named</dc:creator>
  <cp:lastModifiedBy>OS Premium Account</cp:lastModifiedBy>
  <dcterms:modified xsi:type="dcterms:W3CDTF">2026-04-27T20:54:46Z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eyJoZGlkIjoiZTdmYzMyMDcyOWY0ZjJjZjIzYTU2ZDQ4OWJjNzcxY2IiLCJ1c2VySWQiOiI3Njk2NTgyNDI4NTM5In0=</vt:lpwstr>
  </property>
  <property fmtid="{D5CDD505-2E9C-101B-9397-08002B2CF9AE}" pid="3" name="KSOProductBuildVer">
    <vt:lpwstr>1031-12.1.0.25242</vt:lpwstr>
  </property>
  <property fmtid="{D5CDD505-2E9C-101B-9397-08002B2CF9AE}" pid="4" name="ICV">
    <vt:lpwstr>D475E1658C1D480DA1043505A6FCA1DB_13</vt:lpwstr>
  </property>
</Properties>
</file>