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94F44"/>
    <w:p w14:paraId="59181E4F">
      <w:pPr>
        <w:spacing w:before="120" w:after="40"/>
        <w:jc w:val="center"/>
      </w:pPr>
      <w:r>
        <w:rPr>
          <w:rFonts w:ascii="Georgia" w:hAnsi="Georgia" w:cs="Georgia"/>
          <w:color w:val="101010"/>
          <w:sz w:val="38"/>
          <w:szCs w:val="38"/>
        </w:rPr>
        <w:t xml:space="preserve">Arthroskopisch assistierte </w:t>
      </w:r>
      <w:r>
        <w:rPr>
          <w:rFonts w:ascii="Georgia" w:hAnsi="Georgia" w:cs="Georgia"/>
          <w:color w:val="B8952A"/>
          <w:sz w:val="38"/>
          <w:szCs w:val="38"/>
        </w:rPr>
        <w:t>MPFL Rekonstruktion</w:t>
      </w:r>
    </w:p>
    <w:p w14:paraId="0F132BC4">
      <w:pPr>
        <w:spacing w:before="0" w:after="60"/>
        <w:jc w:val="center"/>
      </w:pPr>
      <w:r>
        <w:rPr>
          <w:rFonts w:ascii="Calibri" w:hAnsi="Calibri" w:cs="Calibri"/>
          <w:color w:val="auto"/>
          <w:spacing w:val="60"/>
          <w:sz w:val="24"/>
          <w:szCs w:val="24"/>
        </w:rPr>
        <w:t>Nachbehandlung  ·  Wichtigste Punkte im Überblick</w:t>
      </w:r>
    </w:p>
    <w:p w14:paraId="0544024A">
      <w:pPr>
        <w:pBdr>
          <w:bottom w:val="single" w:color="DDD8CC" w:sz="2" w:space="1"/>
        </w:pBdr>
        <w:spacing w:before="0" w:after="0"/>
      </w:pPr>
    </w:p>
    <w:p w14:paraId="3F62FE43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</w:p>
    <w:p w14:paraId="6974B66F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 xml:space="preserve">Liebe Patientin, </w:t>
      </w:r>
    </w:p>
    <w:p w14:paraId="51B107D9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hint="default" w:cs="Times New Roman"/>
          <w:b/>
          <w:bCs/>
          <w:color w:val="1C1C1C"/>
          <w:sz w:val="24"/>
          <w:szCs w:val="24"/>
          <w:lang w:val="de-DE"/>
        </w:rPr>
        <w:t>L</w:t>
      </w: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ieber Patient,</w:t>
      </w:r>
    </w:p>
    <w:p w14:paraId="5D2BE835">
      <w:pPr>
        <w:pStyle w:val="17"/>
        <w:spacing w:after="60"/>
      </w:pPr>
      <w:r>
        <w:t xml:space="preserve">bei Ihnen wurde folgender Eingriff durchgeführt: </w:t>
      </w:r>
      <w:r>
        <w:rPr>
          <w:b/>
          <w:bCs/>
        </w:rPr>
        <w:t>Arthroskopisch assistierte MPFL Rekonstruktion.</w:t>
      </w:r>
      <w:r>
        <w:t xml:space="preserve"> Hier sind für Sie die wichtigsten Punkte der Nachbehandlung zusammengefasst:</w:t>
      </w: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7F178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280B19">
            <w:pPr>
              <w:spacing w:before="0" w:after="6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In den ersten 3 Tagen</w:t>
            </w:r>
          </w:p>
          <w:p w14:paraId="59345062">
            <w:pPr>
              <w:spacing w:before="0" w:after="40"/>
            </w:pPr>
            <w:r>
              <w:rPr>
                <w:sz w:val="24"/>
                <w:szCs w:val="24"/>
              </w:rPr>
              <w:t xml:space="preserve">Hochlagerung des Beines und Auflegen von Eispackungen/Gel-Coolpacks </w:t>
            </w:r>
            <w:r>
              <w:rPr>
                <w:b/>
                <w:bCs/>
                <w:sz w:val="24"/>
                <w:szCs w:val="24"/>
              </w:rPr>
              <w:t>(3× täglich, 20 Minuten, nicht direkt auf die Haut)</w:t>
            </w:r>
            <w:r>
              <w:rPr>
                <w:sz w:val="24"/>
                <w:szCs w:val="24"/>
              </w:rPr>
              <w:t xml:space="preserve"> sowie isometrische Spannungsübungen der Muskulatur.</w:t>
            </w:r>
          </w:p>
          <w:p w14:paraId="3C446A52">
            <w:pPr>
              <w:spacing w:before="0" w:after="0"/>
            </w:pPr>
            <w:r>
              <w:rPr>
                <w:sz w:val="24"/>
                <w:szCs w:val="24"/>
              </w:rPr>
              <w:t xml:space="preserve">Bitte tragen Sie Ihre Orthese bis zur ersten Kontrolle in unserer Ordination </w:t>
            </w:r>
            <w:r>
              <w:rPr>
                <w:b/>
                <w:bCs/>
                <w:sz w:val="24"/>
                <w:szCs w:val="24"/>
              </w:rPr>
              <w:t>konsequent Tag und Nacht.</w:t>
            </w:r>
          </w:p>
        </w:tc>
      </w:tr>
    </w:tbl>
    <w:p w14:paraId="1DB701A5">
      <w:pPr>
        <w:spacing w:before="180" w:after="0"/>
      </w:pPr>
    </w:p>
    <w:tbl>
      <w:tblPr>
        <w:tblStyle w:val="9"/>
        <w:tblW w:w="10181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81"/>
      </w:tblGrid>
      <w:tr w14:paraId="0E7CFFD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A6578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Weitere Maßnahmen</w:t>
            </w:r>
          </w:p>
          <w:p w14:paraId="37A50924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Verordnungsschein für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physikalische 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– wir empfehlen </w:t>
            </w:r>
            <w:r>
              <w:rPr>
                <w:rFonts w:ascii="Times New Roman" w:hAnsi="Times New Roman" w:cs="Times New Roman"/>
                <w:b/>
                <w:bCs/>
                <w:color w:val="9A7B2F"/>
                <w:sz w:val="24"/>
                <w:szCs w:val="24"/>
              </w:rPr>
              <w:t>Early Active Rehab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(exklusiv in unserer Ordination)</w:t>
            </w:r>
          </w:p>
          <w:p w14:paraId="5FE862E3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Nahtentfernung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8–12 Tage nach OP (bei nicht resorbierbaren Nähten)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</w:t>
            </w:r>
          </w:p>
          <w:p w14:paraId="7BF356A7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cs="Times New Roman"/>
                <w:b/>
                <w:bCs/>
                <w:color w:val="1C1C1C"/>
                <w:sz w:val="24"/>
                <w:szCs w:val="24"/>
                <w:lang w:val="de-DE"/>
              </w:rPr>
              <w:t>Stoßwellen-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bzw.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Lasertherapie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zur Unterstützung der Nachbehandlung</w:t>
            </w:r>
          </w:p>
          <w:p w14:paraId="3A6FB13B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Teilbelastung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mit Stützkrücken und Tragen der Kniegelenksorthese bis zur Nahtentfernung</w:t>
            </w:r>
          </w:p>
          <w:p w14:paraId="70A98DFC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Infiltrationen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ab der 4. Woche zur Optimierung der Heilung</w:t>
            </w:r>
          </w:p>
        </w:tc>
      </w:tr>
      <w:tr w14:paraId="4A295D4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5D78A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Medikation bei Entlassung</w:t>
            </w:r>
          </w:p>
          <w:p w14:paraId="72EEA0BD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Sie erhalten ein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Rezept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mit folgender Verordnung:</w:t>
            </w:r>
          </w:p>
          <w:p w14:paraId="7BD98D6C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  <w:p w14:paraId="16AB194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Voltaren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50 mg Filmtabletten  1-1-1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>-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>für die ersten 2 Tage, dann nur bei Bedar</w:t>
            </w:r>
            <w:bookmarkStart w:id="0" w:name="_GoBack"/>
            <w:bookmarkEnd w:id="0"/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>f</w:t>
            </w:r>
          </w:p>
          <w:p w14:paraId="17E742BA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antoloc 40 mg Filmtabletten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>-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solange ein Schmerzmittel eingenommen wird</w:t>
            </w:r>
          </w:p>
          <w:p w14:paraId="190FCBFC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Lev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enox 40 mg Spritzampullen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>-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>bis zur Vollbelastung</w:t>
            </w:r>
          </w:p>
        </w:tc>
      </w:tr>
    </w:tbl>
    <w:p w14:paraId="02002965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06DB9946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7A3B2F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 xml:space="preserve">Bei Auftreten von Fieber, starken Schmerzen, zunehmender Schwellung, Rötung oder Überwärmung des Kniegelenkes: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  <w:t>SOFORTIGE KONTAKTAUFNAHME</w:t>
            </w:r>
          </w:p>
          <w:p w14:paraId="2FE3819B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</w:p>
          <w:p w14:paraId="1B4BB228">
            <w:pPr>
              <w:spacing w:before="0" w:after="60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>Unser gesamtes Team steht Ihnen bei Fragen jederzeit zur Verfügung.</w:t>
            </w:r>
          </w:p>
        </w:tc>
      </w:tr>
    </w:tbl>
    <w:p w14:paraId="370D3F5E"/>
    <w:sectPr>
      <w:headerReference r:id="rId3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4C2609"/>
    <w:rsid w:val="095274DB"/>
    <w:rsid w:val="0FFE7A40"/>
    <w:rsid w:val="10137392"/>
    <w:rsid w:val="10F442DE"/>
    <w:rsid w:val="15C64B46"/>
    <w:rsid w:val="32F31EA6"/>
    <w:rsid w:val="353B041A"/>
    <w:rsid w:val="5C46562F"/>
    <w:rsid w:val="5EC2745F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193</Words>
  <Characters>1314</Characters>
  <TotalTime>0</TotalTime>
  <ScaleCrop>false</ScaleCrop>
  <LinksUpToDate>false</LinksUpToDate>
  <CharactersWithSpaces>1489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2026-04-24T11:18:25Z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