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24001">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Magnetolitherapie</w:t>
      </w:r>
    </w:p>
    <w:p w14:paraId="733FD8FB">
      <w:pPr>
        <w:spacing w:before="0" w:after="40"/>
        <w:jc w:val="center"/>
      </w:pPr>
      <w:r>
        <w:rPr>
          <w:rFonts w:ascii="Calibri" w:hAnsi="Calibri" w:cs="Calibri"/>
          <w:color w:val="9A7B2F"/>
          <w:spacing w:val="80"/>
          <w:sz w:val="20"/>
          <w:szCs w:val="20"/>
        </w:rPr>
        <w:t>EMTT – Extrakorporale Magnetotransduktions-Therapie</w:t>
      </w:r>
    </w:p>
    <w:p w14:paraId="03C1B29B">
      <w:pPr>
        <w:spacing w:before="0" w:after="60"/>
        <w:jc w:val="center"/>
      </w:pPr>
      <w:r>
        <w:rPr>
          <w:rFonts w:ascii="Calibri" w:hAnsi="Calibri" w:cs="Calibri"/>
          <w:color w:val="auto"/>
          <w:spacing w:val="60"/>
          <w:sz w:val="24"/>
          <w:szCs w:val="24"/>
        </w:rPr>
        <w:t>Nahezu schmerzfrei  ·  Ambulant  ·  Tiefe Zellregeneration</w:t>
      </w:r>
    </w:p>
    <w:p w14:paraId="72E65A26">
      <w:pPr>
        <w:pBdr>
          <w:bottom w:val="single" w:color="DDD8CC" w:sz="2" w:space="1"/>
        </w:pBdr>
        <w:spacing w:before="0" w:after="0"/>
      </w:pPr>
    </w:p>
    <w:p w14:paraId="6D8C829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39F3243E">
      <w:pPr>
        <w:pStyle w:val="17"/>
        <w:spacing w:after="60"/>
      </w:pPr>
      <w:r>
        <w:t>Die Magnetolitherapie (EMTT) ist eine der jüngsten und vielversprechendsten Entwicklungen in der nichtinvasiven Muskel-Skelett-Medizin. Im Gegensatz zu klassischer Magnetfeldtherapie arbeitet EMTT mit hochfrequenten Pulsen (bis 300 kHz) und einer Feldstärke von bis zu 80 mT – Werte, die deutlich über konventionellen Geräten liegen und eine tiefere Gewebepenetration ermöglichen. Das Ergebnis ist eine Therapie, die nahezu vollständig schmerzfrei ist und keine Ausfallzeiten hinterlässt.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62E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068EF0E6">
            <w:pPr>
              <w:spacing w:before="0" w:after="60"/>
            </w:pPr>
            <w:r>
              <w:rPr>
                <w:rFonts w:ascii="Times New Roman" w:hAnsi="Times New Roman" w:cs="Times New Roman"/>
                <w:b/>
                <w:bCs/>
                <w:color w:val="1C1C1C"/>
                <w:sz w:val="26"/>
                <w:szCs w:val="26"/>
              </w:rPr>
              <w:t>Wie wirkt die Magnetolitherapie auf Zellebene?</w:t>
            </w:r>
          </w:p>
          <w:p w14:paraId="2D1D36DE">
            <w:pPr>
              <w:spacing w:before="0" w:after="40"/>
            </w:pPr>
            <w:r>
              <w:rPr>
                <w:sz w:val="24"/>
                <w:szCs w:val="24"/>
              </w:rPr>
              <w:t>Hochfrequente Magnetfelder induzieren elektrische Mikrostromflüsse im Gewebe. Diese aktivieren calcium-abhängige Signalwege in den Zellen – mit messbaren Folgen: Entzündungsmediatoren werden gehemmt, der Stoffwechsel in Osteoblasten und Sehnenzellen wird angeregt, Kollagensynthese und Knochenmineralisation beschleunigt. Die Wirkung ist tief, ohne die Haut zu belasten.</w:t>
            </w:r>
          </w:p>
          <w:p w14:paraId="1C43392E">
            <w:pPr>
              <w:spacing w:before="0" w:after="0"/>
            </w:pPr>
            <w:r>
              <w:rPr>
                <w:sz w:val="24"/>
                <w:szCs w:val="24"/>
              </w:rPr>
              <w:t xml:space="preserve">Eine Studie der Technischen Universität München (Gerdesmeyer et al., </w:t>
            </w:r>
            <w:r>
              <w:rPr>
                <w:i/>
                <w:iCs/>
                <w:sz w:val="24"/>
                <w:szCs w:val="24"/>
              </w:rPr>
              <w:t>Biomedicines</w:t>
            </w:r>
            <w:r>
              <w:rPr>
                <w:sz w:val="24"/>
                <w:szCs w:val="24"/>
              </w:rPr>
              <w:t xml:space="preserve"> 2024) zeigte erstmals, dass EMTT alle Phasen der Osteoblastogenese signifikant fördert: Schlüsselgene wie RUNX2 und COL1A1 wurden auf das Siebenfache hochreguliert. Gleichzeitig belegte eine randomisierte, placebokontrollierte Studie mit 126 Patienten (Hollander et al., 2025), dass EMTT bei Kniearthrose, Schultertendinopathie und Lendenwirbelarthrose signifikant Schmerzen reduziert und die körperliche Funktion verbessert.</w:t>
            </w:r>
          </w:p>
        </w:tc>
      </w:tr>
    </w:tbl>
    <w:p w14:paraId="2052B0CD">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007C690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7FD02FD">
            <w:pPr>
              <w:pBdr>
                <w:bottom w:val="single" w:color="D8C990" w:sz="2" w:space="2"/>
              </w:pBdr>
              <w:spacing w:before="0" w:after="80"/>
            </w:pPr>
            <w:r>
              <w:rPr>
                <w:rFonts w:ascii="Georgia" w:hAnsi="Georgia" w:cs="Georgia"/>
                <w:b/>
                <w:bCs/>
                <w:caps/>
                <w:color w:val="9A7B2F"/>
                <w:spacing w:val="60"/>
                <w:sz w:val="22"/>
                <w:szCs w:val="22"/>
              </w:rPr>
              <w:t>Ihre Vorteile</w:t>
            </w:r>
          </w:p>
          <w:p w14:paraId="2330BB60">
            <w:pPr>
              <w:pStyle w:val="19"/>
              <w:numPr>
                <w:ilvl w:val="0"/>
                <w:numId w:val="1"/>
              </w:numPr>
              <w:spacing w:before="30" w:after="30"/>
            </w:pPr>
            <w:r>
              <w:rPr>
                <w:rFonts w:ascii="Times New Roman" w:hAnsi="Times New Roman" w:cs="Times New Roman"/>
                <w:color w:val="1C1C1C"/>
                <w:sz w:val="24"/>
                <w:szCs w:val="24"/>
              </w:rPr>
              <w:t>Nahezu vollständig schmerzfrei</w:t>
            </w:r>
          </w:p>
          <w:p w14:paraId="3FC744DC">
            <w:pPr>
              <w:pStyle w:val="19"/>
              <w:numPr>
                <w:ilvl w:val="0"/>
                <w:numId w:val="1"/>
              </w:numPr>
              <w:spacing w:before="30" w:after="30"/>
            </w:pPr>
            <w:r>
              <w:rPr>
                <w:rFonts w:ascii="Times New Roman" w:hAnsi="Times New Roman" w:cs="Times New Roman"/>
                <w:color w:val="1C1C1C"/>
                <w:sz w:val="24"/>
                <w:szCs w:val="24"/>
              </w:rPr>
              <w:t>Tiefe Gewebewirkung ohne Hautbelastung</w:t>
            </w:r>
          </w:p>
          <w:p w14:paraId="3E9D5DBC">
            <w:pPr>
              <w:pStyle w:val="19"/>
              <w:numPr>
                <w:ilvl w:val="0"/>
                <w:numId w:val="1"/>
              </w:numPr>
              <w:spacing w:before="30" w:after="30"/>
            </w:pPr>
            <w:r>
              <w:rPr>
                <w:rFonts w:ascii="Times New Roman" w:hAnsi="Times New Roman" w:cs="Times New Roman"/>
                <w:color w:val="1C1C1C"/>
                <w:sz w:val="24"/>
                <w:szCs w:val="24"/>
              </w:rPr>
              <w:t>Regeneration auf Zellebene – wissenschaftlich belegt</w:t>
            </w:r>
          </w:p>
          <w:p w14:paraId="32F8C190">
            <w:pPr>
              <w:pStyle w:val="19"/>
              <w:numPr>
                <w:ilvl w:val="0"/>
                <w:numId w:val="1"/>
              </w:numPr>
              <w:spacing w:before="30" w:after="30"/>
            </w:pPr>
            <w:r>
              <w:rPr>
                <w:rFonts w:ascii="Times New Roman" w:hAnsi="Times New Roman" w:cs="Times New Roman"/>
                <w:color w:val="1C1C1C"/>
                <w:sz w:val="24"/>
                <w:szCs w:val="24"/>
              </w:rPr>
              <w:t>Entzündungshemmend &amp; schmerzlindernd</w:t>
            </w:r>
          </w:p>
          <w:p w14:paraId="58277E58">
            <w:pPr>
              <w:pStyle w:val="19"/>
              <w:numPr>
                <w:ilvl w:val="0"/>
                <w:numId w:val="1"/>
              </w:numPr>
              <w:spacing w:before="30" w:after="30"/>
            </w:pPr>
            <w:r>
              <w:rPr>
                <w:rFonts w:ascii="Times New Roman" w:hAnsi="Times New Roman" w:cs="Times New Roman"/>
                <w:color w:val="1C1C1C"/>
                <w:sz w:val="24"/>
                <w:szCs w:val="24"/>
              </w:rPr>
              <w:t>Keine Einschränkungen nach der Behandlung</w:t>
            </w:r>
          </w:p>
          <w:p w14:paraId="352075DA">
            <w:pPr>
              <w:pStyle w:val="19"/>
              <w:numPr>
                <w:ilvl w:val="0"/>
                <w:numId w:val="1"/>
              </w:numPr>
              <w:spacing w:before="30" w:after="30"/>
            </w:pPr>
            <w:r>
              <w:rPr>
                <w:rFonts w:ascii="Times New Roman" w:hAnsi="Times New Roman" w:cs="Times New Roman"/>
                <w:color w:val="1C1C1C"/>
                <w:sz w:val="24"/>
                <w:szCs w:val="24"/>
              </w:rPr>
              <w:t>Auch dopingkonform – für Leistungssportler</w:t>
            </w:r>
          </w:p>
          <w:p w14:paraId="53859680">
            <w:pPr>
              <w:pStyle w:val="19"/>
              <w:numPr>
                <w:ilvl w:val="0"/>
                <w:numId w:val="1"/>
              </w:numPr>
              <w:spacing w:before="30" w:after="30"/>
            </w:pPr>
            <w:r>
              <w:rPr>
                <w:rFonts w:ascii="Times New Roman" w:hAnsi="Times New Roman" w:cs="Times New Roman"/>
                <w:color w:val="1C1C1C"/>
                <w:sz w:val="24"/>
                <w:szCs w:val="24"/>
              </w:rPr>
              <w:t>Ideal kombinierbar mit ESWT (Seite 1)</w:t>
            </w:r>
          </w:p>
        </w:tc>
        <w:tc>
          <w:tcPr>
            <w:tcW w:w="240" w:type="dxa"/>
            <w:tcBorders>
              <w:top w:val="nil"/>
              <w:left w:val="nil"/>
              <w:bottom w:val="nil"/>
              <w:right w:val="nil"/>
            </w:tcBorders>
          </w:tcPr>
          <w:p w14:paraId="020E2725"/>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D14C36">
            <w:pPr>
              <w:pBdr>
                <w:bottom w:val="single" w:color="D8C990" w:sz="2" w:space="2"/>
              </w:pBdr>
              <w:spacing w:before="0" w:after="80"/>
            </w:pPr>
            <w:r>
              <w:rPr>
                <w:rFonts w:ascii="Georgia" w:hAnsi="Georgia" w:cs="Georgia"/>
                <w:b/>
                <w:bCs/>
                <w:caps/>
                <w:color w:val="9A7B2F"/>
                <w:spacing w:val="60"/>
                <w:sz w:val="22"/>
                <w:szCs w:val="22"/>
              </w:rPr>
              <w:t>Anwendungsgebiete</w:t>
            </w:r>
          </w:p>
          <w:p w14:paraId="4CA1364D">
            <w:pPr>
              <w:pStyle w:val="19"/>
              <w:numPr>
                <w:ilvl w:val="0"/>
                <w:numId w:val="1"/>
              </w:numPr>
              <w:spacing w:before="30" w:after="30"/>
            </w:pPr>
            <w:r>
              <w:rPr>
                <w:rFonts w:ascii="Times New Roman" w:hAnsi="Times New Roman" w:cs="Times New Roman"/>
                <w:color w:val="1C1C1C"/>
                <w:sz w:val="24"/>
                <w:szCs w:val="24"/>
              </w:rPr>
              <w:t>Chronische Schmerzen &amp; Muskelverspannungen</w:t>
            </w:r>
          </w:p>
          <w:p w14:paraId="7477E93B">
            <w:pPr>
              <w:pStyle w:val="19"/>
              <w:numPr>
                <w:ilvl w:val="0"/>
                <w:numId w:val="1"/>
              </w:numPr>
              <w:spacing w:before="30" w:after="30"/>
            </w:pPr>
            <w:r>
              <w:rPr>
                <w:rFonts w:ascii="Times New Roman" w:hAnsi="Times New Roman" w:cs="Times New Roman"/>
                <w:color w:val="1C1C1C"/>
                <w:sz w:val="24"/>
                <w:szCs w:val="24"/>
              </w:rPr>
              <w:t>Rückenschmerzen, Lumbalgie, Radikulopathien</w:t>
            </w:r>
          </w:p>
          <w:p w14:paraId="3C438258">
            <w:pPr>
              <w:pStyle w:val="19"/>
              <w:numPr>
                <w:ilvl w:val="0"/>
                <w:numId w:val="1"/>
              </w:numPr>
              <w:spacing w:before="30" w:after="30"/>
            </w:pPr>
            <w:r>
              <w:rPr>
                <w:rFonts w:ascii="Times New Roman" w:hAnsi="Times New Roman" w:cs="Times New Roman"/>
                <w:color w:val="1C1C1C"/>
                <w:sz w:val="24"/>
                <w:szCs w:val="24"/>
              </w:rPr>
              <w:t>Degenerative Gelenkerkrankungen &amp; Arthrose</w:t>
            </w:r>
          </w:p>
          <w:p w14:paraId="078D276E">
            <w:pPr>
              <w:pStyle w:val="19"/>
              <w:numPr>
                <w:ilvl w:val="0"/>
                <w:numId w:val="1"/>
              </w:numPr>
              <w:spacing w:before="30" w:after="30"/>
            </w:pPr>
            <w:r>
              <w:rPr>
                <w:rFonts w:ascii="Times New Roman" w:hAnsi="Times New Roman" w:cs="Times New Roman"/>
                <w:color w:val="1C1C1C"/>
                <w:sz w:val="24"/>
                <w:szCs w:val="24"/>
              </w:rPr>
              <w:t>Sportverletzungen &amp; nach Operationen</w:t>
            </w:r>
          </w:p>
          <w:p w14:paraId="6CD4328D">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1E16D3F1">
            <w:pPr>
              <w:pStyle w:val="19"/>
              <w:numPr>
                <w:ilvl w:val="0"/>
                <w:numId w:val="1"/>
              </w:numPr>
              <w:spacing w:before="30" w:after="30"/>
            </w:pPr>
            <w:r>
              <w:rPr>
                <w:rFonts w:ascii="Times New Roman" w:hAnsi="Times New Roman" w:cs="Times New Roman"/>
                <w:color w:val="1C1C1C"/>
                <w:sz w:val="24"/>
                <w:szCs w:val="24"/>
              </w:rPr>
              <w:t>Sehnenüberlastungssyndrome (nicht bei Implantaten*)</w:t>
            </w:r>
          </w:p>
        </w:tc>
      </w:tr>
    </w:tbl>
    <w:p w14:paraId="20BD7AED">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5639D04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113D9BD1">
            <w:pPr>
              <w:spacing w:before="0" w:after="40"/>
              <w:jc w:val="center"/>
            </w:pPr>
            <w:r>
              <w:rPr>
                <w:rFonts w:ascii="Calibri" w:hAnsi="Calibri" w:cs="Calibri"/>
                <w:b/>
                <w:bCs/>
                <w:caps/>
                <w:color w:val="9A7B2F"/>
                <w:spacing w:val="80"/>
                <w:sz w:val="15"/>
                <w:szCs w:val="15"/>
              </w:rPr>
              <w:t>BEHANDLUNGEN</w:t>
            </w:r>
          </w:p>
          <w:p w14:paraId="722B6526">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148D1789">
            <w:pPr>
              <w:spacing w:before="0" w:after="40"/>
              <w:jc w:val="center"/>
            </w:pPr>
            <w:r>
              <w:rPr>
                <w:rFonts w:ascii="Calibri" w:hAnsi="Calibri" w:cs="Calibri"/>
                <w:b/>
                <w:bCs/>
                <w:caps/>
                <w:color w:val="9A7B2F"/>
                <w:spacing w:val="80"/>
                <w:sz w:val="15"/>
                <w:szCs w:val="15"/>
              </w:rPr>
              <w:t>WIEDERHOLUNGEN</w:t>
            </w:r>
          </w:p>
          <w:p w14:paraId="402B6809">
            <w:pPr>
              <w:spacing w:before="0" w:after="0"/>
              <w:jc w:val="center"/>
            </w:pPr>
            <w:r>
              <w:rPr>
                <w:rFonts w:ascii="Georgia" w:hAnsi="Georgia" w:cs="Georgia"/>
                <w:color w:val="1C1C1C"/>
                <w:sz w:val="22"/>
                <w:szCs w:val="22"/>
              </w:rPr>
              <w:t>Alle 3–5 Tage  ·  ca. 8–10 Min. pro Sitzung</w:t>
            </w:r>
          </w:p>
        </w:tc>
      </w:tr>
    </w:tbl>
    <w:p w14:paraId="090DD934">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E22C5D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07CF309">
            <w:pPr>
              <w:spacing w:before="0" w:after="60"/>
            </w:pPr>
            <w:r>
              <w:rPr>
                <w:rFonts w:ascii="Georgia" w:hAnsi="Georgia" w:cs="Georgia"/>
                <w:b/>
                <w:bCs/>
                <w:color w:val="9A7B2F"/>
                <w:sz w:val="24"/>
                <w:szCs w:val="24"/>
              </w:rPr>
              <w:t xml:space="preserve">Hand in Hand – </w:t>
            </w:r>
            <w:r>
              <w:rPr>
                <w:rFonts w:ascii="Times New Roman" w:hAnsi="Times New Roman" w:cs="Times New Roman"/>
                <w:color w:val="3E3E3E"/>
                <w:sz w:val="24"/>
                <w:szCs w:val="24"/>
              </w:rPr>
              <w:t>ESWT und Magnetolitherapie: unser kombiniertes Therapiekonzept</w:t>
            </w:r>
          </w:p>
          <w:p w14:paraId="3FB17C90">
            <w:pPr>
              <w:spacing w:before="0" w:after="60"/>
            </w:pPr>
            <w:r>
              <w:rPr>
                <w:rFonts w:ascii="Times New Roman" w:hAnsi="Times New Roman" w:cs="Times New Roman"/>
                <w:color w:val="3E3E3E"/>
                <w:sz w:val="24"/>
                <w:szCs w:val="24"/>
              </w:rPr>
              <w:t xml:space="preserve">Bereits 2018 belegte eine prospektive, randomisierte Studie (Klüter et al., </w:t>
            </w:r>
            <w:r>
              <w:rPr>
                <w:rFonts w:ascii="Times New Roman" w:hAnsi="Times New Roman" w:cs="Times New Roman"/>
                <w:i/>
                <w:iCs/>
                <w:color w:val="3E3E3E"/>
                <w:sz w:val="24"/>
                <w:szCs w:val="24"/>
              </w:rPr>
              <w:t>Electromagnetic Biology and Medicine</w:t>
            </w:r>
            <w:r>
              <w:rPr>
                <w:rFonts w:ascii="Times New Roman" w:hAnsi="Times New Roman" w:cs="Times New Roman"/>
                <w:color w:val="3E3E3E"/>
                <w:sz w:val="24"/>
                <w:szCs w:val="24"/>
              </w:rPr>
              <w:t xml:space="preserve">) an 86 Patienten mit Rotatorenmanschettentendinopathie, dass die Kombination aus ESWT und EMTT der Einzeltherapie überlegen ist. Während die Stoßwelle mechanische Impulse setzt und Heilungsprozesse an der Gewebeoberfläche anstößt, vertieft die Magnetolitherapie die Wirkung auf Zellebene – durch Anregung der Osteoblastenaktivität, Kollagensynthese und Entzündungshemmung. Das Ergebnis dieser Kombination ist </w:t>
            </w:r>
            <w:r>
              <w:rPr>
                <w:rFonts w:ascii="Times New Roman" w:hAnsi="Times New Roman" w:cs="Times New Roman"/>
                <w:b/>
                <w:bCs/>
                <w:color w:val="3E3E3E"/>
                <w:sz w:val="24"/>
                <w:szCs w:val="24"/>
              </w:rPr>
              <w:t>mehr als die Summe beider Teile</w:t>
            </w:r>
            <w:r>
              <w:rPr>
                <w:rFonts w:ascii="Times New Roman" w:hAnsi="Times New Roman" w:cs="Times New Roman"/>
                <w:color w:val="3E3E3E"/>
                <w:sz w:val="24"/>
                <w:szCs w:val="24"/>
              </w:rPr>
              <w:t xml:space="preserve"> – rascher, nachhaltiger, schonender.</w:t>
            </w:r>
          </w:p>
          <w:p w14:paraId="43E9D276">
            <w:pPr>
              <w:spacing w:before="0" w:after="60"/>
            </w:pPr>
            <w:r>
              <w:rPr>
                <w:rFonts w:ascii="Georgia" w:hAnsi="Georgia" w:cs="Georgia"/>
                <w:b/>
                <w:bCs/>
                <w:color w:val="9A7B2F"/>
                <w:sz w:val="26"/>
                <w:szCs w:val="26"/>
              </w:rPr>
              <w:t>Für weitere Informationen und Terminvereinbarung stehen wir Ihnen jederzeit zur Verfügung.</w:t>
            </w:r>
          </w:p>
          <w:p w14:paraId="3FFE247E">
            <w:pPr>
              <w:spacing w:before="0" w:after="40"/>
            </w:pPr>
            <w:r>
              <w:rPr>
                <w:rFonts w:ascii="Calibri" w:hAnsi="Calibri" w:cs="Calibri"/>
                <w:i/>
                <w:iCs/>
                <w:color w:val="6A6056"/>
                <w:sz w:val="20"/>
                <w:szCs w:val="20"/>
              </w:rPr>
              <w:t>* Magnetolitherapie nicht geeignet bei Herzschrittmacher, Defibrillator, Hörgeräten oder nicht MR-täuglichen Implantaten.</w:t>
            </w:r>
          </w:p>
        </w:tc>
      </w:tr>
    </w:tbl>
    <w:p w14:paraId="5B51DECF">
      <w:pPr>
        <w:spacing w:before="0" w:after="0"/>
      </w:pPr>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486A0D67"/>
    <w:rsid w:val="5C46562F"/>
    <w:rsid w:val="5EC2745F"/>
    <w:rsid w:val="75B8423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714</Words>
  <Characters>5388</Characters>
  <TotalTime>0</TotalTime>
  <ScaleCrop>false</ScaleCrop>
  <LinksUpToDate>false</LinksUpToDate>
  <CharactersWithSpaces>6054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2026-04-27T14:16:25Z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E32CFC9DE2FD4EAB95BEC5DEFE28C68B_13</vt:lpwstr>
  </property>
</Properties>
</file>