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D287A">
      <w:pPr>
        <w:spacing w:before="120" w:after="30"/>
        <w:jc w:val="center"/>
        <w:rPr>
          <w:rFonts w:ascii="Georgia" w:hAnsi="Georgia" w:cs="Georgia"/>
          <w:color w:val="101010"/>
          <w:sz w:val="20"/>
          <w:szCs w:val="20"/>
        </w:rPr>
      </w:pPr>
    </w:p>
    <w:p w14:paraId="4F534A61">
      <w:pPr>
        <w:spacing w:before="120" w:after="30"/>
        <w:jc w:val="center"/>
      </w:pPr>
      <w:r>
        <w:rPr>
          <w:rFonts w:ascii="Georgia" w:hAnsi="Georgia" w:cs="Georgia"/>
          <w:color w:val="101010"/>
          <w:sz w:val="38"/>
          <w:szCs w:val="38"/>
        </w:rPr>
        <w:t xml:space="preserve">Nachbehandlung bei </w:t>
      </w:r>
      <w:r>
        <w:rPr>
          <w:rFonts w:ascii="Georgia" w:hAnsi="Georgia" w:cs="Georgia"/>
          <w:color w:val="B8952A"/>
          <w:sz w:val="38"/>
          <w:szCs w:val="38"/>
        </w:rPr>
        <w:t>Achillessehnenrekonstruktion</w:t>
      </w:r>
    </w:p>
    <w:p w14:paraId="1FCE140E">
      <w:pPr>
        <w:spacing w:before="0" w:after="60"/>
        <w:jc w:val="center"/>
      </w:pPr>
      <w:r>
        <w:rPr>
          <w:rFonts w:ascii="Calibri" w:hAnsi="Calibri" w:cs="Calibri"/>
          <w:color w:val="auto"/>
          <w:spacing w:val="60"/>
          <w:sz w:val="24"/>
          <w:szCs w:val="24"/>
        </w:rPr>
        <w:t>Combing der Achillessehne mit Abtragung von Exostosen</w:t>
      </w:r>
    </w:p>
    <w:p w14:paraId="3DF37DA5">
      <w:pPr>
        <w:pBdr>
          <w:bottom w:val="single" w:color="DDD8CC" w:sz="2" w:space="1"/>
        </w:pBdr>
        <w:spacing w:before="0" w:after="0"/>
      </w:pPr>
    </w:p>
    <w:p w14:paraId="1A125076">
      <w:pPr>
        <w:spacing w:before="20" w:after="0"/>
        <w:rPr>
          <w:rFonts w:ascii="Times New Roman" w:hAnsi="Times New Roman" w:cs="Times New Roman"/>
          <w:b/>
          <w:bCs/>
          <w:color w:val="1C1C1C"/>
          <w:sz w:val="24"/>
          <w:szCs w:val="24"/>
        </w:rPr>
      </w:pPr>
    </w:p>
    <w:p w14:paraId="7AE74B09">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739978FD">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7BF32D5D">
      <w:pPr>
        <w:pStyle w:val="17"/>
        <w:spacing w:after="60"/>
        <w:jc w:val="both"/>
      </w:pPr>
      <w:r>
        <w:t xml:space="preserve">Bei Ihnen ist eine </w:t>
      </w:r>
      <w:r>
        <w:rPr>
          <w:b/>
          <w:bCs/>
        </w:rPr>
        <w:t>Rekonstruktion der Achillessehne</w:t>
      </w:r>
      <w:r>
        <w:t xml:space="preserve"> durchgeführt worden. Folgende Empfehlungen sind für Sie unterstützend als Merkhilfe und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52DF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1182FCC">
            <w:pPr>
              <w:spacing w:before="0" w:after="60"/>
            </w:pPr>
            <w:r>
              <w:rPr>
                <w:rFonts w:ascii="Times New Roman" w:hAnsi="Times New Roman" w:cs="Times New Roman"/>
                <w:b/>
                <w:bCs/>
                <w:color w:val="1C1C1C"/>
                <w:sz w:val="26"/>
                <w:szCs w:val="26"/>
              </w:rPr>
              <w:t>Allgemeine Hinweise direkt nach der OP</w:t>
            </w:r>
          </w:p>
          <w:p w14:paraId="78CFFBF4">
            <w:pPr>
              <w:spacing w:before="0" w:after="40"/>
              <w:jc w:val="both"/>
            </w:pPr>
            <w:r>
              <w:rPr>
                <w:sz w:val="24"/>
                <w:szCs w:val="24"/>
              </w:rPr>
              <w:t xml:space="preserve">Aktives Strecken in Kombination mit </w:t>
            </w:r>
            <w:r>
              <w:rPr>
                <w:b/>
                <w:bCs/>
                <w:sz w:val="24"/>
                <w:szCs w:val="24"/>
              </w:rPr>
              <w:t>Hochlagerung und Kühlung</w:t>
            </w:r>
            <w:r>
              <w:rPr>
                <w:sz w:val="24"/>
                <w:szCs w:val="24"/>
              </w:rPr>
              <w:t xml:space="preserve"> stehen im Vordergrund. Bitte verwenden Sie die ersten </w:t>
            </w:r>
            <w:r>
              <w:rPr>
                <w:b/>
                <w:bCs/>
                <w:sz w:val="24"/>
                <w:szCs w:val="24"/>
              </w:rPr>
              <w:t>14 Tage unterstützend die Krücken</w:t>
            </w:r>
            <w:r>
              <w:rPr>
                <w:sz w:val="24"/>
                <w:szCs w:val="24"/>
              </w:rPr>
              <w:t xml:space="preserve"> und peilen Sie eine Teilbelastung mit halbem Körpergewicht an.</w:t>
            </w:r>
          </w:p>
          <w:p w14:paraId="3CFC8C1A">
            <w:pPr>
              <w:spacing w:before="0" w:after="0"/>
              <w:jc w:val="both"/>
            </w:pPr>
            <w:r>
              <w:rPr>
                <w:sz w:val="24"/>
                <w:szCs w:val="24"/>
              </w:rPr>
              <w:t xml:space="preserve">Ihnen wurde ein </w:t>
            </w:r>
            <w:r>
              <w:rPr>
                <w:b/>
                <w:bCs/>
                <w:sz w:val="24"/>
                <w:szCs w:val="24"/>
              </w:rPr>
              <w:t>Aircastwalker mit 2–3 Keilen</w:t>
            </w:r>
            <w:r>
              <w:rPr>
                <w:sz w:val="24"/>
                <w:szCs w:val="24"/>
              </w:rPr>
              <w:t xml:space="preserve"> angepasst. Dieser sollte für </w:t>
            </w:r>
            <w:r>
              <w:rPr>
                <w:b/>
                <w:bCs/>
                <w:sz w:val="24"/>
                <w:szCs w:val="24"/>
              </w:rPr>
              <w:t>6 Wochen</w:t>
            </w:r>
            <w:r>
              <w:rPr>
                <w:rFonts w:hint="default"/>
                <w:b/>
                <w:bCs/>
                <w:sz w:val="24"/>
                <w:szCs w:val="24"/>
                <w:lang w:val="de-DE"/>
              </w:rPr>
              <w:t xml:space="preserve">, </w:t>
            </w:r>
            <w:r>
              <w:rPr>
                <w:b/>
                <w:bCs/>
                <w:sz w:val="24"/>
                <w:szCs w:val="24"/>
              </w:rPr>
              <w:t>Tag und Nacht</w:t>
            </w:r>
            <w:r>
              <w:rPr>
                <w:sz w:val="24"/>
                <w:szCs w:val="24"/>
              </w:rPr>
              <w:t xml:space="preserve"> getragen werden. Es wird empfohlen, den </w:t>
            </w:r>
            <w:r>
              <w:rPr>
                <w:b/>
                <w:bCs/>
                <w:sz w:val="24"/>
                <w:szCs w:val="24"/>
              </w:rPr>
              <w:t xml:space="preserve">Aircastwalker </w:t>
            </w:r>
            <w:r>
              <w:rPr>
                <w:sz w:val="24"/>
                <w:szCs w:val="24"/>
              </w:rPr>
              <w:t>regelmäßig zu öffnen und den Fuß zu lüften.</w:t>
            </w:r>
          </w:p>
        </w:tc>
      </w:tr>
    </w:tbl>
    <w:p w14:paraId="441D0B2A">
      <w:pPr>
        <w:spacing w:before="180" w:after="0"/>
      </w:pPr>
    </w:p>
    <w:tbl>
      <w:tblPr>
        <w:tblStyle w:val="9"/>
        <w:tblW w:w="10173"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73"/>
      </w:tblGrid>
      <w:tr w14:paraId="7100C18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7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A24E14E">
            <w:pPr>
              <w:pBdr>
                <w:bottom w:val="single" w:color="D8C990" w:sz="2" w:space="2"/>
              </w:pBdr>
              <w:spacing w:before="0" w:after="80"/>
            </w:pPr>
            <w:r>
              <w:rPr>
                <w:rFonts w:ascii="Georgia" w:hAnsi="Georgia" w:cs="Georgia"/>
                <w:b/>
                <w:bCs/>
                <w:caps/>
                <w:color w:val="9A7B2F"/>
                <w:spacing w:val="60"/>
                <w:sz w:val="22"/>
                <w:szCs w:val="22"/>
              </w:rPr>
              <w:t>1. Woche</w:t>
            </w:r>
          </w:p>
          <w:p w14:paraId="1D812694">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5A1323B2">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Zu Hause: Coolpacks und Hochlagerung des Beines. Duschpflaster regelmäßig nach Bedarf wechsel</w:t>
            </w:r>
            <w:r>
              <w:rPr>
                <w:rFonts w:hint="default" w:cs="Times New Roman"/>
                <w:color w:val="1C1C1C"/>
                <w:sz w:val="24"/>
                <w:szCs w:val="24"/>
                <w:lang w:val="de-DE"/>
              </w:rPr>
              <w:t>n</w:t>
            </w:r>
            <w:r>
              <w:rPr>
                <w:rFonts w:ascii="Times New Roman" w:hAnsi="Times New Roman" w:cs="Times New Roman"/>
                <w:color w:val="1C1C1C"/>
                <w:sz w:val="24"/>
                <w:szCs w:val="24"/>
              </w:rPr>
              <w:t>.</w:t>
            </w:r>
          </w:p>
          <w:p w14:paraId="4F4B7C97">
            <w:pPr>
              <w:pBdr>
                <w:top w:val="single" w:color="D8C990" w:sz="2" w:space="2"/>
                <w:bottom w:val="single" w:color="D8C990" w:sz="2" w:space="2"/>
              </w:pBdr>
              <w:spacing w:before="60" w:after="80"/>
            </w:pPr>
            <w:r>
              <w:rPr>
                <w:rFonts w:ascii="Georgia" w:hAnsi="Georgia" w:cs="Georgia"/>
                <w:b/>
                <w:bCs/>
                <w:caps/>
                <w:color w:val="9A7B2F"/>
                <w:spacing w:val="60"/>
                <w:sz w:val="22"/>
                <w:szCs w:val="22"/>
              </w:rPr>
              <w:t>2. Woche</w:t>
            </w:r>
          </w:p>
          <w:p w14:paraId="241047D4">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 5 Behandlungen in der Ordination.</w:t>
            </w:r>
          </w:p>
          <w:p w14:paraId="315755A9">
            <w:pPr>
              <w:pBdr>
                <w:top w:val="single" w:color="D8C990" w:sz="2" w:space="2"/>
                <w:bottom w:val="single" w:color="D8C990" w:sz="2" w:space="2"/>
              </w:pBdr>
              <w:spacing w:before="60" w:after="80"/>
              <w:rPr>
                <w:rFonts w:hint="default"/>
                <w:lang w:val="de-DE"/>
              </w:rPr>
            </w:pPr>
            <w:r>
              <w:rPr>
                <w:rFonts w:hint="default" w:ascii="Georgia" w:hAnsi="Georgia" w:cs="Georgia"/>
                <w:b/>
                <w:bCs/>
                <w:caps/>
                <w:color w:val="9A7B2F"/>
                <w:spacing w:val="60"/>
                <w:sz w:val="22"/>
                <w:szCs w:val="22"/>
                <w:lang w:val="de-DE"/>
              </w:rPr>
              <w:t>N</w:t>
            </w:r>
            <w:r>
              <w:rPr>
                <w:rFonts w:ascii="Georgia" w:hAnsi="Georgia" w:cs="Georgia"/>
                <w:b/>
                <w:bCs/>
                <w:caps/>
                <w:color w:val="9A7B2F"/>
                <w:spacing w:val="60"/>
                <w:sz w:val="22"/>
                <w:szCs w:val="22"/>
              </w:rPr>
              <w:t>ach 6 Wochen</w:t>
            </w:r>
          </w:p>
          <w:p w14:paraId="081F2864">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 xml:space="preserve">Abnahme des Aircastwalkers und Beginn mit </w:t>
            </w:r>
            <w:r>
              <w:rPr>
                <w:rFonts w:ascii="Times New Roman" w:hAnsi="Times New Roman" w:cs="Times New Roman"/>
                <w:b/>
                <w:bCs/>
                <w:color w:val="1C1C1C"/>
                <w:sz w:val="24"/>
                <w:szCs w:val="24"/>
              </w:rPr>
              <w:t>muskelaufbauenden Kraft- und Stabilisierungs</w:t>
            </w:r>
            <w:r>
              <w:rPr>
                <w:rFonts w:hint="default" w:cs="Times New Roman"/>
                <w:b/>
                <w:bCs/>
                <w:color w:val="1C1C1C"/>
                <w:sz w:val="24"/>
                <w:szCs w:val="24"/>
                <w:lang w:val="de-DE"/>
              </w:rPr>
              <w:t>-</w:t>
            </w:r>
            <w:r>
              <w:rPr>
                <w:rFonts w:ascii="Times New Roman" w:hAnsi="Times New Roman" w:cs="Times New Roman"/>
                <w:b/>
                <w:bCs/>
                <w:color w:val="1C1C1C"/>
                <w:sz w:val="24"/>
                <w:szCs w:val="24"/>
              </w:rPr>
              <w:t>übungen</w:t>
            </w:r>
            <w:r>
              <w:rPr>
                <w:rFonts w:ascii="Times New Roman" w:hAnsi="Times New Roman" w:cs="Times New Roman"/>
                <w:color w:val="1C1C1C"/>
                <w:sz w:val="24"/>
                <w:szCs w:val="24"/>
              </w:rPr>
              <w:t xml:space="preserve"> unter Anleitung der </w:t>
            </w:r>
            <w:r>
              <w:rPr>
                <w:rFonts w:hint="default" w:cs="Times New Roman"/>
                <w:b w:val="0"/>
                <w:bCs w:val="0"/>
                <w:color w:val="1C1C1C"/>
                <w:sz w:val="24"/>
                <w:szCs w:val="24"/>
                <w:lang w:val="de-DE"/>
              </w:rPr>
              <w:t>Physiot</w:t>
            </w:r>
            <w:r>
              <w:rPr>
                <w:rFonts w:ascii="Times New Roman" w:hAnsi="Times New Roman" w:cs="Times New Roman"/>
                <w:b w:val="0"/>
                <w:bCs w:val="0"/>
                <w:color w:val="1C1C1C"/>
                <w:sz w:val="24"/>
                <w:szCs w:val="24"/>
              </w:rPr>
              <w:t xml:space="preserve">herapeuten und </w:t>
            </w:r>
            <w:r>
              <w:rPr>
                <w:rFonts w:hint="default" w:cs="Times New Roman"/>
                <w:b w:val="0"/>
                <w:bCs w:val="0"/>
                <w:color w:val="1C1C1C"/>
                <w:sz w:val="24"/>
                <w:szCs w:val="24"/>
                <w:lang w:val="de-DE"/>
              </w:rPr>
              <w:t>Physiot</w:t>
            </w:r>
            <w:r>
              <w:rPr>
                <w:rFonts w:ascii="Times New Roman" w:hAnsi="Times New Roman" w:cs="Times New Roman"/>
                <w:b w:val="0"/>
                <w:bCs w:val="0"/>
                <w:color w:val="1C1C1C"/>
                <w:sz w:val="24"/>
                <w:szCs w:val="24"/>
              </w:rPr>
              <w:t>herapeut</w:t>
            </w:r>
            <w:r>
              <w:rPr>
                <w:rFonts w:hint="default" w:cs="Times New Roman"/>
                <w:b w:val="0"/>
                <w:bCs w:val="0"/>
                <w:color w:val="1C1C1C"/>
                <w:sz w:val="24"/>
                <w:szCs w:val="24"/>
                <w:lang w:val="de-DE"/>
              </w:rPr>
              <w:t>innen</w:t>
            </w:r>
            <w:r>
              <w:rPr>
                <w:rFonts w:ascii="Times New Roman" w:hAnsi="Times New Roman" w:cs="Times New Roman"/>
                <w:b w:val="0"/>
                <w:bCs w:val="0"/>
                <w:color w:val="1C1C1C"/>
                <w:sz w:val="24"/>
                <w:szCs w:val="24"/>
              </w:rPr>
              <w:t>.</w:t>
            </w:r>
          </w:p>
          <w:p w14:paraId="6EFC4EC8">
            <w:pPr>
              <w:spacing w:before="30" w:after="60"/>
              <w:rPr>
                <w:rFonts w:ascii="Times New Roman" w:hAnsi="Times New Roman" w:cs="Times New Roman"/>
                <w:color w:val="1C1C1C"/>
                <w:sz w:val="24"/>
                <w:szCs w:val="24"/>
              </w:rPr>
            </w:pPr>
          </w:p>
          <w:p w14:paraId="56DC0865">
            <w:pPr>
              <w:pBdr>
                <w:top w:val="single" w:color="D8C990" w:sz="2" w:space="2"/>
                <w:bottom w:val="single" w:color="D8C990" w:sz="2" w:space="2"/>
              </w:pBdr>
              <w:spacing w:before="60" w:after="80"/>
            </w:pPr>
            <w:r>
              <w:rPr>
                <w:rFonts w:ascii="Georgia" w:hAnsi="Georgia" w:cs="Georgia"/>
                <w:b/>
                <w:bCs/>
                <w:caps/>
                <w:color w:val="9A7B2F"/>
                <w:spacing w:val="60"/>
                <w:sz w:val="22"/>
                <w:szCs w:val="22"/>
              </w:rPr>
              <w:t>Aircastwalker – Hinweis</w:t>
            </w:r>
          </w:p>
          <w:p w14:paraId="02016607">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Gesamttragedauer: </w:t>
            </w:r>
            <w:r>
              <w:rPr>
                <w:rFonts w:ascii="Times New Roman" w:hAnsi="Times New Roman" w:cs="Times New Roman"/>
                <w:b/>
                <w:bCs/>
                <w:color w:val="1C1C1C"/>
                <w:sz w:val="24"/>
                <w:szCs w:val="24"/>
              </w:rPr>
              <w:t>6 Wochen Tag und Nacht.</w:t>
            </w:r>
            <w:r>
              <w:rPr>
                <w:rFonts w:ascii="Times New Roman" w:hAnsi="Times New Roman" w:cs="Times New Roman"/>
                <w:color w:val="1C1C1C"/>
                <w:sz w:val="24"/>
                <w:szCs w:val="24"/>
              </w:rPr>
              <w:t xml:space="preserve"> Regelmäßiges Öffnen und Lüften des Fußes empfohlen. 2–3 Keile bleiben bis zur Abnahme eingelegt.</w:t>
            </w:r>
          </w:p>
        </w:tc>
      </w:tr>
    </w:tbl>
    <w:p w14:paraId="08D17C7A">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957C148">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3D778467">
            <w:pPr>
              <w:spacing w:before="0" w:after="60"/>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Endergebnisses. Es wird bei den genannten Sportarten kein Anspruch auf Vollständigkeit erhoben.</w:t>
            </w:r>
          </w:p>
          <w:p w14:paraId="7253409B">
            <w:pPr>
              <w:spacing w:before="0" w:after="60"/>
            </w:pPr>
            <w:r>
              <w:rPr>
                <w:rFonts w:ascii="Georgia" w:hAnsi="Georgia" w:cs="Georgia"/>
                <w:b/>
                <w:bCs/>
                <w:color w:val="9A7B2F"/>
                <w:sz w:val="26"/>
                <w:szCs w:val="26"/>
              </w:rPr>
              <w:t>Unser gesamtes Team steht Ihnen bei Fragen jederzeit zur Verfügung.</w:t>
            </w:r>
          </w:p>
        </w:tc>
      </w:tr>
    </w:tbl>
    <w:p w14:paraId="43A3B0B8">
      <w:bookmarkStart w:id="0" w:name="_GoBack"/>
      <w:bookmarkEnd w:id="0"/>
    </w:p>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32F31EA6"/>
    <w:rsid w:val="353B041A"/>
    <w:rsid w:val="40F36538"/>
    <w:rsid w:val="59C778E7"/>
    <w:rsid w:val="5C46562F"/>
    <w:rsid w:val="5EC2745F"/>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252</Words>
  <Characters>1617</Characters>
  <TotalTime>0</TotalTime>
  <ScaleCrop>false</ScaleCrop>
  <LinksUpToDate>false</LinksUpToDate>
  <CharactersWithSpaces>1851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2026-04-24T14:53:09Z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D475E1658C1D480DA1043505A6FCA1DB_13</vt:lpwstr>
  </property>
</Properties>
</file>