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C1146">
      <w:pPr>
        <w:spacing w:before="120" w:after="40"/>
        <w:jc w:val="center"/>
        <w:rPr>
          <w:rFonts w:hint="default" w:ascii="Georgia" w:hAnsi="Georgia" w:cs="Georgia"/>
          <w:color w:val="101010"/>
          <w:sz w:val="20"/>
          <w:szCs w:val="20"/>
          <w:lang w:val="de-DE"/>
        </w:rPr>
      </w:pPr>
    </w:p>
    <w:p w14:paraId="0077FF01">
      <w:pPr>
        <w:spacing w:before="120" w:after="40"/>
        <w:jc w:val="center"/>
      </w:pPr>
      <w:r>
        <w:rPr>
          <w:rFonts w:hint="default" w:ascii="Georgia" w:hAnsi="Georgia" w:cs="Georgia"/>
          <w:color w:val="101010"/>
          <w:sz w:val="44"/>
          <w:szCs w:val="44"/>
          <w:lang w:val="de-DE"/>
        </w:rPr>
        <w:t>Arthroskopie des</w:t>
      </w:r>
      <w:r>
        <w:rPr>
          <w:rFonts w:ascii="Georgia" w:hAnsi="Georgia" w:cs="Georgia"/>
          <w:color w:val="101010"/>
          <w:sz w:val="44"/>
          <w:szCs w:val="44"/>
        </w:rPr>
        <w:t xml:space="preserve"> </w:t>
      </w:r>
      <w:r>
        <w:rPr>
          <w:rFonts w:hint="default" w:ascii="Georgia" w:hAnsi="Georgia" w:cs="Georgia"/>
          <w:color w:val="B8952A"/>
          <w:sz w:val="44"/>
          <w:szCs w:val="44"/>
          <w:lang w:val="de-DE"/>
        </w:rPr>
        <w:t>Schultergelenks</w:t>
      </w:r>
    </w:p>
    <w:p w14:paraId="481BFF01">
      <w:pPr>
        <w:pBdr>
          <w:bottom w:val="single" w:color="DDD8CC" w:sz="2" w:space="1"/>
        </w:pBdr>
        <w:spacing w:before="0" w:after="0"/>
      </w:pPr>
    </w:p>
    <w:p w14:paraId="3F816EA1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34F344EF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50FFFF01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4BDE5E1D">
      <w:pPr>
        <w:pStyle w:val="17"/>
        <w:spacing w:after="60"/>
      </w:pPr>
      <w:r>
        <w:t xml:space="preserve">Bei Ihnen wurde folgender Eingriff durchgeführt: </w:t>
      </w:r>
      <w:r>
        <w:rPr>
          <w:b/>
          <w:bCs/>
        </w:rPr>
        <w:t>Arthroskopie des Schultergelenks.</w:t>
      </w:r>
      <w:r>
        <w:t xml:space="preserve"> </w:t>
      </w:r>
    </w:p>
    <w:p w14:paraId="2869FF01">
      <w:pPr>
        <w:pStyle w:val="17"/>
        <w:spacing w:after="60"/>
      </w:pPr>
      <w:r>
        <w:t>Hier sind für Sie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0DAE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4FF01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Sofortmaßnahmen in den ersten Tagen</w:t>
            </w:r>
            <w:bookmarkStart w:id="0" w:name="_GoBack"/>
            <w:bookmarkEnd w:id="0"/>
          </w:p>
          <w:p w14:paraId="4631FF01">
            <w:pPr>
              <w:spacing w:before="0" w:after="40"/>
              <w:jc w:val="both"/>
            </w:pPr>
            <w:r>
              <w:rPr>
                <w:sz w:val="24"/>
                <w:szCs w:val="24"/>
              </w:rPr>
              <w:t xml:space="preserve">Auflegen von Eispackungen/Gel-Coolpacks </w:t>
            </w:r>
            <w:r>
              <w:rPr>
                <w:b/>
                <w:bCs/>
                <w:sz w:val="24"/>
                <w:szCs w:val="24"/>
              </w:rPr>
              <w:t>(3× täglich, 20 Minuten, nicht direkt auf die Haut)</w:t>
            </w:r>
            <w:r>
              <w:rPr>
                <w:sz w:val="24"/>
                <w:szCs w:val="24"/>
              </w:rPr>
              <w:t xml:space="preserve"> sowie Durchführung isometrischer Spannungsübungen der Muskulatur.</w:t>
            </w:r>
          </w:p>
          <w:p w14:paraId="4631FF02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 xml:space="preserve">Bitte tragen Sie Ihre Verbandsanordnung bis zur ersten Kontrolle in unserer Ordination </w:t>
            </w:r>
            <w:r>
              <w:rPr>
                <w:b/>
                <w:bCs/>
                <w:sz w:val="24"/>
                <w:szCs w:val="24"/>
              </w:rPr>
              <w:t>konsequent Tag und Nacht.</w:t>
            </w:r>
          </w:p>
        </w:tc>
      </w:tr>
    </w:tbl>
    <w:p w14:paraId="13DEFF01">
      <w:pPr>
        <w:spacing w:before="180" w:after="0"/>
      </w:pPr>
    </w:p>
    <w:tbl>
      <w:tblPr>
        <w:tblStyle w:val="9"/>
        <w:tblW w:w="1019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0"/>
      </w:tblGrid>
      <w:tr w14:paraId="1662FF0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90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1FF01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4ED4FF0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unser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4ED4FF0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 xml:space="preserve">Stoßwellentherapie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sowie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Magnetolith-Therapie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Heilung</w:t>
            </w:r>
          </w:p>
          <w:p w14:paraId="4ED4FF0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Beweglichkeit</w:t>
            </w:r>
          </w:p>
          <w:p w14:paraId="4D9E7BD5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10–14 Tage nach OP (bei nicht resorbierbaren Nähten)</w:t>
            </w:r>
          </w:p>
          <w:p w14:paraId="03E0AE8A">
            <w:pPr>
              <w:pStyle w:val="19"/>
              <w:numPr>
                <w:ilvl w:val="0"/>
                <w:numId w:val="0"/>
              </w:numPr>
              <w:spacing w:before="30" w:after="30"/>
              <w:ind w:left="140" w:leftChars="0"/>
            </w:pPr>
          </w:p>
        </w:tc>
      </w:tr>
      <w:tr w14:paraId="4C8BDD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90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56DE1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78A92535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0057C468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4DCB2D4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- </w:t>
            </w:r>
            <w:r>
              <w:rPr>
                <w:rFonts w:ascii="Times New Roman" w:hAnsi="Times New Roman" w:cs="Times New Roman"/>
                <w:color w:val="1C1C1C"/>
                <w:sz w:val="22"/>
                <w:szCs w:val="22"/>
              </w:rPr>
              <w:t>solange ein Schmerzmittel eingenommen wird</w:t>
            </w:r>
          </w:p>
          <w:p w14:paraId="5677CD77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oltaren 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- </w:t>
            </w:r>
            <w:r>
              <w:rPr>
                <w:rFonts w:hint="default" w:cs="Times New Roman"/>
                <w:color w:val="1C1C1C"/>
                <w:sz w:val="22"/>
                <w:szCs w:val="22"/>
                <w:lang w:val="de-DE"/>
              </w:rPr>
              <w:t>für di</w:t>
            </w:r>
            <w:r>
              <w:rPr>
                <w:rFonts w:ascii="Times New Roman" w:hAnsi="Times New Roman" w:cs="Times New Roman"/>
                <w:color w:val="1C1C1C"/>
                <w:sz w:val="22"/>
                <w:szCs w:val="22"/>
              </w:rPr>
              <w:t>e ersten 2 Tage, dann nur bei Bedarf</w:t>
            </w:r>
          </w:p>
        </w:tc>
      </w:tr>
    </w:tbl>
    <w:p w14:paraId="5EE44F29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1162FF01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3FF01">
            <w:pPr>
              <w:spacing w:before="0" w:after="60"/>
              <w:jc w:val="both"/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Schultergelenks: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6329FF01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7DA5FF01"/>
    <w:p w14:paraId="2546897E"/>
    <w:p w14:paraId="3A1F5216"/>
    <w:p w14:paraId="1FACB830"/>
    <w:p w14:paraId="26246B78"/>
    <w:p w14:paraId="5FDAF2D4"/>
    <w:p w14:paraId="2B293CF0"/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086A6660"/>
    <w:rsid w:val="10F442DE"/>
    <w:rsid w:val="15C64B46"/>
    <w:rsid w:val="22F308F7"/>
    <w:rsid w:val="32F31EA6"/>
    <w:rsid w:val="353B041A"/>
    <w:rsid w:val="5C46562F"/>
    <w:rsid w:val="5EC2745F"/>
    <w:rsid w:val="6E780D77"/>
    <w:rsid w:val="745E5EC1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170</Words>
  <Characters>1173</Characters>
  <TotalTime>0</TotalTime>
  <ScaleCrop>false</ScaleCrop>
  <LinksUpToDate>false</LinksUpToDate>
  <CharactersWithSpaces>1329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2026-04-23T19:57:21Z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