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746EE">
      <w:pPr>
        <w:spacing w:before="120" w:after="40"/>
        <w:jc w:val="center"/>
      </w:pPr>
      <w:r>
        <w:rPr>
          <w:rFonts w:ascii="Georgia" w:hAnsi="Georgia" w:cs="Georgia"/>
          <w:color w:val="101010"/>
          <w:sz w:val="44"/>
          <w:szCs w:val="44"/>
        </w:rPr>
        <w:t xml:space="preserve">Nachbehandlung nach </w:t>
      </w:r>
      <w:r>
        <w:rPr>
          <w:rFonts w:ascii="Georgia" w:hAnsi="Georgia" w:cs="Georgia"/>
          <w:color w:val="B8952A"/>
          <w:sz w:val="44"/>
          <w:szCs w:val="44"/>
        </w:rPr>
        <w:t>Arthroskopie</w:t>
      </w:r>
    </w:p>
    <w:p w14:paraId="7C5CE2B2">
      <w:pPr>
        <w:spacing w:before="0" w:after="60"/>
        <w:jc w:val="center"/>
      </w:pPr>
      <w:r>
        <w:rPr>
          <w:rFonts w:ascii="Calibri" w:hAnsi="Calibri" w:cs="Calibri"/>
          <w:color w:val="auto"/>
          <w:spacing w:val="60"/>
          <w:sz w:val="24"/>
          <w:szCs w:val="24"/>
        </w:rPr>
        <w:t xml:space="preserve">des </w:t>
      </w:r>
      <w:r>
        <w:rPr>
          <w:rFonts w:hint="default" w:ascii="Georgia" w:hAnsi="Georgia" w:cs="Georgia"/>
          <w:color w:val="auto"/>
          <w:spacing w:val="60"/>
          <w:sz w:val="44"/>
          <w:szCs w:val="44"/>
        </w:rPr>
        <w:t>Schultergelenks</w:t>
      </w:r>
    </w:p>
    <w:p w14:paraId="0FA159F3">
      <w:pPr>
        <w:pBdr>
          <w:bottom w:val="single" w:color="DDD8CC" w:sz="2" w:space="1"/>
        </w:pBdr>
        <w:spacing w:before="0" w:after="0"/>
      </w:pPr>
    </w:p>
    <w:p w14:paraId="2A75B76A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</w:p>
    <w:p w14:paraId="2F85C947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 xml:space="preserve">Liebe Patientin, </w:t>
      </w:r>
    </w:p>
    <w:p w14:paraId="6C04AF17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hint="default" w:cs="Times New Roman"/>
          <w:b/>
          <w:bCs/>
          <w:color w:val="1C1C1C"/>
          <w:sz w:val="24"/>
          <w:szCs w:val="24"/>
          <w:lang w:val="de-DE"/>
        </w:rPr>
        <w:t>L</w:t>
      </w: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ieber Patient,</w:t>
      </w:r>
    </w:p>
    <w:p w14:paraId="4B787B82">
      <w:pPr>
        <w:pStyle w:val="17"/>
        <w:spacing w:after="60"/>
        <w:jc w:val="both"/>
      </w:pPr>
      <w:r>
        <w:t>Bei Ihnen ist eine Arthroskopie des Schultergelenks durchgeführt worden. Folgende Empfehlungen sind für Sie unterstützend als Merkhilfe und Orientierung gedacht, um den Heilungsverlauf positiv zu beeinflussen.</w:t>
      </w:r>
    </w:p>
    <w:p w14:paraId="1797BFCE">
      <w:pPr>
        <w:pStyle w:val="17"/>
        <w:spacing w:before="0" w:after="60"/>
        <w:jc w:val="both"/>
      </w:pPr>
      <w:r>
        <w:t xml:space="preserve">Bitte verwenden Sie, wenn nicht anders kommuniziert, die ersten </w:t>
      </w:r>
      <w:r>
        <w:rPr>
          <w:b/>
          <w:bCs/>
        </w:rPr>
        <w:t>2 Wochen</w:t>
      </w:r>
      <w:r>
        <w:t xml:space="preserve"> den angelegten Verband. Zum Duschen kann die Verbandsanordnung selbstverständlich abgenommen werden.</w:t>
      </w:r>
    </w:p>
    <w:tbl>
      <w:tblPr>
        <w:tblStyle w:val="9"/>
        <w:tblW w:w="10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56935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DD8CC" w:sz="2" w:space="0"/>
              <w:left w:val="single" w:color="B8952A" w:sz="18" w:space="0"/>
              <w:bottom w:val="single" w:color="DDD8CC" w:sz="2" w:space="0"/>
              <w:right w:val="single" w:color="DDD8CC" w:sz="2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107C2">
            <w:pPr>
              <w:spacing w:before="0" w:after="6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6"/>
                <w:szCs w:val="26"/>
              </w:rPr>
              <w:t>Ihr Rehabilitationsplan im Überblick</w:t>
            </w:r>
          </w:p>
          <w:p w14:paraId="255D0D7F">
            <w:pPr>
              <w:spacing w:before="0" w:after="0"/>
              <w:jc w:val="both"/>
            </w:pPr>
            <w:r>
              <w:rPr>
                <w:sz w:val="24"/>
                <w:szCs w:val="24"/>
              </w:rPr>
              <w:t>Alle Zeitangaben sind Richtwerte und orientieren sich nach individuellen Gegebenheiten. Die Empfehlungen basieren auf der rezenten Literatur zur Optimierung des Heilungsprozesses.</w:t>
            </w:r>
          </w:p>
        </w:tc>
      </w:tr>
    </w:tbl>
    <w:p w14:paraId="5AF7EB39">
      <w:pPr>
        <w:spacing w:before="180" w:after="0"/>
      </w:pPr>
    </w:p>
    <w:tbl>
      <w:tblPr>
        <w:tblStyle w:val="9"/>
        <w:tblW w:w="10181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81"/>
      </w:tblGrid>
      <w:tr w14:paraId="393FB0A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8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917C7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Ab der 1. Woche</w:t>
            </w:r>
          </w:p>
          <w:p w14:paraId="72179978">
            <w:p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Beginn mit der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Magnetolitherapie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(EMTT) – ca. 6–8 Einheiten alle 3–5 Tage in der Ordination.</w:t>
            </w:r>
          </w:p>
          <w:p w14:paraId="47FCC129">
            <w:pPr>
              <w:spacing w:before="30" w:after="6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Zu Hause selbständige Anwendung von Coolpacks. Duschpflaster können regelmäßig nach Bedarf gewechselt werden.</w:t>
            </w:r>
          </w:p>
          <w:p w14:paraId="27E7E7C2">
            <w:pPr>
              <w:pBdr>
                <w:top w:val="single" w:color="D8C990" w:sz="2" w:space="2"/>
                <w:bottom w:val="single" w:color="D8C990" w:sz="2" w:space="2"/>
              </w:pBdr>
              <w:spacing w:before="6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Ab der 2. Woche</w:t>
            </w:r>
          </w:p>
          <w:p w14:paraId="4AB97FCC">
            <w:p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Im Rahmen der Nahtentfernung: Beginn mit der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Stoßwellentherapie (ESWT)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– 5 Einheiten im 10–14 Tagesabstand in der Ordination.</w:t>
            </w:r>
          </w:p>
          <w:p w14:paraId="5AAB78E4">
            <w:p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Die physikalische Therapie kann nun begonnen werden.</w:t>
            </w:r>
          </w:p>
        </w:tc>
      </w:tr>
      <w:tr w14:paraId="114448A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8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37E08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Nach 4 Wochen</w:t>
            </w:r>
          </w:p>
          <w:p w14:paraId="14A76BAF">
            <w:pPr>
              <w:spacing w:before="30" w:after="3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Beginn mit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Infiltrationen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zur Optimierung der Heilung und zum Schutz des Gelenkknorpels sowie zur raschen Wiederherstellung der Gelenksschmiere.</w:t>
            </w:r>
          </w:p>
          <w:p w14:paraId="55CEDC4B">
            <w:pPr>
              <w:spacing w:before="30" w:after="3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  <w:p w14:paraId="2B285ED6">
            <w:pPr>
              <w:pBdr>
                <w:top w:val="single" w:color="D8C990" w:sz="2" w:space="2"/>
                <w:bottom w:val="single" w:color="D8C990" w:sz="2" w:space="2"/>
              </w:pBdr>
              <w:spacing w:before="6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Infiltrationsoptionen</w:t>
            </w:r>
          </w:p>
          <w:p w14:paraId="3B8E108D">
            <w:pPr>
              <w:pStyle w:val="19"/>
              <w:numPr>
                <w:ilvl w:val="0"/>
                <w:numId w:val="1"/>
              </w:numPr>
              <w:spacing w:before="30" w:after="30"/>
              <w:jc w:val="left"/>
              <w:rPr>
                <w:rFonts w:hint="default" w:ascii="Times New Roman" w:hAnsi="Times New Roman" w:cs="Times New Roman"/>
                <w:color w:val="1C1C1C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ACP-PRP in Kombination mit Hyaluronsäure</w:t>
            </w:r>
            <w:r>
              <w:rPr>
                <w:rFonts w:hint="default" w:cs="Times New Roman"/>
                <w:b/>
                <w:bCs/>
                <w:color w:val="1C1C1C"/>
                <w:sz w:val="24"/>
                <w:szCs w:val="24"/>
                <w:lang w:val="de-DE"/>
              </w:rPr>
              <w:t xml:space="preserve"> 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>- bei dieser hilfreichen Maßnahme wird körpereigenes, wachstumsfaktorreiches Plasma (ACP/PRP) mit Hyaluronsäure gemischt und in Gelenke gespritzt wird. Diese Kombination wirkt synergistisch: Die Hyaluronsäure schmiert das Gelenk, während ACP-PRP Entzündungen hemmt und die Regeneration von Knorpel, Sehnen und Bändern fördert</w:t>
            </w:r>
          </w:p>
          <w:p w14:paraId="25F2DE87">
            <w:pPr>
              <w:pStyle w:val="19"/>
              <w:numPr>
                <w:ilvl w:val="0"/>
                <w:numId w:val="1"/>
              </w:numPr>
              <w:spacing w:before="30" w:after="30"/>
              <w:jc w:val="left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color w:val="1C1C1C"/>
                <w:sz w:val="24"/>
                <w:szCs w:val="24"/>
                <w:lang w:val="de-DE"/>
              </w:rPr>
              <w:t>Isolierte Infiltrationen mit hochkonzentrierter Hyaluronsäure</w:t>
            </w:r>
          </w:p>
        </w:tc>
      </w:tr>
    </w:tbl>
    <w:p w14:paraId="4DA9D32C">
      <w:pPr>
        <w:spacing w:before="180" w:after="0"/>
      </w:pPr>
    </w:p>
    <w:tbl>
      <w:tblPr>
        <w:tblStyle w:val="9"/>
        <w:tblW w:w="10204" w:type="dxa"/>
        <w:tblInd w:w="0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51B44159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8CE16F">
            <w:pPr>
              <w:spacing w:before="0" w:after="60"/>
            </w:pPr>
            <w:r>
              <w:rPr>
                <w:rFonts w:ascii="Georgia" w:hAnsi="Georgia" w:cs="Georgia"/>
                <w:b/>
                <w:bCs/>
                <w:color w:val="9A7B2F"/>
                <w:sz w:val="26"/>
                <w:szCs w:val="26"/>
              </w:rPr>
              <w:t>Unser gesamtes Team steht Ihnen bei Fragen jederzeit zur Verfügung.</w:t>
            </w:r>
          </w:p>
        </w:tc>
      </w:tr>
    </w:tbl>
    <w:p w14:paraId="5B53BB0B">
      <w:bookmarkStart w:id="0" w:name="_GoBack"/>
      <w:bookmarkEnd w:id="0"/>
    </w:p>
    <w:sectPr>
      <w:headerReference r:id="rId3" w:type="default"/>
      <w:pgSz w:w="11906" w:h="16838"/>
      <w:pgMar w:top="574" w:right="851" w:bottom="724" w:left="85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297"/>
      <w:gridCol w:w="5907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drawing>
              <wp:inline distT="0" distB="0" distL="0" distR="0">
                <wp:extent cx="2601595" cy="695325"/>
                <wp:effectExtent l="0" t="0" r="0" b="3175"/>
                <wp:docPr id="1" name="Bild 1" descr="C:/Users/oliver/Desktop/Neuer Ordner/die ORDI/Logo/Neues_Logo_003_transparent.pngNeues_Logo_003_transpar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 descr="C:/Users/oliver/Desktop/Neuer Ordner/die ORDI/Logo/Neues_Logo_003_transparent.pngNeues_Logo_003_transpar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5528" b="55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1595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8FC49F">
          <w:pPr>
            <w:wordWrap w:val="0"/>
            <w:spacing w:before="0" w:after="3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7"/>
              <w:szCs w:val="17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7"/>
              <w:szCs w:val="17"/>
              <w:lang w:val="de-DE"/>
            </w:rPr>
            <w:t xml:space="preserve"> </w:t>
          </w:r>
        </w:p>
        <w:p w14:paraId="0F254B4D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</w:t>
          </w:r>
        </w:p>
        <w:p w14:paraId="38E00E37">
          <w:pPr>
            <w:spacing w:before="0" w:after="0"/>
            <w:jc w:val="center"/>
            <w:rPr>
              <w:rFonts w:hint="default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                                                                </w:t>
          </w: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5"/>
              <w:szCs w:val="15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</w:t>
          </w:r>
        </w:p>
        <w:p w14:paraId="3D2A998F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5"/>
              <w:szCs w:val="15"/>
            </w:rPr>
            <w:t>ordination@dr-elmarto.at  |  www.dr-elmarto.at</w:t>
          </w:r>
          <w:r>
            <w:rPr>
              <w:rFonts w:hint="default" w:ascii="Calibri" w:hAnsi="Calibri" w:eastAsia="Calibri" w:cs="Calibri"/>
              <w:color w:val="9A7B2F"/>
              <w:sz w:val="15"/>
              <w:szCs w:val="15"/>
              <w:lang w:val="de-DE"/>
            </w:rPr>
            <w:t xml:space="preserve"> 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7153A72"/>
    <w:rsid w:val="074C2609"/>
    <w:rsid w:val="10F442DE"/>
    <w:rsid w:val="15C64B46"/>
    <w:rsid w:val="32F31EA6"/>
    <w:rsid w:val="353B041A"/>
    <w:rsid w:val="4A4723A6"/>
    <w:rsid w:val="5C46562F"/>
    <w:rsid w:val="5EC2745F"/>
    <w:rsid w:val="7AA34743"/>
    <w:rsid w:val="7B582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215</Words>
  <Characters>1467</Characters>
  <TotalTime>0</TotalTime>
  <ScaleCrop>false</ScaleCrop>
  <LinksUpToDate>false</LinksUpToDate>
  <CharactersWithSpaces>1662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2026-04-23T20:01:13Z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D475E1658C1D480DA1043505A6FCA1DB_13</vt:lpwstr>
  </property>
</Properties>
</file>