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1ACAFA">
      <w:pPr>
        <w:spacing w:before="120" w:after="40"/>
        <w:jc w:val="center"/>
        <w:rPr>
          <w:rFonts w:ascii="Georgia" w:hAnsi="Georgia" w:cs="Georgia"/>
          <w:color w:val="101010"/>
          <w:sz w:val="20"/>
          <w:szCs w:val="20"/>
        </w:rPr>
      </w:pPr>
    </w:p>
    <w:p w14:paraId="14A3B0D4">
      <w:pPr>
        <w:spacing w:before="120" w:after="40"/>
        <w:jc w:val="center"/>
      </w:pPr>
      <w:r>
        <w:rPr>
          <w:rFonts w:ascii="Georgia" w:hAnsi="Georgia" w:cs="Georgia"/>
          <w:color w:val="101010"/>
          <w:sz w:val="44"/>
          <w:szCs w:val="44"/>
        </w:rPr>
        <w:t xml:space="preserve">Nachbehandlung nach Arthroskopie des </w:t>
      </w:r>
      <w:r>
        <w:rPr>
          <w:rFonts w:ascii="Georgia" w:hAnsi="Georgia" w:cs="Georgia"/>
          <w:color w:val="B8952A"/>
          <w:sz w:val="44"/>
          <w:szCs w:val="44"/>
        </w:rPr>
        <w:t>Sprunggelenks</w:t>
      </w:r>
    </w:p>
    <w:p w14:paraId="69674414">
      <w:pPr>
        <w:spacing w:before="0" w:after="60"/>
        <w:jc w:val="center"/>
      </w:pPr>
      <w:r>
        <w:rPr>
          <w:rFonts w:ascii="Calibri" w:hAnsi="Calibri" w:cs="Calibri"/>
          <w:color w:val="auto"/>
          <w:spacing w:val="60"/>
          <w:sz w:val="24"/>
          <w:szCs w:val="24"/>
        </w:rPr>
        <w:t>Wochen 1–2  ·  Therapieschritte &amp; Sport ab Woche 4</w:t>
      </w:r>
    </w:p>
    <w:p w14:paraId="04BD6FF3">
      <w:pPr>
        <w:pBdr>
          <w:bottom w:val="single" w:color="DDD8CC" w:sz="2" w:space="1"/>
        </w:pBdr>
        <w:spacing w:before="0" w:after="0"/>
      </w:pPr>
    </w:p>
    <w:p w14:paraId="2C010E56">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Liebe Patientin, lieber Patient,</w:t>
      </w:r>
    </w:p>
    <w:p w14:paraId="78054079">
      <w:pPr>
        <w:pStyle w:val="17"/>
        <w:spacing w:after="60"/>
        <w:jc w:val="both"/>
      </w:pPr>
      <w:r>
        <w:t>Bei Ihnen ist eine Arthroskopie des Sprunggelenks durchgeführt worden. Folgende Empfehlungen sind für Sie unterstützend als Merkhilfe und Orientierung gedacht, um den Heilungsverlauf positiv zu beeinflussen.</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3FB3A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2CE66FB0">
            <w:pPr>
              <w:spacing w:before="0" w:after="60"/>
            </w:pPr>
            <w:r>
              <w:rPr>
                <w:rFonts w:ascii="Times New Roman" w:hAnsi="Times New Roman" w:cs="Times New Roman"/>
                <w:b/>
                <w:bCs/>
                <w:color w:val="1C1C1C"/>
                <w:sz w:val="26"/>
                <w:szCs w:val="26"/>
              </w:rPr>
              <w:t>Allgemeine Hinweise direkt nach der OP</w:t>
            </w:r>
          </w:p>
          <w:p w14:paraId="599247F3">
            <w:pPr>
              <w:spacing w:before="0" w:after="40"/>
              <w:rPr>
                <w:sz w:val="24"/>
                <w:szCs w:val="24"/>
              </w:rPr>
            </w:pPr>
            <w:r>
              <w:rPr>
                <w:sz w:val="24"/>
                <w:szCs w:val="24"/>
              </w:rPr>
              <w:t xml:space="preserve">Aktives Strecken in Kombination mit </w:t>
            </w:r>
            <w:r>
              <w:rPr>
                <w:b/>
                <w:bCs/>
                <w:sz w:val="24"/>
                <w:szCs w:val="24"/>
              </w:rPr>
              <w:t>Hochlagerung und Kühlung</w:t>
            </w:r>
            <w:r>
              <w:rPr>
                <w:sz w:val="24"/>
                <w:szCs w:val="24"/>
              </w:rPr>
              <w:t xml:space="preserve"> stehen im Vordergrund. Bitte verwenden Sie die ersten </w:t>
            </w:r>
            <w:r>
              <w:rPr>
                <w:b/>
                <w:bCs/>
                <w:sz w:val="24"/>
                <w:szCs w:val="24"/>
              </w:rPr>
              <w:t>5–7 Tage unterstützend die Krücken</w:t>
            </w:r>
            <w:r>
              <w:rPr>
                <w:sz w:val="24"/>
                <w:szCs w:val="24"/>
              </w:rPr>
              <w:t xml:space="preserve"> und peilen Sie eine Teilbelastung mit halbem Körpergewicht an. </w:t>
            </w:r>
          </w:p>
          <w:p w14:paraId="0F059F97">
            <w:pPr>
              <w:spacing w:before="0" w:after="40"/>
            </w:pPr>
            <w:r>
              <w:rPr>
                <w:sz w:val="24"/>
                <w:szCs w:val="24"/>
              </w:rPr>
              <w:t xml:space="preserve">Zum Duschen kann die Schiene abgenommen werden. Bewegungsübungen für das obere Sprunggelenk können </w:t>
            </w:r>
            <w:r>
              <w:rPr>
                <w:b/>
                <w:bCs/>
                <w:sz w:val="24"/>
                <w:szCs w:val="24"/>
              </w:rPr>
              <w:t>ab dem ersten Tag nach der OP</w:t>
            </w:r>
            <w:r>
              <w:rPr>
                <w:sz w:val="24"/>
                <w:szCs w:val="24"/>
              </w:rPr>
              <w:t xml:space="preserve"> durchgeführt werden.</w:t>
            </w:r>
          </w:p>
        </w:tc>
      </w:tr>
    </w:tbl>
    <w:p w14:paraId="1056231E">
      <w:pPr>
        <w:spacing w:before="180" w:after="0"/>
      </w:pPr>
    </w:p>
    <w:tbl>
      <w:tblPr>
        <w:tblStyle w:val="9"/>
        <w:tblW w:w="10180"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80"/>
      </w:tblGrid>
      <w:tr w14:paraId="02D2F33B">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0"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2463F8FB">
            <w:pPr>
              <w:pBdr>
                <w:bottom w:val="single" w:color="D8C990" w:sz="2" w:space="2"/>
              </w:pBdr>
              <w:spacing w:before="0" w:after="80"/>
            </w:pPr>
            <w:r>
              <w:rPr>
                <w:rFonts w:ascii="Georgia" w:hAnsi="Georgia" w:cs="Georgia"/>
                <w:b/>
                <w:bCs/>
                <w:caps/>
                <w:color w:val="9A7B2F"/>
                <w:spacing w:val="60"/>
                <w:sz w:val="22"/>
                <w:szCs w:val="22"/>
              </w:rPr>
              <w:t>Ab der 1. Woche</w:t>
            </w:r>
          </w:p>
          <w:p w14:paraId="27927A8A">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Abschwellende Maßnahmen mittels </w:t>
            </w:r>
            <w:r>
              <w:rPr>
                <w:rFonts w:ascii="Times New Roman" w:hAnsi="Times New Roman" w:cs="Times New Roman"/>
                <w:b/>
                <w:bCs/>
                <w:color w:val="1C1C1C"/>
                <w:sz w:val="24"/>
                <w:szCs w:val="24"/>
              </w:rPr>
              <w:t>Game Ready</w:t>
            </w:r>
            <w:r>
              <w:rPr>
                <w:rFonts w:hint="default" w:cs="Times New Roman"/>
                <w:b/>
                <w:bCs/>
                <w:color w:val="1C1C1C"/>
                <w:sz w:val="24"/>
                <w:szCs w:val="24"/>
                <w:lang w:val="de-DE"/>
              </w:rPr>
              <w:t xml:space="preserve"> Rehab</w:t>
            </w:r>
            <w:r>
              <w:rPr>
                <w:rFonts w:ascii="Times New Roman" w:hAnsi="Times New Roman" w:cs="Times New Roman"/>
                <w:color w:val="1C1C1C"/>
                <w:sz w:val="24"/>
                <w:szCs w:val="24"/>
              </w:rPr>
              <w:t xml:space="preserve"> (ca. 3–5 Einheiten nach OP) sowie </w:t>
            </w:r>
            <w:r>
              <w:rPr>
                <w:rFonts w:ascii="Times New Roman" w:hAnsi="Times New Roman" w:cs="Times New Roman"/>
                <w:b/>
                <w:bCs/>
                <w:color w:val="1C1C1C"/>
                <w:sz w:val="24"/>
                <w:szCs w:val="24"/>
              </w:rPr>
              <w:t>Magnetolitherapie</w:t>
            </w:r>
            <w:r>
              <w:rPr>
                <w:rFonts w:ascii="Times New Roman" w:hAnsi="Times New Roman" w:cs="Times New Roman"/>
                <w:color w:val="1C1C1C"/>
                <w:sz w:val="24"/>
                <w:szCs w:val="24"/>
              </w:rPr>
              <w:t xml:space="preserve"> (ca. 6–8 Einheiten, alle 3–5 Tage in der Ordination).</w:t>
            </w:r>
          </w:p>
          <w:p w14:paraId="104D5CAD">
            <w:pPr>
              <w:spacing w:before="30" w:after="60"/>
              <w:rPr>
                <w:rFonts w:ascii="Georgia" w:hAnsi="Georgia" w:cs="Georgia"/>
                <w:b/>
                <w:bCs/>
                <w:caps/>
                <w:color w:val="9A7B2F"/>
                <w:spacing w:val="60"/>
                <w:sz w:val="22"/>
                <w:szCs w:val="22"/>
              </w:rPr>
            </w:pPr>
            <w:r>
              <w:rPr>
                <w:rFonts w:ascii="Times New Roman" w:hAnsi="Times New Roman" w:cs="Times New Roman"/>
                <w:color w:val="1C1C1C"/>
                <w:sz w:val="24"/>
                <w:szCs w:val="24"/>
              </w:rPr>
              <w:t xml:space="preserve">Zu Hause: Coolpacks, Hochlagerung des Beines. Duschpflaster regelmäßig nach Bedarf </w:t>
            </w:r>
            <w:r>
              <w:rPr>
                <w:rFonts w:hint="default" w:cs="Times New Roman"/>
                <w:color w:val="1C1C1C"/>
                <w:sz w:val="24"/>
                <w:szCs w:val="24"/>
                <w:lang w:val="de-DE"/>
              </w:rPr>
              <w:t>wechseln.</w:t>
            </w:r>
          </w:p>
          <w:p w14:paraId="02A2AD66">
            <w:pPr>
              <w:pBdr>
                <w:top w:val="single" w:color="D8C990" w:sz="2" w:space="2"/>
                <w:bottom w:val="single" w:color="D8C990" w:sz="2" w:space="2"/>
              </w:pBdr>
              <w:spacing w:before="60" w:after="80"/>
              <w:rPr>
                <w:rFonts w:ascii="Georgia" w:hAnsi="Georgia" w:cs="Georgia"/>
                <w:b/>
                <w:bCs/>
                <w:caps/>
                <w:color w:val="9A7B2F"/>
                <w:spacing w:val="60"/>
                <w:sz w:val="22"/>
                <w:szCs w:val="22"/>
              </w:rPr>
            </w:pPr>
            <w:r>
              <w:rPr>
                <w:rFonts w:ascii="Georgia" w:hAnsi="Georgia" w:cs="Georgia"/>
                <w:b/>
                <w:bCs/>
                <w:caps/>
                <w:color w:val="9A7B2F"/>
                <w:spacing w:val="60"/>
                <w:sz w:val="22"/>
                <w:szCs w:val="22"/>
              </w:rPr>
              <w:t>Ab der 2. Woche</w:t>
            </w:r>
          </w:p>
          <w:p w14:paraId="3548C890">
            <w:pPr>
              <w:spacing w:before="30" w:after="30"/>
              <w:rPr>
                <w:rFonts w:ascii="Georgia" w:hAnsi="Georgia" w:cs="Georgia"/>
                <w:b/>
                <w:bCs/>
                <w:caps/>
                <w:color w:val="9A7B2F"/>
                <w:spacing w:val="60"/>
                <w:sz w:val="22"/>
                <w:szCs w:val="22"/>
              </w:rPr>
            </w:pPr>
            <w:r>
              <w:rPr>
                <w:rFonts w:ascii="Times New Roman" w:hAnsi="Times New Roman" w:cs="Times New Roman"/>
                <w:color w:val="1C1C1C"/>
                <w:sz w:val="24"/>
                <w:szCs w:val="24"/>
              </w:rPr>
              <w:t xml:space="preserve">Im Rahmen der Nahtentfernung: Beginn mit der </w:t>
            </w:r>
            <w:r>
              <w:rPr>
                <w:rFonts w:ascii="Times New Roman" w:hAnsi="Times New Roman" w:cs="Times New Roman"/>
                <w:b/>
                <w:bCs/>
                <w:color w:val="1C1C1C"/>
                <w:sz w:val="24"/>
                <w:szCs w:val="24"/>
              </w:rPr>
              <w:t>Stoßwellentherapie (ESWT)</w:t>
            </w:r>
            <w:r>
              <w:rPr>
                <w:rFonts w:ascii="Times New Roman" w:hAnsi="Times New Roman" w:cs="Times New Roman"/>
                <w:color w:val="1C1C1C"/>
                <w:sz w:val="24"/>
                <w:szCs w:val="24"/>
              </w:rPr>
              <w:t xml:space="preserve"> in der Ordination. Die physikalische Therapie kann nun begonnen werden.</w:t>
            </w:r>
          </w:p>
          <w:p w14:paraId="1427EF26">
            <w:pPr>
              <w:pBdr>
                <w:top w:val="single" w:color="D8C990" w:sz="2" w:space="2"/>
                <w:bottom w:val="single" w:color="D8C990" w:sz="2" w:space="2"/>
              </w:pBdr>
              <w:spacing w:before="60" w:after="80"/>
              <w:rPr>
                <w:rFonts w:ascii="Georgia" w:hAnsi="Georgia" w:cs="Georgia"/>
                <w:b/>
                <w:bCs/>
                <w:caps/>
                <w:color w:val="9A7B2F"/>
                <w:spacing w:val="60"/>
                <w:sz w:val="22"/>
                <w:szCs w:val="22"/>
              </w:rPr>
            </w:pPr>
            <w:r>
              <w:rPr>
                <w:rFonts w:ascii="Georgia" w:hAnsi="Georgia" w:cs="Georgia"/>
                <w:b/>
                <w:bCs/>
                <w:caps/>
                <w:color w:val="9A7B2F"/>
                <w:spacing w:val="60"/>
                <w:sz w:val="22"/>
                <w:szCs w:val="22"/>
              </w:rPr>
              <w:t xml:space="preserve">Ab der </w:t>
            </w:r>
            <w:r>
              <w:rPr>
                <w:rFonts w:hint="default" w:ascii="Georgia" w:hAnsi="Georgia" w:cs="Georgia"/>
                <w:b/>
                <w:bCs/>
                <w:caps/>
                <w:color w:val="9A7B2F"/>
                <w:spacing w:val="60"/>
                <w:sz w:val="22"/>
                <w:szCs w:val="22"/>
                <w:lang w:val="de-DE"/>
              </w:rPr>
              <w:t>4</w:t>
            </w:r>
            <w:r>
              <w:rPr>
                <w:rFonts w:ascii="Georgia" w:hAnsi="Georgia" w:cs="Georgia"/>
                <w:b/>
                <w:bCs/>
                <w:caps/>
                <w:color w:val="9A7B2F"/>
                <w:spacing w:val="60"/>
                <w:sz w:val="22"/>
                <w:szCs w:val="22"/>
              </w:rPr>
              <w:t>. Woche</w:t>
            </w:r>
          </w:p>
          <w:p w14:paraId="49162E0B">
            <w:pPr>
              <w:spacing w:before="30" w:after="60"/>
              <w:rPr>
                <w:rFonts w:ascii="Times New Roman" w:hAnsi="Times New Roman" w:cs="Times New Roman"/>
                <w:color w:val="1C1C1C"/>
                <w:sz w:val="24"/>
                <w:szCs w:val="24"/>
              </w:rPr>
            </w:pPr>
            <w:r>
              <w:rPr>
                <w:rFonts w:ascii="Times New Roman" w:hAnsi="Times New Roman" w:cs="Times New Roman"/>
                <w:color w:val="1C1C1C"/>
                <w:sz w:val="24"/>
                <w:szCs w:val="24"/>
              </w:rPr>
              <w:t xml:space="preserve">Beginn mit </w:t>
            </w:r>
            <w:r>
              <w:rPr>
                <w:rFonts w:ascii="Times New Roman" w:hAnsi="Times New Roman" w:cs="Times New Roman"/>
                <w:b/>
                <w:bCs/>
                <w:color w:val="1C1C1C"/>
                <w:sz w:val="24"/>
                <w:szCs w:val="24"/>
              </w:rPr>
              <w:t>Infiltrationen</w:t>
            </w:r>
            <w:r>
              <w:rPr>
                <w:rFonts w:ascii="Times New Roman" w:hAnsi="Times New Roman" w:cs="Times New Roman"/>
                <w:color w:val="1C1C1C"/>
                <w:sz w:val="24"/>
                <w:szCs w:val="24"/>
              </w:rPr>
              <w:t xml:space="preserve"> zur Optimierung der Heilung und zum Schutz des Gelenkknorpels sowie zur raschen Wiederherstellung der Gelenksschmiere. Optionen: ACP-PRP in Kombination mit Hyaluronsäure oder isolierte Infiltration mit hochkonzentrierter Hyaluronsäure.</w:t>
            </w:r>
          </w:p>
          <w:p w14:paraId="5CC3E863">
            <w:pPr>
              <w:pBdr>
                <w:top w:val="single" w:color="D8C990" w:sz="2" w:space="2"/>
                <w:bottom w:val="single" w:color="D8C990" w:sz="2" w:space="2"/>
              </w:pBdr>
              <w:spacing w:before="60" w:after="80"/>
            </w:pPr>
            <w:r>
              <w:rPr>
                <w:rFonts w:ascii="Georgia" w:hAnsi="Georgia" w:cs="Georgia"/>
                <w:b/>
                <w:bCs/>
                <w:caps/>
                <w:color w:val="9A7B2F"/>
                <w:spacing w:val="60"/>
                <w:sz w:val="22"/>
                <w:szCs w:val="22"/>
              </w:rPr>
              <w:t>Nach 6 Wochen</w:t>
            </w:r>
          </w:p>
          <w:p w14:paraId="7318B5D0">
            <w:pPr>
              <w:spacing w:before="30" w:after="30"/>
            </w:pPr>
            <w:r>
              <w:rPr>
                <w:rFonts w:ascii="Times New Roman" w:hAnsi="Times New Roman" w:cs="Times New Roman"/>
                <w:color w:val="1C1C1C"/>
                <w:sz w:val="24"/>
                <w:szCs w:val="24"/>
              </w:rPr>
              <w:t>Beginn mit Nordic Walking, Schwimmen, Radfahren im Freien, Aquajogging und muskelstabilisierenden Übungen unter Anleitung der Physiotherapeuten/Innen.</w:t>
            </w:r>
          </w:p>
          <w:p w14:paraId="09AF2023">
            <w:pPr>
              <w:spacing w:before="30" w:after="60"/>
              <w:rPr>
                <w:rFonts w:ascii="Times New Roman" w:hAnsi="Times New Roman" w:cs="Times New Roman"/>
                <w:color w:val="1C1C1C"/>
                <w:sz w:val="24"/>
                <w:szCs w:val="24"/>
              </w:rPr>
            </w:pPr>
            <w:r>
              <w:rPr>
                <w:rFonts w:ascii="Times New Roman" w:hAnsi="Times New Roman" w:cs="Times New Roman"/>
                <w:color w:val="1C1C1C"/>
                <w:sz w:val="24"/>
                <w:szCs w:val="24"/>
              </w:rPr>
              <w:t xml:space="preserve">Zusätzlich Beginn mit lockerem Laufen sowie zunehmenden </w:t>
            </w:r>
            <w:r>
              <w:rPr>
                <w:rFonts w:ascii="Times New Roman" w:hAnsi="Times New Roman" w:cs="Times New Roman"/>
                <w:b/>
                <w:bCs/>
                <w:color w:val="1C1C1C"/>
                <w:sz w:val="24"/>
                <w:szCs w:val="24"/>
              </w:rPr>
              <w:t>muskelaufbauenden Kraft- und Stabilisierungsübungen</w:t>
            </w:r>
            <w:r>
              <w:rPr>
                <w:rFonts w:ascii="Times New Roman" w:hAnsi="Times New Roman" w:cs="Times New Roman"/>
                <w:color w:val="1C1C1C"/>
                <w:sz w:val="24"/>
                <w:szCs w:val="24"/>
              </w:rPr>
              <w:t xml:space="preserve"> unter Anleitung der Physiotherapeuten/Innen.</w:t>
            </w:r>
          </w:p>
        </w:tc>
      </w:tr>
    </w:tbl>
    <w:p w14:paraId="4E16ACA8">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3FDA147B">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078302FF">
            <w:pPr>
              <w:spacing w:before="0" w:after="60"/>
              <w:jc w:val="both"/>
            </w:pPr>
            <w:r>
              <w:rPr>
                <w:rFonts w:ascii="Times New Roman" w:hAnsi="Times New Roman" w:cs="Times New Roman"/>
                <w:i/>
                <w:iCs/>
                <w:color w:val="3E3E3E"/>
                <w:sz w:val="22"/>
                <w:szCs w:val="22"/>
              </w:rPr>
              <w:t>Alle Zeitangaben sind Richtwerte und orientieren sich nach individuellen Gegebenheiten. Bei all den empfohlenen Maßnahmen handelt es sich um Empfehlungen in Anlehnung an die rezente Literatur zur Optimierung des Heilungsprozesses. Es wird bei den genannten Sportarten kein Anspruch auf Vollständigkeit erhoben.</w:t>
            </w:r>
          </w:p>
          <w:p w14:paraId="0A516E6F">
            <w:pPr>
              <w:spacing w:before="0" w:after="60"/>
            </w:pPr>
            <w:r>
              <w:rPr>
                <w:rFonts w:ascii="Georgia" w:hAnsi="Georgia" w:cs="Georgia"/>
                <w:b/>
                <w:bCs/>
                <w:color w:val="9A7B2F"/>
                <w:sz w:val="26"/>
                <w:szCs w:val="26"/>
              </w:rPr>
              <w:t>Unser gesamtes Team steht Ihnen bei Fragen jederzeit zur Verfügung.</w:t>
            </w:r>
          </w:p>
        </w:tc>
      </w:tr>
    </w:tbl>
    <w:p w14:paraId="4D479495">
      <w:bookmarkStart w:id="0" w:name="_GoBack"/>
      <w:bookmarkEnd w:id="0"/>
    </w:p>
    <w:sectPr>
      <w:headerReference r:id="rId3" w:type="default"/>
      <w:pgSz w:w="11906" w:h="16838"/>
      <w:pgMar w:top="574" w:right="851" w:bottom="724" w:left="85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297"/>
      <w:gridCol w:w="5907"/>
    </w:tblGrid>
    <w:tr w14:paraId="16CAC369">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rPr>
        <w:trHeight w:val="1225" w:hRule="atLeast"/>
      </w:trPr>
      <w:tc>
        <w:tcPr>
          <w:tcW w:w="3800" w:type="dxa"/>
          <w:tcBorders>
            <w:top w:val="nil"/>
            <w:left w:val="nil"/>
            <w:bottom w:val="nil"/>
            <w:right w:val="nil"/>
          </w:tcBorders>
          <w:tcMar>
            <w:top w:w="0" w:type="dxa"/>
            <w:left w:w="0" w:type="dxa"/>
            <w:bottom w:w="0" w:type="dxa"/>
            <w:right w:w="200" w:type="dxa"/>
          </w:tcMar>
          <w:vAlign w:val="center"/>
        </w:tcPr>
        <w:p w14:paraId="6E5D2AC2">
          <w:pPr>
            <w:spacing w:before="0" w:after="0"/>
          </w:pPr>
          <w:r>
            <w:drawing>
              <wp:inline distT="0" distB="0" distL="0" distR="0">
                <wp:extent cx="2601595" cy="695325"/>
                <wp:effectExtent l="0" t="0" r="0" b="3175"/>
                <wp:docPr id="1" name="Bild 1" descr="C:/Users/oliver/Desktop/Neuer Ordner/die ORDI/Logo/Neues_Logo_003_transparent.pngNeues_Logo_003_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descr="C:/Users/oliver/Desktop/Neuer Ordner/die ORDI/Logo/Neues_Logo_003_transparent.pngNeues_Logo_003_transparent"/>
                        <pic:cNvPicPr>
                          <a:picLocks noChangeAspect="1" noChangeArrowheads="1"/>
                        </pic:cNvPicPr>
                      </pic:nvPicPr>
                      <pic:blipFill>
                        <a:blip r:embed="rId1"/>
                        <a:srcRect t="5528" b="5528"/>
                        <a:stretch>
                          <a:fillRect/>
                        </a:stretch>
                      </pic:blipFill>
                      <pic:spPr>
                        <a:xfrm>
                          <a:off x="0" y="0"/>
                          <a:ext cx="2601595" cy="695325"/>
                        </a:xfrm>
                        <a:prstGeom prst="rect">
                          <a:avLst/>
                        </a:prstGeom>
                      </pic:spPr>
                    </pic:pic>
                  </a:graphicData>
                </a:graphic>
              </wp:inline>
            </w:drawing>
          </w:r>
        </w:p>
      </w:tc>
      <w:tc>
        <w:tcPr>
          <w:tcW w:w="6404" w:type="dxa"/>
          <w:tcBorders>
            <w:top w:val="nil"/>
            <w:left w:val="nil"/>
            <w:bottom w:val="nil"/>
            <w:right w:val="nil"/>
          </w:tcBorders>
          <w:tcMar>
            <w:top w:w="0" w:type="dxa"/>
            <w:left w:w="0" w:type="dxa"/>
            <w:bottom w:w="0" w:type="dxa"/>
            <w:right w:w="0" w:type="dxa"/>
          </w:tcMar>
          <w:vAlign w:val="center"/>
        </w:tcPr>
        <w:p w14:paraId="2D8FC49F">
          <w:pPr>
            <w:wordWrap w:val="0"/>
            <w:spacing w:before="0" w:after="30"/>
            <w:jc w:val="right"/>
            <w:rPr>
              <w:rFonts w:hint="default"/>
              <w:lang w:val="de-DE"/>
            </w:rPr>
          </w:pPr>
          <w:r>
            <w:rPr>
              <w:rFonts w:ascii="Calibri" w:hAnsi="Calibri" w:eastAsia="Calibri" w:cs="Calibri"/>
              <w:b/>
              <w:bCs/>
              <w:color w:val="1C1C1C"/>
              <w:sz w:val="17"/>
              <w:szCs w:val="17"/>
            </w:rPr>
            <w:t>OA Dr. med. univ. Shady El Marto WDM</w:t>
          </w:r>
          <w:r>
            <w:rPr>
              <w:rFonts w:hint="default" w:ascii="Calibri" w:hAnsi="Calibri" w:eastAsia="Calibri" w:cs="Calibri"/>
              <w:b/>
              <w:bCs/>
              <w:color w:val="1C1C1C"/>
              <w:sz w:val="17"/>
              <w:szCs w:val="17"/>
              <w:lang w:val="de-DE"/>
            </w:rPr>
            <w:t xml:space="preserve"> </w:t>
          </w:r>
        </w:p>
        <w:p w14:paraId="0F254B4D">
          <w:pPr>
            <w:wordWrap w:val="0"/>
            <w:spacing w:before="0" w:after="0"/>
            <w:jc w:val="right"/>
            <w:rPr>
              <w:rFonts w:hint="default"/>
              <w:lang w:val="de-DE"/>
            </w:rPr>
          </w:pPr>
          <w:r>
            <w:rPr>
              <w:rFonts w:ascii="Calibri" w:hAnsi="Calibri" w:eastAsia="Calibri" w:cs="Calibri"/>
              <w:color w:val="666666"/>
              <w:sz w:val="15"/>
              <w:szCs w:val="15"/>
            </w:rPr>
            <w:t>Facharzt für Orthopädie und Traumatologie  |  Facharzt für Unfallchirurgie</w:t>
          </w:r>
          <w:r>
            <w:rPr>
              <w:rFonts w:hint="default" w:ascii="Calibri" w:hAnsi="Calibri" w:eastAsia="Calibri" w:cs="Calibri"/>
              <w:color w:val="666666"/>
              <w:sz w:val="15"/>
              <w:szCs w:val="15"/>
              <w:lang w:val="de-DE"/>
            </w:rPr>
            <w:t xml:space="preserve"> </w:t>
          </w:r>
        </w:p>
        <w:p w14:paraId="38E00E37">
          <w:pPr>
            <w:spacing w:before="0" w:after="0"/>
            <w:jc w:val="center"/>
            <w:rPr>
              <w:rFonts w:hint="default"/>
              <w:lang w:val="de-DE"/>
            </w:rPr>
          </w:pPr>
          <w:r>
            <w:rPr>
              <w:rFonts w:hint="default" w:ascii="Calibri" w:hAnsi="Calibri" w:eastAsia="Calibri" w:cs="Calibri"/>
              <w:color w:val="666666"/>
              <w:sz w:val="15"/>
              <w:szCs w:val="15"/>
              <w:lang w:val="de-DE"/>
            </w:rPr>
            <w:t xml:space="preserve">                                                                     </w:t>
          </w:r>
          <w:r>
            <w:rPr>
              <w:rFonts w:ascii="Calibri" w:hAnsi="Calibri" w:eastAsia="Calibri" w:cs="Calibri"/>
              <w:color w:val="666666"/>
              <w:sz w:val="15"/>
              <w:szCs w:val="15"/>
            </w:rPr>
            <w:t>Am Hof 11 Top 9  |  1010 Wien  |  Tel.:</w:t>
          </w:r>
          <w:r>
            <w:rPr>
              <w:rFonts w:ascii="Calibri" w:hAnsi="Calibri" w:eastAsia="Calibri" w:cs="Calibri"/>
              <w:b/>
              <w:bCs/>
              <w:color w:val="666666"/>
              <w:sz w:val="15"/>
              <w:szCs w:val="15"/>
            </w:rPr>
            <w:t xml:space="preserve"> +43 664 328 44 65</w:t>
          </w:r>
          <w:r>
            <w:rPr>
              <w:rFonts w:hint="default" w:ascii="Calibri" w:hAnsi="Calibri" w:eastAsia="Calibri" w:cs="Calibri"/>
              <w:color w:val="666666"/>
              <w:sz w:val="15"/>
              <w:szCs w:val="15"/>
              <w:lang w:val="de-DE"/>
            </w:rPr>
            <w:t xml:space="preserve">     </w:t>
          </w:r>
        </w:p>
        <w:p w14:paraId="3D2A998F">
          <w:pPr>
            <w:wordWrap w:val="0"/>
            <w:spacing w:before="0" w:after="0"/>
            <w:jc w:val="right"/>
            <w:rPr>
              <w:rFonts w:hint="default"/>
              <w:lang w:val="de-DE"/>
            </w:rPr>
          </w:pPr>
          <w:r>
            <w:rPr>
              <w:rFonts w:ascii="Calibri" w:hAnsi="Calibri" w:eastAsia="Calibri" w:cs="Calibri"/>
              <w:color w:val="9A7B2F"/>
              <w:sz w:val="15"/>
              <w:szCs w:val="15"/>
            </w:rPr>
            <w:t>ordination@dr-elmarto.at  |  www.dr-elmarto.at</w:t>
          </w:r>
          <w:r>
            <w:rPr>
              <w:rFonts w:hint="default" w:ascii="Calibri" w:hAnsi="Calibri" w:eastAsia="Calibri" w:cs="Calibri"/>
              <w:color w:val="9A7B2F"/>
              <w:sz w:val="15"/>
              <w:szCs w:val="15"/>
              <w:lang w:val="de-DE"/>
            </w:rPr>
            <w:t xml:space="preserve"> </w:t>
          </w:r>
        </w:p>
      </w:tc>
    </w:tr>
  </w:tbl>
  <w:p w14:paraId="4C47FA82">
    <w:pPr>
      <w:pBdr>
        <w:bottom w:val="single" w:color="B8952A" w:sz="12" w:space="1"/>
      </w:pBdr>
      <w:spacing w:before="60" w:after="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753A3D"/>
    <w:rsid w:val="074C2609"/>
    <w:rsid w:val="10F442DE"/>
    <w:rsid w:val="15C64B46"/>
    <w:rsid w:val="1BA35526"/>
    <w:rsid w:val="32F31EA6"/>
    <w:rsid w:val="353B041A"/>
    <w:rsid w:val="5C46562F"/>
    <w:rsid w:val="5EC2745F"/>
    <w:rsid w:val="7AA34743"/>
    <w:rsid w:val="7B582B5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Strong"/>
    <w:qFormat/>
    <w:uiPriority w:val="0"/>
    <w:rPr>
      <w:b/>
      <w:bCs/>
    </w:rPr>
  </w:style>
  <w:style w:type="character" w:styleId="12">
    <w:name w:val="footnote reference"/>
    <w:semiHidden/>
    <w:unhideWhenUsed/>
    <w:qFormat/>
    <w:uiPriority w:val="99"/>
    <w:rPr>
      <w:vertAlign w:val="superscript"/>
    </w:rPr>
  </w:style>
  <w:style w:type="character" w:styleId="13">
    <w:name w:val="Hyperlink"/>
    <w:unhideWhenUsed/>
    <w:qFormat/>
    <w:uiPriority w:val="99"/>
    <w:rPr>
      <w:color w:val="0563C1"/>
      <w:u w:val="single"/>
    </w:rPr>
  </w:style>
  <w:style w:type="paragraph" w:styleId="14">
    <w:name w:val="endnote text"/>
    <w:link w:val="21"/>
    <w:semiHidden/>
    <w:unhideWhenUsed/>
    <w:qFormat/>
    <w:uiPriority w:val="99"/>
    <w:pPr>
      <w:spacing w:after="0" w:line="240" w:lineRule="auto"/>
    </w:pPr>
    <w:rPr>
      <w:rFonts w:ascii="Times New Roman" w:hAnsi="Times New Roman" w:eastAsia="SimSun" w:cs="Times New Roman"/>
      <w:sz w:val="20"/>
      <w:szCs w:val="20"/>
    </w:rPr>
  </w:style>
  <w:style w:type="paragraph" w:styleId="15">
    <w:name w:val="footnote text"/>
    <w:link w:val="20"/>
    <w:semiHidden/>
    <w:unhideWhenUsed/>
    <w:qFormat/>
    <w:uiPriority w:val="99"/>
    <w:pPr>
      <w:spacing w:after="0" w:line="240" w:lineRule="auto"/>
    </w:pPr>
    <w:rPr>
      <w:rFonts w:ascii="Times New Roman" w:hAnsi="Times New Roman" w:eastAsia="SimSun" w:cs="Times New Roman"/>
      <w:sz w:val="20"/>
      <w:szCs w:val="20"/>
    </w:rPr>
  </w:style>
  <w:style w:type="paragraph" w:styleId="16">
    <w:name w:val="footer"/>
    <w:basedOn w:val="1"/>
    <w:qFormat/>
    <w:uiPriority w:val="0"/>
    <w:pPr>
      <w:tabs>
        <w:tab w:val="center" w:pos="4153"/>
        <w:tab w:val="right" w:pos="8306"/>
      </w:tabs>
    </w:p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8">
    <w:name w:val="Title"/>
    <w:qFormat/>
    <w:uiPriority w:val="0"/>
    <w:rPr>
      <w:rFonts w:ascii="Times New Roman" w:hAnsi="Times New Roman" w:eastAsia="SimSun" w:cs="Times New Roman"/>
      <w:sz w:val="56"/>
      <w:szCs w:val="56"/>
    </w:rPr>
  </w:style>
  <w:style w:type="paragraph" w:styleId="19">
    <w:name w:val="List Paragraph"/>
    <w:qFormat/>
    <w:uiPriority w:val="0"/>
    <w:rPr>
      <w:rFonts w:ascii="Times New Roman" w:hAnsi="Times New Roman" w:eastAsia="SimSun" w:cs="Times New Roman"/>
      <w:sz w:val="21"/>
      <w:szCs w:val="22"/>
    </w:rPr>
  </w:style>
  <w:style w:type="character" w:customStyle="1" w:styleId="20">
    <w:name w:val="Footnote Text Char"/>
    <w:link w:val="15"/>
    <w:semiHidden/>
    <w:unhideWhenUsed/>
    <w:qFormat/>
    <w:uiPriority w:val="99"/>
    <w:rPr>
      <w:sz w:val="20"/>
      <w:szCs w:val="20"/>
    </w:rPr>
  </w:style>
  <w:style w:type="character" w:customStyle="1" w:styleId="21">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281</Words>
  <Characters>1868</Characters>
  <TotalTime>0</TotalTime>
  <ScaleCrop>false</ScaleCrop>
  <LinksUpToDate>false</LinksUpToDate>
  <CharactersWithSpaces>2133</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2026-04-20T22:06:00Z</dcterms:created>
  <dc:creator>Un-named</dc:creator>
  <cp:lastModifiedBy>OS Premium Account</cp:lastModifiedBy>
  <dcterms:modified xsi:type="dcterms:W3CDTF">2026-04-24T10:57:15Z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eyJoZGlkIjoiZTdmYzMyMDcyOWY0ZjJjZjIzYTU2ZDQ4OWJjNzcxY2IiLCJ1c2VySWQiOiI3Njk2NTgyNDI4NTM5In0=</vt:lpwstr>
  </property>
  <property fmtid="{D5CDD505-2E9C-101B-9397-08002B2CF9AE}" pid="3" name="KSOProductBuildVer">
    <vt:lpwstr>1031-12.1.0.25242</vt:lpwstr>
  </property>
  <property fmtid="{D5CDD505-2E9C-101B-9397-08002B2CF9AE}" pid="4" name="ICV">
    <vt:lpwstr>D475E1658C1D480DA1043505A6FCA1DB_13</vt:lpwstr>
  </property>
</Properties>
</file>