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08806B">
      <w:pPr>
        <w:spacing w:before="120" w:after="40"/>
        <w:jc w:val="center"/>
        <w:rPr>
          <w:rFonts w:ascii="Georgia" w:hAnsi="Georgia" w:cs="Georgia"/>
          <w:color w:val="101010"/>
          <w:sz w:val="20"/>
          <w:szCs w:val="20"/>
        </w:rPr>
      </w:pPr>
    </w:p>
    <w:p w14:paraId="4B57DBC8">
      <w:pPr>
        <w:spacing w:before="120" w:after="40"/>
        <w:jc w:val="center"/>
      </w:pPr>
      <w:r>
        <w:rPr>
          <w:rFonts w:ascii="Georgia" w:hAnsi="Georgia" w:cs="Georgia"/>
          <w:color w:val="101010"/>
          <w:sz w:val="38"/>
          <w:szCs w:val="38"/>
        </w:rPr>
        <w:t xml:space="preserve">Nachbehandlung bei </w:t>
      </w:r>
      <w:r>
        <w:rPr>
          <w:rFonts w:ascii="Georgia" w:hAnsi="Georgia" w:cs="Georgia"/>
          <w:color w:val="B8952A"/>
          <w:sz w:val="38"/>
          <w:szCs w:val="38"/>
        </w:rPr>
        <w:t>MPFL Rekonstruktion</w:t>
      </w:r>
    </w:p>
    <w:p w14:paraId="078275B9">
      <w:pPr>
        <w:spacing w:before="0" w:after="60"/>
        <w:jc w:val="center"/>
      </w:pPr>
      <w:r>
        <w:rPr>
          <w:rFonts w:ascii="Calibri" w:hAnsi="Calibri" w:cs="Calibri"/>
          <w:color w:val="auto"/>
          <w:spacing w:val="60"/>
          <w:sz w:val="24"/>
          <w:szCs w:val="24"/>
        </w:rPr>
        <w:t>Wochen 1–2  ·  Sofortmaßnahmen &amp; erste Therapieschritte</w:t>
      </w:r>
    </w:p>
    <w:p w14:paraId="1F234505">
      <w:pPr>
        <w:pBdr>
          <w:bottom w:val="single" w:color="DDD8CC" w:sz="2" w:space="1"/>
        </w:pBdr>
        <w:spacing w:before="0" w:after="0"/>
      </w:pPr>
    </w:p>
    <w:p w14:paraId="2C9DE64B">
      <w:pPr>
        <w:spacing w:before="20" w:after="0"/>
        <w:rPr>
          <w:rFonts w:ascii="Times New Roman" w:hAnsi="Times New Roman" w:cs="Times New Roman"/>
          <w:b/>
          <w:bCs/>
          <w:color w:val="1C1C1C"/>
          <w:sz w:val="24"/>
          <w:szCs w:val="24"/>
        </w:rPr>
      </w:pPr>
      <w:r>
        <w:rPr>
          <w:rFonts w:ascii="Times New Roman" w:hAnsi="Times New Roman" w:cs="Times New Roman"/>
          <w:b/>
          <w:bCs/>
          <w:color w:val="1C1C1C"/>
          <w:sz w:val="24"/>
          <w:szCs w:val="24"/>
        </w:rPr>
        <w:t>Liebe Patientin, lieber Patient,</w:t>
      </w:r>
    </w:p>
    <w:p w14:paraId="311F6039">
      <w:pPr>
        <w:pStyle w:val="17"/>
        <w:spacing w:after="60"/>
      </w:pPr>
      <w:r>
        <w:t>Bei Ihnen ist ein arthroskopisch assistierter Ersatz des MPFL Apparates durchgeführt worden. Folgende Empfehlungen sind als Merkhilfe und Orientierung gedacht, um den Heilungsverlauf positiv zu beeinflussen.</w:t>
      </w:r>
    </w:p>
    <w:tbl>
      <w:tblPr>
        <w:tblStyle w:val="9"/>
        <w:tblW w:w="10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4CF93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DD8CC" w:sz="2" w:space="0"/>
              <w:left w:val="single" w:color="B8952A" w:sz="18" w:space="0"/>
              <w:bottom w:val="single" w:color="DDD8CC" w:sz="2" w:space="0"/>
              <w:right w:val="single" w:color="DDD8CC" w:sz="2" w:space="0"/>
            </w:tcBorders>
            <w:shd w:val="clear" w:color="auto" w:fill="F7F2E8"/>
            <w:tcMar>
              <w:top w:w="100" w:type="dxa"/>
              <w:left w:w="160" w:type="dxa"/>
              <w:bottom w:w="100" w:type="dxa"/>
              <w:right w:w="160" w:type="dxa"/>
            </w:tcMar>
          </w:tcPr>
          <w:p w14:paraId="64FA183E">
            <w:pPr>
              <w:spacing w:before="0" w:after="60"/>
            </w:pPr>
            <w:r>
              <w:rPr>
                <w:rFonts w:ascii="Times New Roman" w:hAnsi="Times New Roman" w:cs="Times New Roman"/>
                <w:b/>
                <w:bCs/>
                <w:color w:val="1C1C1C"/>
                <w:sz w:val="26"/>
                <w:szCs w:val="26"/>
              </w:rPr>
              <w:t>Allgemeine Hinweise direkt nach der OP</w:t>
            </w:r>
          </w:p>
          <w:p w14:paraId="2AADAD8B">
            <w:pPr>
              <w:spacing w:before="0" w:after="40"/>
              <w:jc w:val="both"/>
            </w:pPr>
            <w:r>
              <w:rPr>
                <w:sz w:val="24"/>
                <w:szCs w:val="24"/>
              </w:rPr>
              <w:t xml:space="preserve">Aktives Strecken in Kombination mit </w:t>
            </w:r>
            <w:r>
              <w:rPr>
                <w:b/>
                <w:bCs/>
                <w:sz w:val="24"/>
                <w:szCs w:val="24"/>
              </w:rPr>
              <w:t>Hochlagerung und Kühlung</w:t>
            </w:r>
            <w:r>
              <w:rPr>
                <w:sz w:val="24"/>
                <w:szCs w:val="24"/>
              </w:rPr>
              <w:t xml:space="preserve"> stehen im Vordergrund. Bitte verwenden Sie bis zur Nahtentfernung (ca. 10–14 Tage nach OP) unterstützend die Krücken und peilen Sie eine </w:t>
            </w:r>
            <w:r>
              <w:rPr>
                <w:b/>
                <w:bCs/>
                <w:sz w:val="24"/>
                <w:szCs w:val="24"/>
              </w:rPr>
              <w:t>Teilbelastung mit halbem Körpergewicht</w:t>
            </w:r>
            <w:r>
              <w:rPr>
                <w:sz w:val="24"/>
                <w:szCs w:val="24"/>
              </w:rPr>
              <w:t xml:space="preserve"> an.</w:t>
            </w:r>
          </w:p>
          <w:p w14:paraId="1603DB89">
            <w:pPr>
              <w:spacing w:before="0" w:after="0"/>
              <w:jc w:val="both"/>
            </w:pPr>
            <w:r>
              <w:rPr>
                <w:sz w:val="24"/>
                <w:szCs w:val="24"/>
              </w:rPr>
              <w:t xml:space="preserve">Tragen der </w:t>
            </w:r>
            <w:r>
              <w:rPr>
                <w:b/>
                <w:bCs/>
                <w:sz w:val="24"/>
                <w:szCs w:val="24"/>
              </w:rPr>
              <w:t>Kniegelenksorthese F 30 Grad</w:t>
            </w:r>
            <w:r>
              <w:rPr>
                <w:sz w:val="24"/>
                <w:szCs w:val="24"/>
              </w:rPr>
              <w:t xml:space="preserve"> bis zur Nahtentfernung Tag und Nacht empfohlen (zum Duschen abnehmbar). Gesamttragedauer: </w:t>
            </w:r>
            <w:r>
              <w:rPr>
                <w:b/>
                <w:bCs/>
                <w:sz w:val="24"/>
                <w:szCs w:val="24"/>
              </w:rPr>
              <w:t>6 Wochen.</w:t>
            </w:r>
          </w:p>
        </w:tc>
      </w:tr>
    </w:tbl>
    <w:p w14:paraId="025F9A9C">
      <w:pPr>
        <w:spacing w:before="180" w:after="0"/>
      </w:pPr>
    </w:p>
    <w:tbl>
      <w:tblPr>
        <w:tblStyle w:val="9"/>
        <w:tblW w:w="10213"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10213"/>
      </w:tblGrid>
      <w:tr w14:paraId="5D9FCF17">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PrEx>
        <w:tc>
          <w:tcPr>
            <w:tcW w:w="10213"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2BDD2C3B">
            <w:pPr>
              <w:pBdr>
                <w:bottom w:val="single" w:color="D8C990" w:sz="2" w:space="2"/>
              </w:pBdr>
              <w:spacing w:before="0" w:after="80"/>
            </w:pPr>
            <w:r>
              <w:rPr>
                <w:rFonts w:ascii="Georgia" w:hAnsi="Georgia" w:cs="Georgia"/>
                <w:b/>
                <w:bCs/>
                <w:caps/>
                <w:color w:val="9A7B2F"/>
                <w:spacing w:val="60"/>
                <w:sz w:val="22"/>
                <w:szCs w:val="22"/>
              </w:rPr>
              <w:t>Ab der 1. Woche</w:t>
            </w:r>
          </w:p>
          <w:p w14:paraId="3FCFB7FA">
            <w:pPr>
              <w:spacing w:before="30" w:after="30"/>
              <w:rPr>
                <w:rFonts w:ascii="Times New Roman" w:hAnsi="Times New Roman" w:cs="Times New Roman"/>
                <w:color w:val="1C1C1C"/>
                <w:sz w:val="24"/>
                <w:szCs w:val="24"/>
              </w:rPr>
            </w:pPr>
            <w:r>
              <w:rPr>
                <w:rFonts w:ascii="Times New Roman" w:hAnsi="Times New Roman" w:cs="Times New Roman"/>
                <w:color w:val="1C1C1C"/>
                <w:sz w:val="24"/>
                <w:szCs w:val="24"/>
              </w:rPr>
              <w:t xml:space="preserve">Abschwellende Maßnahmen mittels </w:t>
            </w:r>
            <w:r>
              <w:rPr>
                <w:rFonts w:ascii="Times New Roman" w:hAnsi="Times New Roman" w:cs="Times New Roman"/>
                <w:b/>
                <w:bCs/>
                <w:color w:val="1C1C1C"/>
                <w:sz w:val="24"/>
                <w:szCs w:val="24"/>
              </w:rPr>
              <w:t>Game Ready</w:t>
            </w:r>
            <w:r>
              <w:rPr>
                <w:rFonts w:hint="default" w:cs="Times New Roman"/>
                <w:b/>
                <w:bCs/>
                <w:color w:val="1C1C1C"/>
                <w:sz w:val="24"/>
                <w:szCs w:val="24"/>
                <w:lang w:val="de-DE"/>
              </w:rPr>
              <w:t xml:space="preserve"> Rehab</w:t>
            </w:r>
            <w:r>
              <w:rPr>
                <w:rFonts w:ascii="Times New Roman" w:hAnsi="Times New Roman" w:cs="Times New Roman"/>
                <w:color w:val="1C1C1C"/>
                <w:sz w:val="24"/>
                <w:szCs w:val="24"/>
              </w:rPr>
              <w:t xml:space="preserve"> (ca. 3–5 Einheiten nach OP) sowie </w:t>
            </w:r>
            <w:r>
              <w:rPr>
                <w:rFonts w:ascii="Times New Roman" w:hAnsi="Times New Roman" w:cs="Times New Roman"/>
                <w:b/>
                <w:bCs/>
                <w:color w:val="1C1C1C"/>
                <w:sz w:val="24"/>
                <w:szCs w:val="24"/>
              </w:rPr>
              <w:t>Magnetolitherapie</w:t>
            </w:r>
            <w:r>
              <w:rPr>
                <w:rFonts w:ascii="Times New Roman" w:hAnsi="Times New Roman" w:cs="Times New Roman"/>
                <w:color w:val="1C1C1C"/>
                <w:sz w:val="24"/>
                <w:szCs w:val="24"/>
              </w:rPr>
              <w:t xml:space="preserve"> (ca. 6–8 Einheiten, alle 3–5 Tage in der Ordination).</w:t>
            </w:r>
          </w:p>
          <w:p w14:paraId="4B7116B2">
            <w:pPr>
              <w:spacing w:before="30" w:after="30"/>
              <w:rPr>
                <w:rFonts w:ascii="Times New Roman" w:hAnsi="Times New Roman" w:cs="Times New Roman"/>
                <w:color w:val="1C1C1C"/>
                <w:sz w:val="24"/>
                <w:szCs w:val="24"/>
              </w:rPr>
            </w:pPr>
          </w:p>
          <w:p w14:paraId="7FDDEB3E">
            <w:pPr>
              <w:spacing w:before="30" w:after="30"/>
              <w:rPr>
                <w:rFonts w:ascii="Times New Roman" w:hAnsi="Times New Roman" w:cs="Times New Roman"/>
                <w:color w:val="1C1C1C"/>
                <w:sz w:val="24"/>
                <w:szCs w:val="24"/>
              </w:rPr>
            </w:pPr>
            <w:r>
              <w:rPr>
                <w:rFonts w:ascii="Times New Roman" w:hAnsi="Times New Roman" w:cs="Times New Roman"/>
                <w:b/>
                <w:bCs/>
                <w:color w:val="1C1C1C"/>
                <w:sz w:val="24"/>
                <w:szCs w:val="24"/>
              </w:rPr>
              <w:t>Zu Hause:</w:t>
            </w:r>
            <w:r>
              <w:rPr>
                <w:rFonts w:ascii="Times New Roman" w:hAnsi="Times New Roman" w:cs="Times New Roman"/>
                <w:color w:val="1C1C1C"/>
                <w:sz w:val="24"/>
                <w:szCs w:val="24"/>
              </w:rPr>
              <w:t xml:space="preserve"> Coolpacks, Hochlagerung des Beines sowie isometrische Spannungsübungen mit aktivem Strecken im Kniegelenk.</w:t>
            </w:r>
            <w:r>
              <w:rPr>
                <w:rFonts w:hint="default" w:cs="Times New Roman"/>
                <w:color w:val="1C1C1C"/>
                <w:sz w:val="24"/>
                <w:szCs w:val="24"/>
                <w:lang w:val="de-DE"/>
              </w:rPr>
              <w:t xml:space="preserve"> </w:t>
            </w:r>
            <w:r>
              <w:rPr>
                <w:rFonts w:ascii="Times New Roman" w:hAnsi="Times New Roman" w:cs="Times New Roman"/>
                <w:color w:val="1C1C1C"/>
                <w:sz w:val="24"/>
                <w:szCs w:val="24"/>
              </w:rPr>
              <w:t>Duschpflaster können regelmäßig nach Bedarf gewechselt werden.</w:t>
            </w:r>
          </w:p>
          <w:p w14:paraId="02DA02AF">
            <w:pPr>
              <w:spacing w:before="30" w:after="60"/>
            </w:pPr>
          </w:p>
          <w:p w14:paraId="3276F783">
            <w:pPr>
              <w:pBdr>
                <w:top w:val="single" w:color="D8C990" w:sz="2" w:space="2"/>
                <w:bottom w:val="single" w:color="D8C990" w:sz="2" w:space="2"/>
              </w:pBdr>
              <w:spacing w:before="60" w:after="80"/>
            </w:pPr>
            <w:r>
              <w:rPr>
                <w:rFonts w:ascii="Georgia" w:hAnsi="Georgia" w:cs="Georgia"/>
                <w:b/>
                <w:bCs/>
                <w:caps/>
                <w:color w:val="9A7B2F"/>
                <w:spacing w:val="60"/>
                <w:sz w:val="22"/>
                <w:szCs w:val="22"/>
              </w:rPr>
              <w:t>Ab der 2. Woche</w:t>
            </w:r>
          </w:p>
          <w:p w14:paraId="0BB88FEA">
            <w:pPr>
              <w:spacing w:before="30" w:after="30"/>
              <w:rPr>
                <w:rFonts w:ascii="Times New Roman" w:hAnsi="Times New Roman" w:cs="Times New Roman"/>
                <w:color w:val="1C1C1C"/>
                <w:sz w:val="24"/>
                <w:szCs w:val="24"/>
              </w:rPr>
            </w:pPr>
            <w:r>
              <w:rPr>
                <w:rFonts w:ascii="Times New Roman" w:hAnsi="Times New Roman" w:cs="Times New Roman"/>
                <w:color w:val="1C1C1C"/>
                <w:sz w:val="24"/>
                <w:szCs w:val="24"/>
              </w:rPr>
              <w:t>Beginn mit Bewegungsübungen in der geschlossenen Kette sowie Physiotherapie und Koordinationstraining unter Anleitung.</w:t>
            </w:r>
          </w:p>
          <w:p w14:paraId="0DEE9BA0">
            <w:pPr>
              <w:spacing w:before="30" w:after="30"/>
              <w:rPr>
                <w:rFonts w:ascii="Times New Roman" w:hAnsi="Times New Roman" w:cs="Times New Roman"/>
                <w:color w:val="1C1C1C"/>
                <w:sz w:val="24"/>
                <w:szCs w:val="24"/>
              </w:rPr>
            </w:pPr>
          </w:p>
          <w:p w14:paraId="0D2BA440">
            <w:pPr>
              <w:spacing w:before="30" w:after="30"/>
            </w:pPr>
            <w:r>
              <w:rPr>
                <w:rFonts w:ascii="Times New Roman" w:hAnsi="Times New Roman" w:cs="Times New Roman"/>
                <w:color w:val="1C1C1C"/>
                <w:sz w:val="24"/>
                <w:szCs w:val="24"/>
              </w:rPr>
              <w:t xml:space="preserve">Im Rahmen der Nahtentfernung: Beginn mit der </w:t>
            </w:r>
            <w:r>
              <w:rPr>
                <w:rFonts w:ascii="Times New Roman" w:hAnsi="Times New Roman" w:cs="Times New Roman"/>
                <w:b/>
                <w:bCs/>
                <w:color w:val="1C1C1C"/>
                <w:sz w:val="24"/>
                <w:szCs w:val="24"/>
              </w:rPr>
              <w:t>Stoßwellentherapie ESWT</w:t>
            </w:r>
            <w:r>
              <w:rPr>
                <w:rFonts w:ascii="Times New Roman" w:hAnsi="Times New Roman" w:cs="Times New Roman"/>
                <w:color w:val="1C1C1C"/>
                <w:sz w:val="24"/>
                <w:szCs w:val="24"/>
              </w:rPr>
              <w:t xml:space="preserve"> (5 Einheiten alle </w:t>
            </w:r>
            <w:r>
              <w:rPr>
                <w:rFonts w:hint="default" w:cs="Times New Roman"/>
                <w:color w:val="1C1C1C"/>
                <w:sz w:val="24"/>
                <w:szCs w:val="24"/>
                <w:lang w:val="de-DE"/>
              </w:rPr>
              <w:t>10</w:t>
            </w:r>
            <w:r>
              <w:rPr>
                <w:rFonts w:ascii="Times New Roman" w:hAnsi="Times New Roman" w:cs="Times New Roman"/>
                <w:color w:val="1C1C1C"/>
                <w:sz w:val="24"/>
                <w:szCs w:val="24"/>
              </w:rPr>
              <w:t>–14 Tage in der Ordination).</w:t>
            </w:r>
          </w:p>
          <w:p w14:paraId="47F80A44">
            <w:pPr>
              <w:spacing w:before="30" w:after="30"/>
              <w:rPr>
                <w:rFonts w:ascii="Times New Roman" w:hAnsi="Times New Roman" w:cs="Times New Roman"/>
                <w:color w:val="1C1C1C"/>
                <w:sz w:val="24"/>
                <w:szCs w:val="24"/>
              </w:rPr>
            </w:pPr>
            <w:r>
              <w:rPr>
                <w:rFonts w:ascii="Times New Roman" w:hAnsi="Times New Roman" w:cs="Times New Roman"/>
                <w:color w:val="1C1C1C"/>
                <w:sz w:val="24"/>
                <w:szCs w:val="24"/>
              </w:rPr>
              <w:t xml:space="preserve">Die </w:t>
            </w:r>
            <w:r>
              <w:rPr>
                <w:b/>
                <w:bCs/>
                <w:sz w:val="24"/>
                <w:szCs w:val="24"/>
              </w:rPr>
              <w:t xml:space="preserve">Kniegelenksorthese </w:t>
            </w:r>
            <w:r>
              <w:rPr>
                <w:rFonts w:ascii="Times New Roman" w:hAnsi="Times New Roman" w:cs="Times New Roman"/>
                <w:color w:val="1C1C1C"/>
                <w:sz w:val="24"/>
                <w:szCs w:val="24"/>
              </w:rPr>
              <w:t xml:space="preserve">kann am </w:t>
            </w:r>
            <w:r>
              <w:rPr>
                <w:rFonts w:ascii="Times New Roman" w:hAnsi="Times New Roman" w:cs="Times New Roman"/>
                <w:b/>
                <w:bCs/>
                <w:color w:val="1C1C1C"/>
                <w:sz w:val="24"/>
                <w:szCs w:val="24"/>
              </w:rPr>
              <w:t>Ende der 2. Woche</w:t>
            </w:r>
            <w:r>
              <w:rPr>
                <w:rFonts w:ascii="Times New Roman" w:hAnsi="Times New Roman" w:cs="Times New Roman"/>
                <w:color w:val="1C1C1C"/>
                <w:sz w:val="24"/>
                <w:szCs w:val="24"/>
              </w:rPr>
              <w:t xml:space="preserve"> auf </w:t>
            </w:r>
            <w:r>
              <w:rPr>
                <w:rFonts w:ascii="Times New Roman" w:hAnsi="Times New Roman" w:cs="Times New Roman"/>
                <w:b/>
                <w:bCs/>
                <w:color w:val="1C1C1C"/>
                <w:sz w:val="24"/>
                <w:szCs w:val="24"/>
              </w:rPr>
              <w:t xml:space="preserve"> </w:t>
            </w:r>
            <w:r>
              <w:rPr>
                <w:rFonts w:hint="default" w:cs="Times New Roman"/>
                <w:b/>
                <w:bCs/>
                <w:color w:val="1C1C1C"/>
                <w:sz w:val="24"/>
                <w:szCs w:val="24"/>
                <w:lang w:val="de-DE"/>
              </w:rPr>
              <w:t xml:space="preserve">F </w:t>
            </w:r>
            <w:r>
              <w:rPr>
                <w:rFonts w:ascii="Times New Roman" w:hAnsi="Times New Roman" w:cs="Times New Roman"/>
                <w:b/>
                <w:bCs/>
                <w:color w:val="1C1C1C"/>
                <w:sz w:val="24"/>
                <w:szCs w:val="24"/>
              </w:rPr>
              <w:t>90 Gra</w:t>
            </w:r>
            <w:bookmarkStart w:id="0" w:name="_GoBack"/>
            <w:bookmarkEnd w:id="0"/>
            <w:r>
              <w:rPr>
                <w:rFonts w:ascii="Times New Roman" w:hAnsi="Times New Roman" w:cs="Times New Roman"/>
                <w:b/>
                <w:bCs/>
                <w:color w:val="1C1C1C"/>
                <w:sz w:val="24"/>
                <w:szCs w:val="24"/>
              </w:rPr>
              <w:t>d</w:t>
            </w:r>
            <w:r>
              <w:rPr>
                <w:rFonts w:ascii="Times New Roman" w:hAnsi="Times New Roman" w:cs="Times New Roman"/>
                <w:color w:val="1C1C1C"/>
                <w:sz w:val="24"/>
                <w:szCs w:val="24"/>
              </w:rPr>
              <w:t xml:space="preserve"> umgestellt werden.</w:t>
            </w:r>
          </w:p>
        </w:tc>
      </w:tr>
    </w:tbl>
    <w:p w14:paraId="23A60B50">
      <w:pPr>
        <w:spacing w:before="180" w:after="0"/>
      </w:pPr>
    </w:p>
    <w:tbl>
      <w:tblPr>
        <w:tblStyle w:val="9"/>
        <w:tblW w:w="10204" w:type="dxa"/>
        <w:tblInd w:w="0"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4A748245">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616A0E3B">
            <w:pPr>
              <w:spacing w:before="0" w:after="60"/>
            </w:pPr>
            <w:r>
              <w:rPr>
                <w:rFonts w:ascii="Georgia" w:hAnsi="Georgia" w:cs="Georgia"/>
                <w:b/>
                <w:bCs/>
                <w:color w:val="9A7B2F"/>
                <w:sz w:val="24"/>
                <w:szCs w:val="24"/>
              </w:rPr>
              <w:t xml:space="preserve">Fortsetzung auf Seite 2 – </w:t>
            </w:r>
            <w:r>
              <w:rPr>
                <w:rFonts w:ascii="Times New Roman" w:hAnsi="Times New Roman" w:cs="Times New Roman"/>
                <w:color w:val="3E3E3E"/>
                <w:sz w:val="24"/>
                <w:szCs w:val="24"/>
              </w:rPr>
              <w:t>Rehabilitation ab Woche 4 bis zur Sportfreigabe nach 9–12 Monaten</w:t>
            </w:r>
          </w:p>
        </w:tc>
      </w:tr>
    </w:tbl>
    <w:p w14:paraId="03045F90">
      <w:pPr>
        <w:spacing w:before="0" w:after="0"/>
      </w:pPr>
      <w:r>
        <w:br w:type="page"/>
      </w:r>
    </w:p>
    <w:p w14:paraId="12F7B033">
      <w:pPr>
        <w:spacing w:before="120" w:after="40"/>
        <w:jc w:val="center"/>
        <w:rPr>
          <w:rFonts w:ascii="Georgia" w:hAnsi="Georgia" w:cs="Georgia"/>
          <w:color w:val="101010"/>
          <w:sz w:val="20"/>
          <w:szCs w:val="20"/>
        </w:rPr>
      </w:pPr>
    </w:p>
    <w:p w14:paraId="4855C18C">
      <w:pPr>
        <w:spacing w:before="120" w:after="40"/>
        <w:jc w:val="center"/>
      </w:pPr>
      <w:r>
        <w:rPr>
          <w:rFonts w:ascii="Georgia" w:hAnsi="Georgia" w:cs="Georgia"/>
          <w:color w:val="101010"/>
          <w:sz w:val="38"/>
          <w:szCs w:val="38"/>
        </w:rPr>
        <w:t xml:space="preserve">Nachbehandlung bei </w:t>
      </w:r>
      <w:r>
        <w:rPr>
          <w:rFonts w:ascii="Georgia" w:hAnsi="Georgia" w:cs="Georgia"/>
          <w:color w:val="B8952A"/>
          <w:sz w:val="38"/>
          <w:szCs w:val="38"/>
        </w:rPr>
        <w:t>MPFL Rekonstruktion</w:t>
      </w:r>
    </w:p>
    <w:p w14:paraId="6A1A102C">
      <w:pPr>
        <w:spacing w:before="0" w:after="60"/>
        <w:jc w:val="center"/>
      </w:pPr>
      <w:r>
        <w:rPr>
          <w:rFonts w:ascii="Calibri" w:hAnsi="Calibri" w:cs="Calibri"/>
          <w:color w:val="auto"/>
          <w:spacing w:val="60"/>
          <w:sz w:val="24"/>
          <w:szCs w:val="24"/>
        </w:rPr>
        <w:t>Wochen 4–</w:t>
      </w:r>
      <w:r>
        <w:rPr>
          <w:rFonts w:hint="default" w:ascii="Calibri" w:hAnsi="Calibri" w:cs="Calibri"/>
          <w:color w:val="auto"/>
          <w:spacing w:val="60"/>
          <w:sz w:val="24"/>
          <w:szCs w:val="24"/>
          <w:lang w:val="de-DE"/>
        </w:rPr>
        <w:t>5</w:t>
      </w:r>
      <w:r>
        <w:rPr>
          <w:rFonts w:ascii="Calibri" w:hAnsi="Calibri" w:cs="Calibri"/>
          <w:color w:val="auto"/>
          <w:spacing w:val="60"/>
          <w:sz w:val="24"/>
          <w:szCs w:val="24"/>
        </w:rPr>
        <w:t>2  ·  Sport &amp; langfristige Rehabilitation</w:t>
      </w:r>
    </w:p>
    <w:p w14:paraId="09FACCC0">
      <w:pPr>
        <w:pBdr>
          <w:bottom w:val="single" w:color="DDD8CC" w:sz="2" w:space="1"/>
        </w:pBdr>
        <w:spacing w:before="0" w:after="0"/>
      </w:pPr>
    </w:p>
    <w:p w14:paraId="58B32F46">
      <w:pPr>
        <w:spacing w:before="180" w:after="0"/>
      </w:pPr>
    </w:p>
    <w:tbl>
      <w:tblPr>
        <w:tblStyle w:val="9"/>
        <w:tblW w:w="10189"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10189"/>
      </w:tblGrid>
      <w:tr w14:paraId="0EE18BB4">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PrEx>
        <w:tc>
          <w:tcPr>
            <w:tcW w:w="10189"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7FE606B2">
            <w:pPr>
              <w:pBdr>
                <w:bottom w:val="single" w:color="D8C990" w:sz="2" w:space="2"/>
              </w:pBdr>
              <w:spacing w:before="0" w:after="80"/>
              <w:rPr>
                <w:rFonts w:hint="default"/>
                <w:lang w:val="de-DE"/>
              </w:rPr>
            </w:pPr>
            <w:r>
              <w:rPr>
                <w:rFonts w:hint="default" w:ascii="Georgia" w:hAnsi="Georgia" w:cs="Georgia"/>
                <w:b/>
                <w:bCs/>
                <w:caps/>
                <w:color w:val="9A7B2F"/>
                <w:spacing w:val="60"/>
                <w:sz w:val="22"/>
                <w:szCs w:val="22"/>
                <w:lang w:val="de-DE"/>
              </w:rPr>
              <w:t>Nach 4</w:t>
            </w:r>
            <w:r>
              <w:rPr>
                <w:rFonts w:ascii="Georgia" w:hAnsi="Georgia" w:cs="Georgia"/>
                <w:b/>
                <w:bCs/>
                <w:caps/>
                <w:color w:val="9A7B2F"/>
                <w:spacing w:val="60"/>
                <w:sz w:val="22"/>
                <w:szCs w:val="22"/>
              </w:rPr>
              <w:t xml:space="preserve"> Wochen</w:t>
            </w:r>
          </w:p>
          <w:p w14:paraId="439617AE">
            <w:pPr>
              <w:rPr>
                <w:sz w:val="24"/>
                <w:szCs w:val="24"/>
              </w:rPr>
            </w:pPr>
            <w:r>
              <w:rPr>
                <w:rFonts w:hint="default" w:cs="Times New Roman"/>
                <w:color w:val="1C1C1C"/>
                <w:sz w:val="24"/>
                <w:szCs w:val="24"/>
                <w:lang w:val="de-DE"/>
              </w:rPr>
              <w:t>B</w:t>
            </w:r>
            <w:r>
              <w:rPr>
                <w:sz w:val="24"/>
                <w:szCs w:val="24"/>
              </w:rPr>
              <w:t xml:space="preserve">eginn mit Infiltrationen zur Optimierung der Einheilung des vorderen Kreuzbandes sowie zum Schutz des Gelenkknorpels und zur raschen Wiederherstellung der Gelenksschmiere. </w:t>
            </w:r>
          </w:p>
          <w:p w14:paraId="28ACA3F9">
            <w:pPr>
              <w:rPr>
                <w:sz w:val="24"/>
                <w:szCs w:val="24"/>
              </w:rPr>
            </w:pPr>
          </w:p>
          <w:p w14:paraId="22ECD368">
            <w:pPr>
              <w:rPr>
                <w:rFonts w:hint="default" w:cs="Times New Roman"/>
                <w:color w:val="1C1C1C"/>
                <w:sz w:val="24"/>
                <w:szCs w:val="24"/>
                <w:lang w:val="de-DE"/>
              </w:rPr>
            </w:pPr>
            <w:r>
              <w:rPr>
                <w:b/>
                <w:bCs/>
                <w:sz w:val="24"/>
                <w:szCs w:val="24"/>
              </w:rPr>
              <w:t>Verfügbare Optionen:</w:t>
            </w:r>
            <w:r>
              <w:rPr>
                <w:sz w:val="24"/>
                <w:szCs w:val="24"/>
              </w:rPr>
              <w:t xml:space="preserve"> ACP-PRP in Kombination mit Hyaluronsäure sowie isolierte Infiltrationen mit hochkonzentrierter Hyaluronsäur</w:t>
            </w:r>
            <w:r>
              <w:rPr>
                <w:rFonts w:hint="default"/>
                <w:sz w:val="24"/>
                <w:szCs w:val="24"/>
                <w:lang w:val="de-DE"/>
              </w:rPr>
              <w:t>e.</w:t>
            </w:r>
          </w:p>
          <w:p w14:paraId="093EDC1F">
            <w:pPr>
              <w:rPr>
                <w:rFonts w:hint="default" w:ascii="Georgia" w:hAnsi="Georgia" w:cs="Georgia"/>
                <w:b/>
                <w:bCs/>
                <w:caps/>
                <w:color w:val="9A7B2F"/>
                <w:spacing w:val="60"/>
                <w:sz w:val="22"/>
                <w:szCs w:val="22"/>
                <w:lang w:val="de-DE"/>
              </w:rPr>
            </w:pPr>
          </w:p>
          <w:p w14:paraId="5853B3D9">
            <w:pPr>
              <w:pBdr>
                <w:top w:val="single" w:color="D8C990" w:sz="2" w:space="2"/>
                <w:bottom w:val="single" w:color="D8C990" w:sz="2" w:space="2"/>
              </w:pBdr>
              <w:spacing w:before="60" w:after="80"/>
            </w:pPr>
            <w:r>
              <w:rPr>
                <w:rFonts w:ascii="Georgia" w:hAnsi="Georgia" w:cs="Georgia"/>
                <w:b/>
                <w:bCs/>
                <w:caps/>
                <w:color w:val="9A7B2F"/>
                <w:spacing w:val="60"/>
                <w:sz w:val="22"/>
                <w:szCs w:val="22"/>
              </w:rPr>
              <w:t xml:space="preserve">Nach </w:t>
            </w:r>
            <w:r>
              <w:rPr>
                <w:rFonts w:hint="default" w:ascii="Georgia" w:hAnsi="Georgia" w:cs="Georgia"/>
                <w:b/>
                <w:bCs/>
                <w:caps/>
                <w:color w:val="9A7B2F"/>
                <w:spacing w:val="60"/>
                <w:sz w:val="22"/>
                <w:szCs w:val="22"/>
                <w:lang w:val="de-DE"/>
              </w:rPr>
              <w:t>6</w:t>
            </w:r>
            <w:r>
              <w:rPr>
                <w:rFonts w:ascii="Georgia" w:hAnsi="Georgia" w:cs="Georgia"/>
                <w:b/>
                <w:bCs/>
                <w:caps/>
                <w:color w:val="9A7B2F"/>
                <w:spacing w:val="60"/>
                <w:sz w:val="22"/>
                <w:szCs w:val="22"/>
              </w:rPr>
              <w:t xml:space="preserve"> Wochen</w:t>
            </w:r>
          </w:p>
          <w:p w14:paraId="4F972A8D">
            <w:pPr>
              <w:spacing w:before="30" w:after="30"/>
              <w:rPr>
                <w:rFonts w:ascii="Times New Roman" w:hAnsi="Times New Roman" w:cs="Times New Roman"/>
                <w:color w:val="1C1C1C"/>
                <w:sz w:val="24"/>
                <w:szCs w:val="24"/>
              </w:rPr>
            </w:pPr>
            <w:r>
              <w:rPr>
                <w:rFonts w:hint="default" w:cs="Times New Roman"/>
                <w:color w:val="1C1C1C"/>
                <w:sz w:val="24"/>
                <w:szCs w:val="24"/>
                <w:lang w:val="de-DE"/>
              </w:rPr>
              <w:t xml:space="preserve">Beginn </w:t>
            </w:r>
            <w:r>
              <w:rPr>
                <w:rFonts w:ascii="Times New Roman" w:hAnsi="Times New Roman" w:cs="Times New Roman"/>
                <w:color w:val="1C1C1C"/>
                <w:sz w:val="24"/>
                <w:szCs w:val="24"/>
              </w:rPr>
              <w:t xml:space="preserve"> mit vorsichtigem </w:t>
            </w:r>
            <w:r>
              <w:rPr>
                <w:rFonts w:ascii="Times New Roman" w:hAnsi="Times New Roman" w:cs="Times New Roman"/>
                <w:b/>
                <w:bCs/>
                <w:color w:val="1C1C1C"/>
                <w:sz w:val="24"/>
                <w:szCs w:val="24"/>
              </w:rPr>
              <w:t>Ergometerfahren</w:t>
            </w:r>
            <w:r>
              <w:rPr>
                <w:rFonts w:ascii="Times New Roman" w:hAnsi="Times New Roman" w:cs="Times New Roman"/>
                <w:color w:val="1C1C1C"/>
                <w:sz w:val="24"/>
                <w:szCs w:val="24"/>
              </w:rPr>
              <w:t xml:space="preserve"> bei Beugung ab 100 Grad (geringe Watt-Zahl, geringe Trittfrequenz, hoher Sattel). Die Orthese kann konsequent weggelassen</w:t>
            </w:r>
            <w:r>
              <w:rPr>
                <w:rFonts w:hint="default" w:cs="Times New Roman"/>
                <w:color w:val="1C1C1C"/>
                <w:sz w:val="24"/>
                <w:szCs w:val="24"/>
                <w:lang w:val="de-DE"/>
              </w:rPr>
              <w:t xml:space="preserve"> werden</w:t>
            </w:r>
            <w:r>
              <w:rPr>
                <w:rFonts w:ascii="Times New Roman" w:hAnsi="Times New Roman" w:cs="Times New Roman"/>
                <w:color w:val="1C1C1C"/>
                <w:sz w:val="24"/>
                <w:szCs w:val="24"/>
              </w:rPr>
              <w:t>.</w:t>
            </w:r>
          </w:p>
          <w:p w14:paraId="1B74FC34">
            <w:pPr>
              <w:rPr>
                <w:rFonts w:hint="default" w:ascii="Georgia" w:hAnsi="Georgia" w:cs="Georgia"/>
                <w:b/>
                <w:bCs/>
                <w:caps/>
                <w:color w:val="9A7B2F"/>
                <w:spacing w:val="60"/>
                <w:sz w:val="22"/>
                <w:szCs w:val="22"/>
                <w:lang w:val="de-DE"/>
              </w:rPr>
            </w:pPr>
          </w:p>
          <w:p w14:paraId="5450BAEC">
            <w:pPr>
              <w:pBdr>
                <w:top w:val="single" w:color="D8C990" w:sz="2" w:space="2"/>
                <w:bottom w:val="single" w:color="D8C990" w:sz="2" w:space="2"/>
              </w:pBdr>
              <w:spacing w:before="60" w:after="80"/>
            </w:pPr>
            <w:r>
              <w:rPr>
                <w:rFonts w:ascii="Georgia" w:hAnsi="Georgia" w:cs="Georgia"/>
                <w:b/>
                <w:bCs/>
                <w:caps/>
                <w:color w:val="9A7B2F"/>
                <w:spacing w:val="60"/>
                <w:sz w:val="22"/>
                <w:szCs w:val="22"/>
              </w:rPr>
              <w:t>Nach 8 Wochen</w:t>
            </w:r>
          </w:p>
          <w:p w14:paraId="45F4B2CA">
            <w:pPr>
              <w:spacing w:before="30" w:after="30"/>
              <w:rPr>
                <w:rFonts w:ascii="Times New Roman" w:hAnsi="Times New Roman" w:cs="Times New Roman"/>
                <w:color w:val="1C1C1C"/>
                <w:sz w:val="24"/>
                <w:szCs w:val="24"/>
              </w:rPr>
            </w:pPr>
            <w:r>
              <w:rPr>
                <w:rFonts w:ascii="Times New Roman" w:hAnsi="Times New Roman" w:cs="Times New Roman"/>
                <w:color w:val="1C1C1C"/>
                <w:sz w:val="24"/>
                <w:szCs w:val="24"/>
              </w:rPr>
              <w:t xml:space="preserve">Steigen Sie mit Nordic Walking, Schwimmen und Outdoor-Radfahren sanft wieder ein. Aquajogging und </w:t>
            </w:r>
            <w:r>
              <w:rPr>
                <w:rFonts w:ascii="Times New Roman" w:hAnsi="Times New Roman" w:cs="Times New Roman"/>
                <w:b/>
                <w:bCs/>
                <w:color w:val="1C1C1C"/>
                <w:sz w:val="24"/>
                <w:szCs w:val="24"/>
              </w:rPr>
              <w:t xml:space="preserve">angeleitetes </w:t>
            </w:r>
            <w:r>
              <w:rPr>
                <w:rFonts w:ascii="Times New Roman" w:hAnsi="Times New Roman" w:cs="Times New Roman"/>
                <w:color w:val="1C1C1C"/>
                <w:sz w:val="24"/>
                <w:szCs w:val="24"/>
              </w:rPr>
              <w:t xml:space="preserve">Kraft-Stabilitäts-Training durch </w:t>
            </w:r>
            <w:r>
              <w:rPr>
                <w:rFonts w:ascii="Times New Roman" w:hAnsi="Times New Roman" w:cs="Times New Roman"/>
                <w:b/>
                <w:bCs/>
                <w:color w:val="1C1C1C"/>
                <w:sz w:val="24"/>
                <w:szCs w:val="24"/>
              </w:rPr>
              <w:t xml:space="preserve">unsere </w:t>
            </w:r>
            <w:r>
              <w:rPr>
                <w:rFonts w:hint="default" w:cs="Times New Roman"/>
                <w:b/>
                <w:bCs/>
                <w:color w:val="1C1C1C"/>
                <w:sz w:val="24"/>
                <w:szCs w:val="24"/>
                <w:lang w:val="de-DE"/>
              </w:rPr>
              <w:t>Physiot</w:t>
            </w:r>
            <w:r>
              <w:rPr>
                <w:rFonts w:ascii="Times New Roman" w:hAnsi="Times New Roman" w:cs="Times New Roman"/>
                <w:b/>
                <w:bCs/>
                <w:color w:val="1C1C1C"/>
                <w:sz w:val="24"/>
                <w:szCs w:val="24"/>
              </w:rPr>
              <w:t xml:space="preserve">herapeuten und </w:t>
            </w:r>
            <w:r>
              <w:rPr>
                <w:rFonts w:hint="default" w:cs="Times New Roman"/>
                <w:b/>
                <w:bCs/>
                <w:color w:val="1C1C1C"/>
                <w:sz w:val="24"/>
                <w:szCs w:val="24"/>
                <w:lang w:val="de-DE"/>
              </w:rPr>
              <w:t>Physiot</w:t>
            </w:r>
            <w:r>
              <w:rPr>
                <w:rFonts w:ascii="Times New Roman" w:hAnsi="Times New Roman" w:cs="Times New Roman"/>
                <w:b/>
                <w:bCs/>
                <w:color w:val="1C1C1C"/>
                <w:sz w:val="24"/>
                <w:szCs w:val="24"/>
              </w:rPr>
              <w:t>herapeut</w:t>
            </w:r>
            <w:r>
              <w:rPr>
                <w:rFonts w:hint="default" w:cs="Times New Roman"/>
                <w:b/>
                <w:bCs/>
                <w:color w:val="1C1C1C"/>
                <w:sz w:val="24"/>
                <w:szCs w:val="24"/>
                <w:lang w:val="de-DE"/>
              </w:rPr>
              <w:t xml:space="preserve">innen </w:t>
            </w:r>
            <w:r>
              <w:rPr>
                <w:rFonts w:ascii="Times New Roman" w:hAnsi="Times New Roman" w:cs="Times New Roman"/>
                <w:b/>
                <w:bCs/>
                <w:color w:val="1C1C1C"/>
                <w:sz w:val="24"/>
                <w:szCs w:val="24"/>
              </w:rPr>
              <w:t xml:space="preserve"> </w:t>
            </w:r>
            <w:r>
              <w:rPr>
                <w:rFonts w:ascii="Times New Roman" w:hAnsi="Times New Roman" w:cs="Times New Roman"/>
                <w:color w:val="1C1C1C"/>
                <w:sz w:val="24"/>
                <w:szCs w:val="24"/>
              </w:rPr>
              <w:t>runden das Programm ab, um Ihren Genesungsprozess optimal zu unterstützen.</w:t>
            </w:r>
          </w:p>
          <w:p w14:paraId="679CA6D6">
            <w:pPr>
              <w:spacing w:before="30" w:after="30"/>
              <w:rPr>
                <w:rFonts w:ascii="Times New Roman" w:hAnsi="Times New Roman" w:cs="Times New Roman"/>
                <w:color w:val="1C1C1C"/>
                <w:sz w:val="24"/>
                <w:szCs w:val="24"/>
              </w:rPr>
            </w:pPr>
          </w:p>
          <w:p w14:paraId="5952F2BE">
            <w:pPr>
              <w:pBdr>
                <w:top w:val="single" w:color="D8C990" w:sz="2" w:space="2"/>
                <w:bottom w:val="single" w:color="D8C990" w:sz="2" w:space="2"/>
              </w:pBdr>
              <w:spacing w:before="60" w:after="80"/>
              <w:rPr>
                <w:rFonts w:hint="default"/>
                <w:lang w:val="de-DE"/>
              </w:rPr>
            </w:pPr>
            <w:r>
              <w:rPr>
                <w:rFonts w:ascii="Georgia" w:hAnsi="Georgia" w:cs="Georgia"/>
                <w:b/>
                <w:bCs/>
                <w:caps/>
                <w:color w:val="9A7B2F"/>
                <w:spacing w:val="60"/>
                <w:sz w:val="22"/>
                <w:szCs w:val="22"/>
              </w:rPr>
              <w:t xml:space="preserve">Nach 12 </w:t>
            </w:r>
            <w:r>
              <w:rPr>
                <w:rFonts w:hint="default" w:ascii="Georgia" w:hAnsi="Georgia" w:cs="Georgia"/>
                <w:b/>
                <w:bCs/>
                <w:caps/>
                <w:color w:val="9A7B2F"/>
                <w:spacing w:val="60"/>
                <w:sz w:val="22"/>
                <w:szCs w:val="22"/>
                <w:lang w:val="de-DE"/>
              </w:rPr>
              <w:t>Wochen</w:t>
            </w:r>
          </w:p>
          <w:p w14:paraId="38B7C9C8">
            <w:pPr>
              <w:spacing w:before="30" w:after="60"/>
              <w:rPr>
                <w:rFonts w:ascii="Times New Roman" w:hAnsi="Times New Roman" w:cs="Times New Roman"/>
                <w:color w:val="1C1C1C"/>
                <w:sz w:val="24"/>
                <w:szCs w:val="24"/>
              </w:rPr>
            </w:pPr>
            <w:r>
              <w:rPr>
                <w:rFonts w:ascii="Times New Roman" w:hAnsi="Times New Roman" w:cs="Times New Roman"/>
                <w:color w:val="1C1C1C"/>
                <w:sz w:val="24"/>
                <w:szCs w:val="24"/>
              </w:rPr>
              <w:t xml:space="preserve">Beginn mit lockerem Laufen sowie zunehmenden </w:t>
            </w:r>
            <w:r>
              <w:rPr>
                <w:rFonts w:ascii="Times New Roman" w:hAnsi="Times New Roman" w:cs="Times New Roman"/>
                <w:b/>
                <w:bCs/>
                <w:color w:val="1C1C1C"/>
                <w:sz w:val="24"/>
                <w:szCs w:val="24"/>
              </w:rPr>
              <w:t>muskelaufbauenden Kraft- und Stabilisierungs</w:t>
            </w:r>
            <w:r>
              <w:rPr>
                <w:rFonts w:hint="default" w:cs="Times New Roman"/>
                <w:b/>
                <w:bCs/>
                <w:color w:val="1C1C1C"/>
                <w:sz w:val="24"/>
                <w:szCs w:val="24"/>
                <w:lang w:val="de-DE"/>
              </w:rPr>
              <w:t>-</w:t>
            </w:r>
            <w:r>
              <w:rPr>
                <w:rFonts w:ascii="Times New Roman" w:hAnsi="Times New Roman" w:cs="Times New Roman"/>
                <w:b/>
                <w:bCs/>
                <w:color w:val="1C1C1C"/>
                <w:sz w:val="24"/>
                <w:szCs w:val="24"/>
              </w:rPr>
              <w:t>übungen</w:t>
            </w:r>
            <w:r>
              <w:rPr>
                <w:rFonts w:ascii="Times New Roman" w:hAnsi="Times New Roman" w:cs="Times New Roman"/>
                <w:color w:val="1C1C1C"/>
                <w:sz w:val="24"/>
                <w:szCs w:val="24"/>
              </w:rPr>
              <w:t xml:space="preserve"> unter Anleitung der Physiotherapeuten/Innen.</w:t>
            </w:r>
          </w:p>
          <w:p w14:paraId="64522469">
            <w:pPr>
              <w:spacing w:before="30" w:after="60"/>
              <w:rPr>
                <w:rFonts w:ascii="Times New Roman" w:hAnsi="Times New Roman" w:cs="Times New Roman"/>
                <w:color w:val="1C1C1C"/>
                <w:sz w:val="24"/>
                <w:szCs w:val="24"/>
              </w:rPr>
            </w:pPr>
          </w:p>
          <w:p w14:paraId="2923545C">
            <w:pPr>
              <w:pBdr>
                <w:top w:val="single" w:color="D8C990" w:sz="2" w:space="2"/>
                <w:bottom w:val="single" w:color="D8C990" w:sz="2" w:space="2"/>
              </w:pBdr>
              <w:spacing w:before="60" w:after="80"/>
            </w:pPr>
            <w:r>
              <w:rPr>
                <w:rFonts w:ascii="Georgia" w:hAnsi="Georgia" w:cs="Georgia"/>
                <w:b/>
                <w:bCs/>
                <w:caps/>
                <w:color w:val="9A7B2F"/>
                <w:spacing w:val="60"/>
                <w:sz w:val="22"/>
                <w:szCs w:val="22"/>
              </w:rPr>
              <w:t>Nach 9 bis 12 Monaten</w:t>
            </w:r>
          </w:p>
          <w:p w14:paraId="7CAC7883">
            <w:pPr>
              <w:rPr>
                <w:rFonts w:hint="default" w:ascii="Georgia" w:hAnsi="Georgia" w:cs="Georgia"/>
                <w:b/>
                <w:bCs/>
                <w:caps/>
                <w:color w:val="9A7B2F"/>
                <w:spacing w:val="60"/>
                <w:sz w:val="22"/>
                <w:szCs w:val="22"/>
                <w:lang w:val="de-DE"/>
              </w:rPr>
            </w:pPr>
            <w:r>
              <w:rPr>
                <w:rFonts w:ascii="Times New Roman" w:hAnsi="Times New Roman" w:cs="Times New Roman"/>
                <w:color w:val="1C1C1C"/>
                <w:sz w:val="24"/>
                <w:szCs w:val="24"/>
              </w:rPr>
              <w:t xml:space="preserve">Vorsichtiger Beginn mit </w:t>
            </w:r>
            <w:r>
              <w:rPr>
                <w:rFonts w:ascii="Times New Roman" w:hAnsi="Times New Roman" w:cs="Times New Roman"/>
                <w:b/>
                <w:bCs/>
                <w:color w:val="1C1C1C"/>
                <w:sz w:val="24"/>
                <w:szCs w:val="24"/>
              </w:rPr>
              <w:t>Kontaktsport</w:t>
            </w:r>
            <w:r>
              <w:rPr>
                <w:rFonts w:ascii="Times New Roman" w:hAnsi="Times New Roman" w:cs="Times New Roman"/>
                <w:color w:val="1C1C1C"/>
                <w:sz w:val="24"/>
                <w:szCs w:val="24"/>
              </w:rPr>
              <w:t xml:space="preserve"> (Kampfsportarten) sowie Stop-and-Go-Sportarten (Fußball, Tennis, Squash, Skifahren etc.) nach</w:t>
            </w:r>
            <w:r>
              <w:rPr>
                <w:rFonts w:hint="default" w:cs="Times New Roman"/>
                <w:color w:val="1C1C1C"/>
                <w:sz w:val="24"/>
                <w:szCs w:val="24"/>
                <w:lang w:val="de-DE"/>
              </w:rPr>
              <w:t xml:space="preserve"> </w:t>
            </w:r>
            <w:r>
              <w:rPr>
                <w:rFonts w:ascii="Times New Roman" w:hAnsi="Times New Roman" w:cs="Times New Roman"/>
                <w:b/>
                <w:bCs/>
                <w:color w:val="1C1C1C"/>
                <w:sz w:val="24"/>
                <w:szCs w:val="24"/>
              </w:rPr>
              <w:t>nach</w:t>
            </w:r>
            <w:r>
              <w:rPr>
                <w:rFonts w:hint="default" w:cs="Times New Roman"/>
                <w:b/>
                <w:bCs/>
                <w:color w:val="1C1C1C"/>
                <w:sz w:val="24"/>
                <w:szCs w:val="24"/>
                <w:lang w:val="de-DE"/>
              </w:rPr>
              <w:t xml:space="preserve"> Freigabe durch OA Dr. El Marto</w:t>
            </w:r>
            <w:r>
              <w:rPr>
                <w:rFonts w:hint="default" w:cs="Times New Roman"/>
                <w:b w:val="0"/>
                <w:bCs w:val="0"/>
                <w:color w:val="1C1C1C"/>
                <w:sz w:val="24"/>
                <w:szCs w:val="24"/>
                <w:lang w:val="de-DE"/>
              </w:rPr>
              <w:t>.</w:t>
            </w:r>
          </w:p>
          <w:p w14:paraId="1E96AAAD">
            <w:pPr>
              <w:rPr>
                <w:rFonts w:hint="default" w:ascii="Georgia" w:hAnsi="Georgia" w:cs="Georgia"/>
                <w:b/>
                <w:bCs/>
                <w:caps/>
                <w:color w:val="9A7B2F"/>
                <w:spacing w:val="60"/>
                <w:sz w:val="22"/>
                <w:szCs w:val="22"/>
                <w:lang w:val="de-DE"/>
              </w:rPr>
            </w:pPr>
          </w:p>
        </w:tc>
      </w:tr>
    </w:tbl>
    <w:p w14:paraId="71F41EF9"/>
    <w:p w14:paraId="5B3906AE"/>
    <w:tbl>
      <w:tblPr>
        <w:tblStyle w:val="9"/>
        <w:tblW w:w="10204" w:type="dxa"/>
        <w:tblInd w:w="0"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0243270F">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PrEx>
        <w:tc>
          <w:tcPr>
            <w:tcW w:w="10204"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70537943">
            <w:pPr>
              <w:spacing w:before="0" w:after="60"/>
              <w:rPr>
                <w:rFonts w:ascii="Times New Roman" w:hAnsi="Times New Roman" w:cs="Times New Roman"/>
                <w:i/>
                <w:iCs/>
                <w:color w:val="3E3E3E"/>
                <w:sz w:val="22"/>
                <w:szCs w:val="22"/>
              </w:rPr>
            </w:pPr>
            <w:r>
              <w:rPr>
                <w:rFonts w:ascii="Times New Roman" w:hAnsi="Times New Roman" w:cs="Times New Roman"/>
                <w:i/>
                <w:iCs/>
                <w:color w:val="3E3E3E"/>
                <w:sz w:val="22"/>
                <w:szCs w:val="22"/>
              </w:rPr>
              <w:t>Alle Zeitangaben sind Richtwerte und orientieren sich nach individuellen Gegebenheiten. Bei all den empfohlenen Maßnahmen handelt es sich um Empfehlungen in Anlehnung an die rezente Literatur. Es wird bei den genannten Sportarten kein Anspruch auf Vollständigkeit erhoben.</w:t>
            </w:r>
          </w:p>
          <w:p w14:paraId="2BD48487">
            <w:pPr>
              <w:spacing w:before="0" w:after="60"/>
              <w:rPr>
                <w:rFonts w:ascii="Times New Roman" w:hAnsi="Times New Roman" w:cs="Times New Roman"/>
                <w:i/>
                <w:iCs/>
                <w:color w:val="3E3E3E"/>
                <w:sz w:val="22"/>
                <w:szCs w:val="22"/>
              </w:rPr>
            </w:pPr>
          </w:p>
          <w:p w14:paraId="011891A8">
            <w:pPr>
              <w:spacing w:before="0" w:after="60"/>
            </w:pPr>
            <w:r>
              <w:rPr>
                <w:rFonts w:ascii="Georgia" w:hAnsi="Georgia" w:cs="Georgia"/>
                <w:b/>
                <w:bCs/>
                <w:color w:val="9A7B2F"/>
                <w:sz w:val="26"/>
                <w:szCs w:val="26"/>
              </w:rPr>
              <w:t>Unser gesamtes Team steht Ihnen bei Fragen jederzeit zur Verfügung.</w:t>
            </w:r>
          </w:p>
        </w:tc>
      </w:tr>
    </w:tbl>
    <w:p w14:paraId="1C76ACBC"/>
    <w:sectPr>
      <w:headerReference r:id="rId3" w:type="default"/>
      <w:pgSz w:w="11906" w:h="16838"/>
      <w:pgMar w:top="574" w:right="851" w:bottom="724" w:left="851"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10204"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4297"/>
      <w:gridCol w:w="5907"/>
    </w:tblGrid>
    <w:tr w14:paraId="16CAC369">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rPr>
        <w:trHeight w:val="1225" w:hRule="atLeast"/>
      </w:trPr>
      <w:tc>
        <w:tcPr>
          <w:tcW w:w="3800" w:type="dxa"/>
          <w:tcBorders>
            <w:top w:val="nil"/>
            <w:left w:val="nil"/>
            <w:bottom w:val="nil"/>
            <w:right w:val="nil"/>
          </w:tcBorders>
          <w:tcMar>
            <w:top w:w="0" w:type="dxa"/>
            <w:left w:w="0" w:type="dxa"/>
            <w:bottom w:w="0" w:type="dxa"/>
            <w:right w:w="200" w:type="dxa"/>
          </w:tcMar>
          <w:vAlign w:val="center"/>
        </w:tcPr>
        <w:p w14:paraId="6E5D2AC2">
          <w:pPr>
            <w:spacing w:before="0" w:after="0"/>
          </w:pPr>
          <w:r>
            <w:drawing>
              <wp:inline distT="0" distB="0" distL="0" distR="0">
                <wp:extent cx="2601595" cy="695325"/>
                <wp:effectExtent l="0" t="0" r="0" b="3175"/>
                <wp:docPr id="1" name="Bild 1" descr="C:/Users/oliver/Desktop/Neuer Ordner/die ORDI/Logo/Neues_Logo_003_transparent.pngNeues_Logo_003_transpa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descr="C:/Users/oliver/Desktop/Neuer Ordner/die ORDI/Logo/Neues_Logo_003_transparent.pngNeues_Logo_003_transparent"/>
                        <pic:cNvPicPr>
                          <a:picLocks noChangeAspect="1" noChangeArrowheads="1"/>
                        </pic:cNvPicPr>
                      </pic:nvPicPr>
                      <pic:blipFill>
                        <a:blip r:embed="rId1"/>
                        <a:srcRect t="5528" b="5528"/>
                        <a:stretch>
                          <a:fillRect/>
                        </a:stretch>
                      </pic:blipFill>
                      <pic:spPr>
                        <a:xfrm>
                          <a:off x="0" y="0"/>
                          <a:ext cx="2601595" cy="695325"/>
                        </a:xfrm>
                        <a:prstGeom prst="rect">
                          <a:avLst/>
                        </a:prstGeom>
                      </pic:spPr>
                    </pic:pic>
                  </a:graphicData>
                </a:graphic>
              </wp:inline>
            </w:drawing>
          </w:r>
        </w:p>
      </w:tc>
      <w:tc>
        <w:tcPr>
          <w:tcW w:w="6404" w:type="dxa"/>
          <w:tcBorders>
            <w:top w:val="nil"/>
            <w:left w:val="nil"/>
            <w:bottom w:val="nil"/>
            <w:right w:val="nil"/>
          </w:tcBorders>
          <w:tcMar>
            <w:top w:w="0" w:type="dxa"/>
            <w:left w:w="0" w:type="dxa"/>
            <w:bottom w:w="0" w:type="dxa"/>
            <w:right w:w="0" w:type="dxa"/>
          </w:tcMar>
          <w:vAlign w:val="center"/>
        </w:tcPr>
        <w:p w14:paraId="2D8FC49F">
          <w:pPr>
            <w:wordWrap w:val="0"/>
            <w:spacing w:before="0" w:after="30"/>
            <w:jc w:val="right"/>
            <w:rPr>
              <w:rFonts w:hint="default"/>
              <w:lang w:val="de-DE"/>
            </w:rPr>
          </w:pPr>
          <w:r>
            <w:rPr>
              <w:rFonts w:ascii="Calibri" w:hAnsi="Calibri" w:eastAsia="Calibri" w:cs="Calibri"/>
              <w:b/>
              <w:bCs/>
              <w:color w:val="1C1C1C"/>
              <w:sz w:val="17"/>
              <w:szCs w:val="17"/>
            </w:rPr>
            <w:t>OA Dr. med. univ. Shady El Marto WDM</w:t>
          </w:r>
          <w:r>
            <w:rPr>
              <w:rFonts w:hint="default" w:ascii="Calibri" w:hAnsi="Calibri" w:eastAsia="Calibri" w:cs="Calibri"/>
              <w:b/>
              <w:bCs/>
              <w:color w:val="1C1C1C"/>
              <w:sz w:val="17"/>
              <w:szCs w:val="17"/>
              <w:lang w:val="de-DE"/>
            </w:rPr>
            <w:t xml:space="preserve"> </w:t>
          </w:r>
        </w:p>
        <w:p w14:paraId="0F254B4D">
          <w:pPr>
            <w:wordWrap w:val="0"/>
            <w:spacing w:before="0" w:after="0"/>
            <w:jc w:val="right"/>
            <w:rPr>
              <w:rFonts w:hint="default"/>
              <w:lang w:val="de-DE"/>
            </w:rPr>
          </w:pPr>
          <w:r>
            <w:rPr>
              <w:rFonts w:ascii="Calibri" w:hAnsi="Calibri" w:eastAsia="Calibri" w:cs="Calibri"/>
              <w:color w:val="666666"/>
              <w:sz w:val="15"/>
              <w:szCs w:val="15"/>
            </w:rPr>
            <w:t>Facharzt für Orthopädie und Traumatologie  |  Facharzt für Unfallchirurgie</w:t>
          </w:r>
          <w:r>
            <w:rPr>
              <w:rFonts w:hint="default" w:ascii="Calibri" w:hAnsi="Calibri" w:eastAsia="Calibri" w:cs="Calibri"/>
              <w:color w:val="666666"/>
              <w:sz w:val="15"/>
              <w:szCs w:val="15"/>
              <w:lang w:val="de-DE"/>
            </w:rPr>
            <w:t xml:space="preserve"> </w:t>
          </w:r>
        </w:p>
        <w:p w14:paraId="38E00E37">
          <w:pPr>
            <w:spacing w:before="0" w:after="0"/>
            <w:jc w:val="center"/>
            <w:rPr>
              <w:rFonts w:hint="default"/>
              <w:lang w:val="de-DE"/>
            </w:rPr>
          </w:pPr>
          <w:r>
            <w:rPr>
              <w:rFonts w:hint="default" w:ascii="Calibri" w:hAnsi="Calibri" w:eastAsia="Calibri" w:cs="Calibri"/>
              <w:color w:val="666666"/>
              <w:sz w:val="15"/>
              <w:szCs w:val="15"/>
              <w:lang w:val="de-DE"/>
            </w:rPr>
            <w:t xml:space="preserve">                                                                     </w:t>
          </w:r>
          <w:r>
            <w:rPr>
              <w:rFonts w:ascii="Calibri" w:hAnsi="Calibri" w:eastAsia="Calibri" w:cs="Calibri"/>
              <w:color w:val="666666"/>
              <w:sz w:val="15"/>
              <w:szCs w:val="15"/>
            </w:rPr>
            <w:t>Am Hof 11 Top 9  |  1010 Wien  |  Tel.:</w:t>
          </w:r>
          <w:r>
            <w:rPr>
              <w:rFonts w:ascii="Calibri" w:hAnsi="Calibri" w:eastAsia="Calibri" w:cs="Calibri"/>
              <w:b/>
              <w:bCs/>
              <w:color w:val="666666"/>
              <w:sz w:val="15"/>
              <w:szCs w:val="15"/>
            </w:rPr>
            <w:t xml:space="preserve"> +43 664 328 44 65</w:t>
          </w:r>
          <w:r>
            <w:rPr>
              <w:rFonts w:hint="default" w:ascii="Calibri" w:hAnsi="Calibri" w:eastAsia="Calibri" w:cs="Calibri"/>
              <w:color w:val="666666"/>
              <w:sz w:val="15"/>
              <w:szCs w:val="15"/>
              <w:lang w:val="de-DE"/>
            </w:rPr>
            <w:t xml:space="preserve">     </w:t>
          </w:r>
        </w:p>
        <w:p w14:paraId="3D2A998F">
          <w:pPr>
            <w:wordWrap w:val="0"/>
            <w:spacing w:before="0" w:after="0"/>
            <w:jc w:val="right"/>
            <w:rPr>
              <w:rFonts w:hint="default"/>
              <w:lang w:val="de-DE"/>
            </w:rPr>
          </w:pPr>
          <w:r>
            <w:rPr>
              <w:rFonts w:ascii="Calibri" w:hAnsi="Calibri" w:eastAsia="Calibri" w:cs="Calibri"/>
              <w:color w:val="9A7B2F"/>
              <w:sz w:val="15"/>
              <w:szCs w:val="15"/>
            </w:rPr>
            <w:t>ordination@dr-elmarto.at  |  www.dr-elmarto.at</w:t>
          </w:r>
          <w:r>
            <w:rPr>
              <w:rFonts w:hint="default" w:ascii="Calibri" w:hAnsi="Calibri" w:eastAsia="Calibri" w:cs="Calibri"/>
              <w:color w:val="9A7B2F"/>
              <w:sz w:val="15"/>
              <w:szCs w:val="15"/>
              <w:lang w:val="de-DE"/>
            </w:rPr>
            <w:t xml:space="preserve"> </w:t>
          </w:r>
        </w:p>
      </w:tc>
    </w:tr>
  </w:tbl>
  <w:p w14:paraId="4C47FA82">
    <w:pPr>
      <w:pBdr>
        <w:bottom w:val="single" w:color="B8952A" w:sz="12" w:space="1"/>
      </w:pBdr>
      <w:spacing w:before="60" w:after="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0753A3D"/>
    <w:rsid w:val="074C2609"/>
    <w:rsid w:val="10F442DE"/>
    <w:rsid w:val="15C64B46"/>
    <w:rsid w:val="32F31EA6"/>
    <w:rsid w:val="353B041A"/>
    <w:rsid w:val="4945044C"/>
    <w:rsid w:val="5C46562F"/>
    <w:rsid w:val="5EC2745F"/>
    <w:rsid w:val="7AA34743"/>
    <w:rsid w:val="7B582B5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Times New Roman" w:hAnsi="Times New Roman" w:eastAsia="SimSun" w:cs="Times New Roman"/>
      <w:sz w:val="21"/>
      <w:szCs w:val="22"/>
    </w:rPr>
  </w:style>
  <w:style w:type="paragraph" w:styleId="2">
    <w:name w:val="heading 1"/>
    <w:next w:val="1"/>
    <w:qFormat/>
    <w:uiPriority w:val="0"/>
    <w:rPr>
      <w:rFonts w:ascii="Times New Roman" w:hAnsi="Times New Roman" w:eastAsia="SimSun" w:cs="Times New Roman"/>
      <w:color w:val="2E74B5"/>
      <w:sz w:val="32"/>
      <w:szCs w:val="32"/>
    </w:rPr>
  </w:style>
  <w:style w:type="paragraph" w:styleId="3">
    <w:name w:val="heading 2"/>
    <w:next w:val="1"/>
    <w:qFormat/>
    <w:uiPriority w:val="0"/>
    <w:rPr>
      <w:rFonts w:ascii="Times New Roman" w:hAnsi="Times New Roman" w:eastAsia="SimSun" w:cs="Times New Roman"/>
      <w:color w:val="2E74B5"/>
      <w:sz w:val="26"/>
      <w:szCs w:val="26"/>
    </w:rPr>
  </w:style>
  <w:style w:type="paragraph" w:styleId="4">
    <w:name w:val="heading 3"/>
    <w:next w:val="1"/>
    <w:qFormat/>
    <w:uiPriority w:val="0"/>
    <w:rPr>
      <w:rFonts w:ascii="Times New Roman" w:hAnsi="Times New Roman" w:eastAsia="SimSun" w:cs="Times New Roman"/>
      <w:color w:val="1F4D78"/>
      <w:sz w:val="24"/>
      <w:szCs w:val="24"/>
    </w:rPr>
  </w:style>
  <w:style w:type="paragraph" w:styleId="5">
    <w:name w:val="heading 4"/>
    <w:next w:val="1"/>
    <w:qFormat/>
    <w:uiPriority w:val="0"/>
    <w:rPr>
      <w:rFonts w:ascii="Times New Roman" w:hAnsi="Times New Roman" w:eastAsia="SimSun" w:cs="Times New Roman"/>
      <w:i/>
      <w:iCs/>
      <w:color w:val="2E74B5"/>
      <w:sz w:val="21"/>
      <w:szCs w:val="22"/>
    </w:rPr>
  </w:style>
  <w:style w:type="paragraph" w:styleId="6">
    <w:name w:val="heading 5"/>
    <w:next w:val="1"/>
    <w:qFormat/>
    <w:uiPriority w:val="0"/>
    <w:rPr>
      <w:rFonts w:ascii="Times New Roman" w:hAnsi="Times New Roman" w:eastAsia="SimSun" w:cs="Times New Roman"/>
      <w:color w:val="2E74B5"/>
      <w:sz w:val="21"/>
      <w:szCs w:val="22"/>
    </w:rPr>
  </w:style>
  <w:style w:type="paragraph" w:styleId="7">
    <w:name w:val="heading 6"/>
    <w:next w:val="1"/>
    <w:qFormat/>
    <w:uiPriority w:val="0"/>
    <w:rPr>
      <w:rFonts w:ascii="Times New Roman" w:hAnsi="Times New Roman" w:eastAsia="SimSun" w:cs="Times New Roman"/>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character" w:styleId="11">
    <w:name w:val="Strong"/>
    <w:qFormat/>
    <w:uiPriority w:val="0"/>
    <w:rPr>
      <w:b/>
      <w:bCs/>
    </w:rPr>
  </w:style>
  <w:style w:type="character" w:styleId="12">
    <w:name w:val="footnote reference"/>
    <w:semiHidden/>
    <w:unhideWhenUsed/>
    <w:qFormat/>
    <w:uiPriority w:val="99"/>
    <w:rPr>
      <w:vertAlign w:val="superscript"/>
    </w:rPr>
  </w:style>
  <w:style w:type="character" w:styleId="13">
    <w:name w:val="Hyperlink"/>
    <w:unhideWhenUsed/>
    <w:qFormat/>
    <w:uiPriority w:val="99"/>
    <w:rPr>
      <w:color w:val="0563C1"/>
      <w:u w:val="single"/>
    </w:rPr>
  </w:style>
  <w:style w:type="paragraph" w:styleId="14">
    <w:name w:val="endnote text"/>
    <w:link w:val="21"/>
    <w:semiHidden/>
    <w:unhideWhenUsed/>
    <w:qFormat/>
    <w:uiPriority w:val="99"/>
    <w:pPr>
      <w:spacing w:after="0" w:line="240" w:lineRule="auto"/>
    </w:pPr>
    <w:rPr>
      <w:rFonts w:ascii="Times New Roman" w:hAnsi="Times New Roman" w:eastAsia="SimSun" w:cs="Times New Roman"/>
      <w:sz w:val="20"/>
      <w:szCs w:val="20"/>
    </w:rPr>
  </w:style>
  <w:style w:type="paragraph" w:styleId="15">
    <w:name w:val="footnote text"/>
    <w:link w:val="20"/>
    <w:semiHidden/>
    <w:unhideWhenUsed/>
    <w:qFormat/>
    <w:uiPriority w:val="99"/>
    <w:pPr>
      <w:spacing w:after="0" w:line="240" w:lineRule="auto"/>
    </w:pPr>
    <w:rPr>
      <w:rFonts w:ascii="Times New Roman" w:hAnsi="Times New Roman" w:eastAsia="SimSun" w:cs="Times New Roman"/>
      <w:sz w:val="20"/>
      <w:szCs w:val="20"/>
    </w:rPr>
  </w:style>
  <w:style w:type="paragraph" w:styleId="16">
    <w:name w:val="footer"/>
    <w:basedOn w:val="1"/>
    <w:qFormat/>
    <w:uiPriority w:val="0"/>
    <w:pPr>
      <w:tabs>
        <w:tab w:val="center" w:pos="4153"/>
        <w:tab w:val="right" w:pos="8306"/>
      </w:tabs>
    </w:pPr>
  </w:style>
  <w:style w:type="paragraph" w:styleId="1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8">
    <w:name w:val="Title"/>
    <w:qFormat/>
    <w:uiPriority w:val="0"/>
    <w:rPr>
      <w:rFonts w:ascii="Times New Roman" w:hAnsi="Times New Roman" w:eastAsia="SimSun" w:cs="Times New Roman"/>
      <w:sz w:val="56"/>
      <w:szCs w:val="56"/>
    </w:rPr>
  </w:style>
  <w:style w:type="paragraph" w:styleId="19">
    <w:name w:val="List Paragraph"/>
    <w:qFormat/>
    <w:uiPriority w:val="0"/>
    <w:rPr>
      <w:rFonts w:ascii="Times New Roman" w:hAnsi="Times New Roman" w:eastAsia="SimSun" w:cs="Times New Roman"/>
      <w:sz w:val="21"/>
      <w:szCs w:val="22"/>
    </w:rPr>
  </w:style>
  <w:style w:type="character" w:customStyle="1" w:styleId="20">
    <w:name w:val="Footnote Text Char"/>
    <w:link w:val="15"/>
    <w:semiHidden/>
    <w:unhideWhenUsed/>
    <w:qFormat/>
    <w:uiPriority w:val="99"/>
    <w:rPr>
      <w:sz w:val="20"/>
      <w:szCs w:val="20"/>
    </w:rPr>
  </w:style>
  <w:style w:type="character" w:customStyle="1" w:styleId="21">
    <w:name w:val="Endnote Text Char"/>
    <w:link w:val="14"/>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366</Words>
  <Characters>2420</Characters>
  <TotalTime>0</TotalTime>
  <ScaleCrop>false</ScaleCrop>
  <LinksUpToDate>false</LinksUpToDate>
  <CharactersWithSpaces>2762</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2026-04-20T22:06:00Z</dcterms:created>
  <dc:creator>Un-named</dc:creator>
  <cp:lastModifiedBy>OS Premium Account</cp:lastModifiedBy>
  <dcterms:modified xsi:type="dcterms:W3CDTF">2026-04-24T11:54:12Z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eyJoZGlkIjoiZTdmYzMyMDcyOWY0ZjJjZjIzYTU2ZDQ4OWJjNzcxY2IiLCJ1c2VySWQiOiI3Njk2NTgyNDI4NTM5In0=</vt:lpwstr>
  </property>
  <property fmtid="{D5CDD505-2E9C-101B-9397-08002B2CF9AE}" pid="3" name="KSOProductBuildVer">
    <vt:lpwstr>1031-12.1.0.25242</vt:lpwstr>
  </property>
  <property fmtid="{D5CDD505-2E9C-101B-9397-08002B2CF9AE}" pid="4" name="ICV">
    <vt:lpwstr>D475E1658C1D480DA1043505A6FCA1DB_13</vt:lpwstr>
  </property>
</Properties>
</file>