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F2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  <w:rPr>
          <w:rFonts w:ascii="Georgia" w:hAnsi="Georgia" w:eastAsia="Georgia" w:cs="Georgia"/>
          <w:color w:val="101010"/>
          <w:sz w:val="20"/>
          <w:szCs w:val="20"/>
        </w:rPr>
      </w:pPr>
    </w:p>
    <w:p w14:paraId="7BD365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</w:pPr>
      <w:r>
        <w:rPr>
          <w:rFonts w:ascii="Georgia" w:hAnsi="Georgia" w:eastAsia="Georgia" w:cs="Georgia"/>
          <w:color w:val="101010"/>
          <w:sz w:val="44"/>
          <w:szCs w:val="44"/>
        </w:rPr>
        <w:t xml:space="preserve">Game Ready – </w:t>
      </w:r>
      <w:r>
        <w:rPr>
          <w:rFonts w:ascii="Georgia" w:hAnsi="Georgia" w:eastAsia="Georgia" w:cs="Georgia"/>
          <w:color w:val="B8952A"/>
          <w:sz w:val="44"/>
          <w:szCs w:val="44"/>
        </w:rPr>
        <w:t>Kältekompressionstherapie</w:t>
      </w:r>
    </w:p>
    <w:p w14:paraId="135C6B7E">
      <w:pPr>
        <w:spacing w:before="0" w:after="60"/>
        <w:jc w:val="center"/>
      </w:pPr>
      <w:r>
        <w:rPr>
          <w:rFonts w:ascii="Calibri" w:hAnsi="Calibri" w:eastAsia="Calibri" w:cs="Calibri"/>
          <w:color w:val="auto"/>
          <w:spacing w:val="60"/>
          <w:sz w:val="24"/>
          <w:szCs w:val="24"/>
        </w:rPr>
        <w:t>Schneller erholen</w:t>
      </w:r>
      <w:r>
        <w:rPr>
          <w:rFonts w:hint="default" w:ascii="Calibri" w:hAnsi="Calibri" w:eastAsia="Calibri" w:cs="Calibri"/>
          <w:color w:val="auto"/>
          <w:spacing w:val="60"/>
          <w:sz w:val="24"/>
          <w:szCs w:val="24"/>
          <w:lang w:val="de-DE"/>
        </w:rPr>
        <w:t xml:space="preserve"> </w:t>
      </w:r>
      <w:r>
        <w:rPr>
          <w:rFonts w:ascii="Calibri" w:hAnsi="Calibri" w:cs="Calibri"/>
          <w:color w:val="auto"/>
          <w:spacing w:val="60"/>
          <w:sz w:val="24"/>
          <w:szCs w:val="24"/>
        </w:rPr>
        <w:t xml:space="preserve">·  </w:t>
      </w:r>
      <w:r>
        <w:rPr>
          <w:rFonts w:ascii="Calibri" w:hAnsi="Calibri" w:eastAsia="Calibri" w:cs="Calibri"/>
          <w:color w:val="auto"/>
          <w:spacing w:val="60"/>
          <w:sz w:val="24"/>
          <w:szCs w:val="24"/>
        </w:rPr>
        <w:t>Schneller zurück im Leben</w:t>
      </w:r>
    </w:p>
    <w:p w14:paraId="1F10B7D8">
      <w:pPr>
        <w:pBdr>
          <w:bottom w:val="single" w:color="DDD8CC" w:sz="8" w:space="1"/>
        </w:pBdr>
        <w:spacing w:before="0" w:after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168275</wp:posOffset>
                </wp:positionV>
                <wp:extent cx="6406515" cy="5715"/>
                <wp:effectExtent l="0" t="7620" r="5715" b="14605"/>
                <wp:wrapNone/>
                <wp:docPr id="1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51815" y="2355850"/>
                          <a:ext cx="6406515" cy="571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DCC88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95pt;margin-top:13.25pt;height:0.45pt;width:504.45pt;z-index:251659264;mso-width-relative:page;mso-height-relative:page;" filled="f" stroked="t" coordsize="21600,21600" o:gfxdata="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v85iz2AAAAAkBAAAPAAAAAAAAAAEA&#10;IAAAACIAAABkcnMvZG93bnJldi54bWxQSwECFAAUAAAACACHTuJAITTWn9YBAACrAwAADgAAAAAA&#10;AAABACAAAAAnAQAAZHJzL2Uyb0RvYy54bWxQSwUGAAAAAAYABgBZAQAAbwUAAAAA&#10;">
                <v:fill on="f" focussize="0,0"/>
                <v:stroke weight="1.25pt" color="#DCC88B [3204]" joinstyle="round"/>
                <v:imagedata o:title=""/>
                <o:lock v:ext="edit" aspectratio="f"/>
              </v:line>
            </w:pict>
          </mc:Fallback>
        </mc:AlternateContent>
      </w:r>
    </w:p>
    <w:p w14:paraId="444F88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/>
        <w:textAlignment w:val="auto"/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</w:pPr>
    </w:p>
    <w:p w14:paraId="50FF11E5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C1C1C"/>
          <w:sz w:val="24"/>
          <w:szCs w:val="24"/>
        </w:rPr>
        <w:t>Sehr geehrte Patientin,</w:t>
      </w:r>
    </w:p>
    <w:p w14:paraId="517CC101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C1C1C"/>
          <w:sz w:val="24"/>
          <w:szCs w:val="24"/>
        </w:rPr>
        <w:t>Sehr geehrter Patient,</w:t>
      </w:r>
    </w:p>
    <w:p w14:paraId="28692201">
      <w:pPr>
        <w:pStyle w:val="17"/>
        <w:spacing w:after="60" w:afterAutospacing="0"/>
        <w:jc w:val="both"/>
      </w:pPr>
      <w:r>
        <w:rPr>
          <w:rFonts w:hint="default"/>
          <w:lang w:val="de-DE"/>
        </w:rPr>
        <w:t>u</w:t>
      </w:r>
      <w:r>
        <w:t>m ein optimales Behandlungsergebnis zu erzielen, ist nach einer Operation oder Verletzung eine professionelle Nachbehandlung entscheidend. Schwellungen, die Schmerzen und Bewegungs</w:t>
      </w:r>
      <w:r>
        <w:rPr>
          <w:rFonts w:hint="default"/>
          <w:lang w:val="de-DE"/>
        </w:rPr>
        <w:t xml:space="preserve">- </w:t>
      </w:r>
      <w:r>
        <w:t>einschränkungen verursachen, gehören dabei zu den häufigsten Herausforderungen.</w:t>
      </w:r>
    </w:p>
    <w:p w14:paraId="2B10D91A">
      <w:pPr>
        <w:pStyle w:val="17"/>
        <w:spacing w:before="60" w:after="60"/>
        <w:jc w:val="both"/>
      </w:pPr>
      <w:r>
        <w:t>Die Kälte- und Kompressionstherapie reduziert gezielt Schwellungen, fördert den Lymphabfluss und lindert Schmerzen spürbar. So profitieren Sie von einer schnelleren Regeneration und einer verbesserten Beweglichkeit.</w:t>
      </w:r>
      <w:r>
        <w:rPr>
          <w:rFonts w:hint="default"/>
          <w:lang w:val="de-DE"/>
        </w:rPr>
        <w:t xml:space="preserve"> </w:t>
      </w:r>
    </w:p>
    <w:tbl>
      <w:tblPr>
        <w:tblStyle w:val="9"/>
        <w:tblW w:w="10151" w:type="dxa"/>
        <w:tblInd w:w="1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51"/>
      </w:tblGrid>
      <w:tr w14:paraId="1E971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51" w:type="dxa"/>
            <w:tcBorders>
              <w:top w:val="single" w:color="D8C990" w:sz="4" w:space="0"/>
              <w:left w:val="single" w:color="B8952A" w:sz="18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C4AA01">
            <w:pPr>
              <w:spacing w:before="0" w:after="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6"/>
                <w:szCs w:val="26"/>
              </w:rPr>
              <w:t>Warum Kälte und Kompression so wirksam sind</w:t>
            </w:r>
          </w:p>
          <w:p w14:paraId="76D5BF6B">
            <w:pPr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Nach einer Operation oder Verletzung sind Schwellung und Schmerz natürliche Körperreaktionen – sie verlangsamen jedoch die Heilung. Kälte verengt die Gefäße und reduziert Entzündungsreize, während 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die </w:t>
            </w:r>
            <w:r>
              <w:rPr>
                <w:sz w:val="24"/>
                <w:szCs w:val="24"/>
              </w:rPr>
              <w:t xml:space="preserve">Kompression 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die </w:t>
            </w:r>
            <w:r>
              <w:rPr>
                <w:sz w:val="24"/>
                <w:szCs w:val="24"/>
              </w:rPr>
              <w:t xml:space="preserve">Flüssigkeitsansammlungen aktiv abtransportiert. </w:t>
            </w:r>
          </w:p>
          <w:p w14:paraId="3A133796">
            <w:pPr>
              <w:spacing w:before="0" w:after="0"/>
              <w:jc w:val="both"/>
              <w:rPr>
                <w:sz w:val="24"/>
                <w:szCs w:val="24"/>
              </w:rPr>
            </w:pPr>
          </w:p>
          <w:p w14:paraId="1F34A29A">
            <w:pPr>
              <w:spacing w:before="0" w:after="0"/>
              <w:jc w:val="both"/>
            </w:pPr>
            <w:r>
              <w:rPr>
                <w:b/>
                <w:bCs/>
                <w:sz w:val="24"/>
                <w:szCs w:val="24"/>
              </w:rPr>
              <w:t>Game Ready vereint beide Effekte</w:t>
            </w:r>
            <w:r>
              <w:rPr>
                <w:sz w:val="24"/>
                <w:szCs w:val="24"/>
              </w:rPr>
              <w:t xml:space="preserve"> in einem System: gleichzeitige Kühlung und wechselnder Kompressionsdruck – </w:t>
            </w:r>
            <w:r>
              <w:rPr>
                <w:b/>
                <w:bCs/>
                <w:sz w:val="24"/>
                <w:szCs w:val="24"/>
              </w:rPr>
              <w:t xml:space="preserve">effizient, angenehm </w:t>
            </w:r>
            <w:r>
              <w:rPr>
                <w:b w:val="0"/>
                <w:bCs w:val="0"/>
                <w:sz w:val="24"/>
                <w:szCs w:val="24"/>
              </w:rPr>
              <w:t xml:space="preserve">und </w:t>
            </w:r>
            <w:r>
              <w:rPr>
                <w:b/>
                <w:bCs/>
                <w:sz w:val="24"/>
                <w:szCs w:val="24"/>
              </w:rPr>
              <w:t>ohne Nebenwirkungen.</w:t>
            </w:r>
          </w:p>
        </w:tc>
      </w:tr>
    </w:tbl>
    <w:p w14:paraId="40BE0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0"/>
        <w:textAlignment w:val="auto"/>
      </w:pPr>
    </w:p>
    <w:tbl>
      <w:tblPr>
        <w:tblStyle w:val="9"/>
        <w:tblW w:w="10167" w:type="dxa"/>
        <w:tblInd w:w="131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11"/>
        <w:gridCol w:w="240"/>
        <w:gridCol w:w="5016"/>
      </w:tblGrid>
      <w:tr w14:paraId="7CF4573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11" w:type="dxa"/>
            <w:tcBorders>
              <w:top w:val="single" w:color="DDD8CC" w:sz="8" w:space="0"/>
              <w:left w:val="single" w:color="DDD8CC" w:sz="8" w:space="0"/>
              <w:bottom w:val="single" w:color="DDD8CC" w:sz="8" w:space="0"/>
              <w:right w:val="single" w:color="DDD8CC" w:sz="8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FE907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eastAsia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Ihre Vorteile</w:t>
            </w:r>
          </w:p>
          <w:p w14:paraId="1960AA01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Gezielte Reduktion von Schwellungen</w:t>
            </w:r>
          </w:p>
          <w:p w14:paraId="405AAA01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Förderung des Lymphabflusses</w:t>
            </w:r>
          </w:p>
          <w:p w14:paraId="5C8EAA01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Schnelle und spürbare Schmerzlinderung</w:t>
            </w:r>
          </w:p>
          <w:p w14:paraId="374AAA01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Verbesserte Beweglichkeit bereits nach wenigen Anwendungen</w:t>
            </w:r>
          </w:p>
          <w:p w14:paraId="2A46C057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Von Patientinnen und Patienten als sehr angenehm empfunden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FA411"/>
        </w:tc>
        <w:tc>
          <w:tcPr>
            <w:tcW w:w="5016" w:type="dxa"/>
            <w:tcBorders>
              <w:top w:val="single" w:color="DDD8CC" w:sz="8" w:space="0"/>
              <w:left w:val="single" w:color="DDD8CC" w:sz="8" w:space="0"/>
              <w:bottom w:val="single" w:color="DDD8CC" w:sz="8" w:space="0"/>
              <w:right w:val="single" w:color="DDD8CC" w:sz="8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08FD3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eastAsia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Nach Operationen</w:t>
            </w:r>
          </w:p>
          <w:p w14:paraId="2477AA01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Postoperative Schmerzreduktion &amp; Entwässerung</w:t>
            </w:r>
          </w:p>
          <w:p w14:paraId="09574EE5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Schnellere Rückkehr zur vollen Beweglichkeit</w:t>
            </w:r>
          </w:p>
          <w:p w14:paraId="0B63ED44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hint="default" w:cs="Times New Roman"/>
                <w:color w:val="1C1C1C"/>
                <w:sz w:val="24"/>
                <w:szCs w:val="24"/>
                <w:lang w:val="de-DE"/>
              </w:rPr>
              <w:t>Schneller zurück zum Sport</w:t>
            </w:r>
          </w:p>
          <w:p w14:paraId="57F72CF1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hint="default" w:cs="Times New Roman"/>
                <w:color w:val="1C1C1C"/>
                <w:sz w:val="24"/>
                <w:szCs w:val="24"/>
                <w:lang w:val="de-DE"/>
              </w:rPr>
              <w:t>Verbesserter  Lymphabfluss</w:t>
            </w:r>
            <w:bookmarkStart w:id="0" w:name="_GoBack"/>
            <w:bookmarkEnd w:id="0"/>
          </w:p>
        </w:tc>
      </w:tr>
    </w:tbl>
    <w:p w14:paraId="77D0A2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0"/>
        <w:textAlignment w:val="auto"/>
      </w:pPr>
    </w:p>
    <w:tbl>
      <w:tblPr>
        <w:tblStyle w:val="9"/>
        <w:tblW w:w="10175" w:type="dxa"/>
        <w:tblInd w:w="143" w:type="dxa"/>
        <w:tblBorders>
          <w:top w:val="single" w:color="DDD8CC" w:sz="12" w:space="0"/>
          <w:left w:val="single" w:color="DDD8CC" w:sz="12" w:space="0"/>
          <w:bottom w:val="single" w:color="DDD8CC" w:sz="12" w:space="0"/>
          <w:right w:val="single" w:color="DDD8CC" w:sz="12" w:space="0"/>
          <w:insideH w:val="single" w:color="DDD8CC" w:sz="12" w:space="0"/>
          <w:insideV w:val="single" w:color="DDD8CC" w:sz="1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38"/>
        <w:gridCol w:w="5137"/>
      </w:tblGrid>
      <w:tr w14:paraId="6D72ED0E">
        <w:tblPrEx>
          <w:tblBorders>
            <w:top w:val="single" w:color="DDD8CC" w:sz="12" w:space="0"/>
            <w:left w:val="single" w:color="DDD8CC" w:sz="12" w:space="0"/>
            <w:bottom w:val="single" w:color="DDD8CC" w:sz="12" w:space="0"/>
            <w:right w:val="single" w:color="DDD8CC" w:sz="12" w:space="0"/>
            <w:insideH w:val="single" w:color="DDD8CC" w:sz="12" w:space="0"/>
            <w:insideV w:val="single" w:color="DDD8CC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38" w:type="dxa"/>
            <w:tcBorders>
              <w:tl2br w:val="nil"/>
              <w:tr2bl w:val="nil"/>
            </w:tcBorders>
            <w:shd w:val="clear" w:color="auto" w:fill="E5E1D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B562D90">
            <w:pPr>
              <w:spacing w:before="0" w:after="40"/>
              <w:jc w:val="center"/>
              <w:rPr>
                <w:rFonts w:hint="default" w:ascii="Georgia" w:hAnsi="Georgia" w:cs="Georgia"/>
              </w:rPr>
            </w:pPr>
            <w:r>
              <w:rPr>
                <w:rFonts w:hint="default" w:ascii="Georgia" w:hAnsi="Georgia" w:eastAsia="Calibri" w:cs="Georgia"/>
                <w:b/>
                <w:bCs/>
                <w:caps/>
                <w:color w:val="9A7B2F"/>
                <w:spacing w:val="80"/>
                <w:sz w:val="18"/>
                <w:szCs w:val="18"/>
              </w:rPr>
              <w:t>DAUER</w:t>
            </w:r>
          </w:p>
          <w:p w14:paraId="292799A0">
            <w:pPr>
              <w:spacing w:before="0" w:after="0"/>
              <w:jc w:val="center"/>
            </w:pPr>
            <w:r>
              <w:rPr>
                <w:rFonts w:ascii="Georgia" w:hAnsi="Georgia" w:cs="Georgia"/>
                <w:color w:val="1C1C1C"/>
                <w:sz w:val="22"/>
                <w:szCs w:val="22"/>
              </w:rPr>
              <w:t>ca. 1</w:t>
            </w:r>
            <w:r>
              <w:rPr>
                <w:rFonts w:hint="default" w:ascii="Georgia" w:hAnsi="Georgia" w:cs="Georgia"/>
                <w:color w:val="1C1C1C"/>
                <w:sz w:val="22"/>
                <w:szCs w:val="22"/>
                <w:lang w:val="de-DE"/>
              </w:rPr>
              <w:t>0</w:t>
            </w:r>
            <w:r>
              <w:rPr>
                <w:rFonts w:ascii="Georgia" w:hAnsi="Georgia" w:cs="Georgia"/>
                <w:color w:val="1C1C1C"/>
                <w:sz w:val="22"/>
                <w:szCs w:val="22"/>
              </w:rPr>
              <w:t xml:space="preserve"> Minuten pro Anwendung</w:t>
            </w:r>
          </w:p>
        </w:tc>
        <w:tc>
          <w:tcPr>
            <w:tcW w:w="5137" w:type="dxa"/>
            <w:tcBorders>
              <w:tl2br w:val="nil"/>
              <w:tr2bl w:val="nil"/>
            </w:tcBorders>
            <w:shd w:val="clear" w:color="auto" w:fill="E5E1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A34C0C">
            <w:pPr>
              <w:spacing w:before="0" w:after="40"/>
              <w:jc w:val="center"/>
            </w:pPr>
            <w:r>
              <w:rPr>
                <w:rFonts w:hint="default" w:ascii="Georgia" w:hAnsi="Georgia" w:eastAsia="Calibri" w:cs="Georgia"/>
                <w:b/>
                <w:bCs/>
                <w:caps/>
                <w:color w:val="9A7B2F"/>
                <w:spacing w:val="80"/>
                <w:sz w:val="18"/>
                <w:szCs w:val="18"/>
              </w:rPr>
              <w:t>WIEDERHOLUNGEN</w:t>
            </w:r>
          </w:p>
          <w:p w14:paraId="1CBACFF0">
            <w:pPr>
              <w:spacing w:before="0" w:after="0"/>
              <w:jc w:val="center"/>
            </w:pPr>
            <w:r>
              <w:rPr>
                <w:rFonts w:ascii="Georgia" w:hAnsi="Georgia" w:cs="Georgia"/>
                <w:color w:val="1C1C1C"/>
                <w:sz w:val="22"/>
                <w:szCs w:val="22"/>
              </w:rPr>
              <w:t>3</w:t>
            </w:r>
            <w:r>
              <w:rPr>
                <w:rFonts w:hint="default" w:ascii="Georgia" w:hAnsi="Georgia" w:cs="Georgia"/>
                <w:color w:val="1C1C1C"/>
                <w:sz w:val="22"/>
                <w:szCs w:val="22"/>
                <w:lang w:val="de-DE"/>
              </w:rPr>
              <w:t>-5</w:t>
            </w:r>
            <w:r>
              <w:rPr>
                <w:rFonts w:ascii="Georgia" w:hAnsi="Georgia" w:cs="Georgia"/>
                <w:color w:val="1C1C1C"/>
                <w:sz w:val="22"/>
                <w:szCs w:val="22"/>
              </w:rPr>
              <w:t xml:space="preserve"> Anwendungen alle 3–5 Tage</w:t>
            </w:r>
          </w:p>
        </w:tc>
      </w:tr>
    </w:tbl>
    <w:p w14:paraId="1F1333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36686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tbl>
      <w:tblPr>
        <w:tblStyle w:val="9"/>
        <w:tblW w:w="10175" w:type="dxa"/>
        <w:tblInd w:w="191" w:type="dxa"/>
        <w:tblBorders>
          <w:top w:val="single" w:color="D8C990" w:sz="4" w:space="0"/>
          <w:left w:val="single" w:color="D8C990" w:sz="4" w:space="0"/>
          <w:bottom w:val="single" w:color="D8C990" w:sz="4" w:space="0"/>
          <w:right w:val="single" w:color="D8C99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75"/>
      </w:tblGrid>
      <w:tr w14:paraId="609BEF6D">
        <w:tblPrEx>
          <w:tblBorders>
            <w:top w:val="single" w:color="D8C990" w:sz="4" w:space="0"/>
            <w:left w:val="single" w:color="D8C990" w:sz="4" w:space="0"/>
            <w:bottom w:val="single" w:color="D8C990" w:sz="4" w:space="0"/>
            <w:right w:val="single" w:color="D8C99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75" w:type="dxa"/>
            <w:tcBorders>
              <w:top w:val="single" w:color="D8C990" w:sz="4" w:space="0"/>
              <w:left w:val="single" w:color="D8C990" w:sz="4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CD855B">
            <w:pPr>
              <w:spacing w:before="0" w:after="60"/>
              <w:jc w:val="both"/>
              <w:rPr>
                <w:rFonts w:ascii="Times New Roman" w:hAnsi="Times New Roman" w:cs="Times New Roman"/>
                <w:color w:val="3E3E3E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E3E3E"/>
                <w:sz w:val="24"/>
                <w:szCs w:val="24"/>
              </w:rPr>
              <w:t>Maximale Regeneration bei minimalem Aufwand</w:t>
            </w:r>
            <w:r>
              <w:rPr>
                <w:rFonts w:hint="default" w:cs="Times New Roman"/>
                <w:color w:val="3E3E3E"/>
                <w:sz w:val="24"/>
                <w:szCs w:val="24"/>
                <w:lang w:val="de-DE"/>
              </w:rPr>
              <w:t>.</w:t>
            </w:r>
            <w:r>
              <w:rPr>
                <w:rFonts w:ascii="Times New Roman" w:hAnsi="Times New Roman" w:cs="Times New Roman"/>
                <w:color w:val="3E3E3E"/>
                <w:sz w:val="24"/>
                <w:szCs w:val="24"/>
              </w:rPr>
              <w:t xml:space="preserve"> In unserer Ordination erhalten Sie eine ganzheitliche Betreuung, die alle Schritte optimal aufeinander abstimmt.</w:t>
            </w:r>
          </w:p>
          <w:p w14:paraId="2B13CFBB">
            <w:pPr>
              <w:spacing w:before="0" w:after="60"/>
              <w:jc w:val="both"/>
              <w:rPr>
                <w:rFonts w:ascii="Times New Roman" w:hAnsi="Times New Roman" w:cs="Times New Roman"/>
                <w:color w:val="3E3E3E"/>
                <w:sz w:val="24"/>
                <w:szCs w:val="24"/>
              </w:rPr>
            </w:pPr>
          </w:p>
          <w:p w14:paraId="0E8C18DB">
            <w:pPr>
              <w:spacing w:before="0" w:after="60"/>
              <w:jc w:val="center"/>
            </w:pPr>
            <w:r>
              <w:rPr>
                <w:rFonts w:ascii="Georgia" w:hAnsi="Georgia" w:cs="Georgia"/>
                <w:b/>
                <w:bCs/>
                <w:color w:val="9A7B2F"/>
                <w:sz w:val="26"/>
                <w:szCs w:val="26"/>
              </w:rPr>
              <w:t>Für weitere Informationen stehen wir Ihnen jederzeit zur Verfügung.</w:t>
            </w:r>
          </w:p>
        </w:tc>
      </w:tr>
    </w:tbl>
    <w:p w14:paraId="1CEE0523"/>
    <w:sectPr>
      <w:headerReference r:id="rId3" w:type="default"/>
      <w:pgSz w:w="11906" w:h="16838"/>
      <w:pgMar w:top="574" w:right="975" w:bottom="724" w:left="851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204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3984"/>
      <w:gridCol w:w="6220"/>
    </w:tblGrid>
    <w:tr w14:paraId="16CAC369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rPr>
        <w:trHeight w:val="1225" w:hRule="atLeast"/>
      </w:trPr>
      <w:tc>
        <w:tcPr>
          <w:tcW w:w="38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200" w:type="dxa"/>
          </w:tcMar>
          <w:vAlign w:val="center"/>
        </w:tcPr>
        <w:p w14:paraId="6E5D2AC2">
          <w:pPr>
            <w:spacing w:before="0" w:after="0"/>
          </w:pPr>
          <w:r>
            <w:rPr>
              <w:rFonts w:hint="default"/>
              <w:lang w:val="de-DE"/>
            </w:rPr>
            <w:drawing>
              <wp:inline distT="0" distB="0" distL="114300" distR="114300">
                <wp:extent cx="2401570" cy="738505"/>
                <wp:effectExtent l="0" t="0" r="1270" b="1905"/>
                <wp:docPr id="6" name="Bild 6" descr="Neues_Logo_004_transparent_FINAL_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Bild 6" descr="Neues_Logo_004_transparent_FINAL_JPEG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1570" cy="738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3D720D2">
          <w:pPr>
            <w:wordWrap w:val="0"/>
            <w:spacing w:before="0" w:after="30"/>
            <w:jc w:val="right"/>
            <w:rPr>
              <w:rFonts w:hint="default"/>
              <w:sz w:val="18"/>
              <w:szCs w:val="18"/>
              <w:lang w:val="de-DE"/>
            </w:rPr>
          </w:pPr>
          <w:r>
            <w:rPr>
              <w:rFonts w:ascii="Calibri" w:hAnsi="Calibri" w:eastAsia="Calibri" w:cs="Calibri"/>
              <w:b/>
              <w:bCs/>
              <w:color w:val="1C1C1C"/>
              <w:sz w:val="18"/>
              <w:szCs w:val="18"/>
            </w:rPr>
            <w:t>OA Dr. med. univ. Shady El Marto WDM</w:t>
          </w:r>
          <w:r>
            <w:rPr>
              <w:rFonts w:hint="default" w:ascii="Calibri" w:hAnsi="Calibri" w:eastAsia="Calibri" w:cs="Calibri"/>
              <w:b/>
              <w:bCs/>
              <w:color w:val="1C1C1C"/>
              <w:sz w:val="18"/>
              <w:szCs w:val="18"/>
              <w:lang w:val="de-DE"/>
            </w:rPr>
            <w:t xml:space="preserve"> </w:t>
          </w:r>
        </w:p>
        <w:p w14:paraId="60F9B882">
          <w:pPr>
            <w:wordWrap w:val="0"/>
            <w:spacing w:before="0" w:after="0"/>
            <w:jc w:val="right"/>
            <w:rPr>
              <w:rFonts w:hint="default"/>
              <w:sz w:val="18"/>
              <w:szCs w:val="18"/>
              <w:lang w:val="de-DE"/>
            </w:rPr>
          </w:pPr>
          <w:r>
            <w:rPr>
              <w:rFonts w:ascii="Calibri" w:hAnsi="Calibri" w:eastAsia="Calibri" w:cs="Calibri"/>
              <w:color w:val="666666"/>
              <w:sz w:val="18"/>
              <w:szCs w:val="18"/>
            </w:rPr>
            <w:t>Facharzt für Orthopädie und Traumatologie  |  Facharzt für Unfallchirurgie</w:t>
          </w:r>
          <w:r>
            <w:rPr>
              <w:rFonts w:hint="default" w:ascii="Calibri" w:hAnsi="Calibri" w:eastAsia="Calibri" w:cs="Calibri"/>
              <w:color w:val="666666"/>
              <w:sz w:val="18"/>
              <w:szCs w:val="18"/>
              <w:lang w:val="de-DE"/>
            </w:rPr>
            <w:t xml:space="preserve"> </w:t>
          </w:r>
        </w:p>
        <w:p w14:paraId="1045C982">
          <w:pPr>
            <w:spacing w:before="0" w:after="0"/>
            <w:jc w:val="center"/>
            <w:rPr>
              <w:rFonts w:hint="default"/>
              <w:sz w:val="18"/>
              <w:szCs w:val="18"/>
              <w:lang w:val="de-DE"/>
            </w:rPr>
          </w:pPr>
          <w:r>
            <w:rPr>
              <w:rFonts w:hint="default" w:ascii="Calibri" w:hAnsi="Calibri" w:eastAsia="Calibri" w:cs="Calibri"/>
              <w:color w:val="666666"/>
              <w:sz w:val="18"/>
              <w:szCs w:val="18"/>
              <w:lang w:val="de-DE"/>
            </w:rPr>
            <w:t xml:space="preserve">                                              </w:t>
          </w:r>
          <w:r>
            <w:rPr>
              <w:rFonts w:ascii="Calibri" w:hAnsi="Calibri" w:eastAsia="Calibri" w:cs="Calibri"/>
              <w:color w:val="666666"/>
              <w:sz w:val="18"/>
              <w:szCs w:val="18"/>
            </w:rPr>
            <w:t>Am Hof 11 Top 9  |  1010 Wien  |  Tel.:</w:t>
          </w:r>
          <w:r>
            <w:rPr>
              <w:rFonts w:ascii="Calibri" w:hAnsi="Calibri" w:eastAsia="Calibri" w:cs="Calibri"/>
              <w:b/>
              <w:bCs/>
              <w:color w:val="666666"/>
              <w:sz w:val="18"/>
              <w:szCs w:val="18"/>
            </w:rPr>
            <w:t xml:space="preserve"> +43 664 328 44 65</w:t>
          </w:r>
          <w:r>
            <w:rPr>
              <w:rFonts w:hint="default" w:ascii="Calibri" w:hAnsi="Calibri" w:eastAsia="Calibri" w:cs="Calibri"/>
              <w:color w:val="666666"/>
              <w:sz w:val="18"/>
              <w:szCs w:val="18"/>
              <w:lang w:val="de-DE"/>
            </w:rPr>
            <w:t xml:space="preserve">     </w:t>
          </w:r>
        </w:p>
        <w:p w14:paraId="7CD6A3BC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9A7B2F"/>
              <w:sz w:val="18"/>
              <w:szCs w:val="18"/>
            </w:rPr>
            <w:t>ordination@dr-elmarto.at  |  www.dr-elmarto.at</w:t>
          </w:r>
        </w:p>
      </w:tc>
    </w:tr>
  </w:tbl>
  <w:p w14:paraId="4C47FA82">
    <w:pPr>
      <w:pBdr>
        <w:bottom w:val="single" w:color="B8952A" w:sz="12" w:space="1"/>
      </w:pBdr>
      <w:spacing w:before="6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›"/>
      <w:lvlJc w:val="left"/>
      <w:pPr>
        <w:ind w:left="420" w:hanging="280"/>
      </w:pPr>
      <w:rPr>
        <w:rFonts w:ascii="Arial" w:hAnsi="Arial" w:eastAsia="Arial" w:cs="Arial"/>
        <w:color w:val="B8952A"/>
        <w:sz w:val="26"/>
        <w:szCs w:val="26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753A3D"/>
    <w:rsid w:val="01590644"/>
    <w:rsid w:val="074C2609"/>
    <w:rsid w:val="10F442DE"/>
    <w:rsid w:val="15C64B46"/>
    <w:rsid w:val="17137D16"/>
    <w:rsid w:val="17247002"/>
    <w:rsid w:val="189A38FA"/>
    <w:rsid w:val="218A3988"/>
    <w:rsid w:val="251D7B5D"/>
    <w:rsid w:val="27EE7E59"/>
    <w:rsid w:val="2C8E6CA9"/>
    <w:rsid w:val="2FBC6E61"/>
    <w:rsid w:val="31916DAA"/>
    <w:rsid w:val="32F31EA6"/>
    <w:rsid w:val="353B041A"/>
    <w:rsid w:val="3F0D3980"/>
    <w:rsid w:val="445C4E37"/>
    <w:rsid w:val="46F843FA"/>
    <w:rsid w:val="4C4E08CE"/>
    <w:rsid w:val="54421A56"/>
    <w:rsid w:val="54D6013E"/>
    <w:rsid w:val="56005B14"/>
    <w:rsid w:val="574D1E50"/>
    <w:rsid w:val="58E80569"/>
    <w:rsid w:val="594A5D0F"/>
    <w:rsid w:val="59643735"/>
    <w:rsid w:val="5C46562F"/>
    <w:rsid w:val="5EC2745F"/>
    <w:rsid w:val="628D580E"/>
    <w:rsid w:val="69673FE6"/>
    <w:rsid w:val="77C22980"/>
    <w:rsid w:val="79B315B7"/>
    <w:rsid w:val="79DE0598"/>
    <w:rsid w:val="7AA34743"/>
    <w:rsid w:val="7B582B59"/>
    <w:rsid w:val="7CEB7B00"/>
    <w:rsid w:val="7ED469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Strong"/>
    <w:qFormat/>
    <w:uiPriority w:val="0"/>
    <w:rPr>
      <w:b/>
      <w:bCs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end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5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9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20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243</Words>
  <Characters>1626</Characters>
  <TotalTime>3</TotalTime>
  <ScaleCrop>false</ScaleCrop>
  <LinksUpToDate>false</LinksUpToDate>
  <CharactersWithSpaces>1847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2026-04-20T22:06:00Z</dcterms:created>
  <dc:creator>Un-named</dc:creator>
  <cp:lastModifiedBy>OS Premium Account</cp:lastModifiedBy>
  <dcterms:modified xsi:type="dcterms:W3CDTF">2026-05-09T21:53:20Z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eyJoZGlkIjoiZTdmYzMyMDcyOWY0ZjJjZjIzYTU2ZDQ4OWJjNzcxY2IiLCJ1c2VySWQiOiI3Njk2NTgyNDI4NTM5In0=</vt:lpwstr>
  </property>
  <property fmtid="{D5CDD505-2E9C-101B-9397-08002B2CF9AE}" pid="3" name="KSOProductBuildVer">
    <vt:lpwstr>1031-12.1.0.25242</vt:lpwstr>
  </property>
  <property fmtid="{D5CDD505-2E9C-101B-9397-08002B2CF9AE}" pid="4" name="ICV">
    <vt:lpwstr>C3619AA821E648B6AB33EF9702251B1C_13</vt:lpwstr>
  </property>
</Properties>
</file>