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2F2DC7">
      <w:pPr>
        <w:keepNext w:val="0"/>
        <w:keepLines w:val="0"/>
        <w:pageBreakBefore w:val="0"/>
        <w:widowControl/>
        <w:kinsoku/>
        <w:wordWrap/>
        <w:overflowPunct/>
        <w:topLinePunct w:val="0"/>
        <w:autoSpaceDE/>
        <w:autoSpaceDN/>
        <w:bidi w:val="0"/>
        <w:adjustRightInd/>
        <w:snapToGrid/>
        <w:spacing w:after="40"/>
        <w:jc w:val="center"/>
        <w:textAlignment w:val="auto"/>
        <w:rPr>
          <w:rFonts w:ascii="Georgia" w:hAnsi="Georgia" w:eastAsia="Georgia" w:cs="Georgia"/>
          <w:color w:val="101010"/>
          <w:sz w:val="20"/>
          <w:szCs w:val="20"/>
        </w:rPr>
      </w:pPr>
    </w:p>
    <w:p w14:paraId="5BE8AC1A">
      <w:pPr>
        <w:keepNext w:val="0"/>
        <w:keepLines w:val="0"/>
        <w:pageBreakBefore w:val="0"/>
        <w:widowControl/>
        <w:kinsoku/>
        <w:wordWrap/>
        <w:overflowPunct/>
        <w:topLinePunct w:val="0"/>
        <w:autoSpaceDE/>
        <w:autoSpaceDN/>
        <w:bidi w:val="0"/>
        <w:adjustRightInd/>
        <w:snapToGrid/>
        <w:spacing w:after="40"/>
        <w:jc w:val="center"/>
        <w:textAlignment w:val="auto"/>
      </w:pPr>
      <w:r>
        <w:rPr>
          <w:rFonts w:ascii="Georgia" w:hAnsi="Georgia" w:cs="Georgia"/>
          <w:color w:val="101010"/>
          <w:sz w:val="44"/>
          <w:szCs w:val="44"/>
        </w:rPr>
        <w:t xml:space="preserve">Extrakorporale </w:t>
      </w:r>
      <w:r>
        <w:rPr>
          <w:rFonts w:ascii="Georgia" w:hAnsi="Georgia" w:cs="Georgia"/>
          <w:color w:val="B8952A"/>
          <w:sz w:val="44"/>
          <w:szCs w:val="44"/>
        </w:rPr>
        <w:t>Magnetolith</w:t>
      </w:r>
      <w:r>
        <w:rPr>
          <w:rFonts w:hint="default" w:ascii="Georgia" w:hAnsi="Georgia" w:cs="Georgia"/>
          <w:color w:val="B8952A"/>
          <w:sz w:val="44"/>
          <w:szCs w:val="44"/>
          <w:lang w:val="de-DE"/>
        </w:rPr>
        <w:t>-Th</w:t>
      </w:r>
      <w:r>
        <w:rPr>
          <w:rFonts w:ascii="Georgia" w:hAnsi="Georgia" w:cs="Georgia"/>
          <w:color w:val="B8952A"/>
          <w:sz w:val="44"/>
          <w:szCs w:val="44"/>
        </w:rPr>
        <w:t>erapie</w:t>
      </w:r>
    </w:p>
    <w:p w14:paraId="57E1F349">
      <w:pPr>
        <w:spacing w:before="0" w:after="60"/>
        <w:jc w:val="center"/>
        <w:rPr>
          <w:rFonts w:hint="default"/>
          <w:lang w:val="de-DE"/>
        </w:rPr>
      </w:pPr>
      <w:r>
        <w:rPr>
          <w:rFonts w:ascii="Calibri" w:hAnsi="Calibri" w:cs="Calibri"/>
          <w:color w:val="auto"/>
          <w:spacing w:val="60"/>
          <w:sz w:val="24"/>
          <w:szCs w:val="24"/>
        </w:rPr>
        <w:t xml:space="preserve">Tiefe Zellregeneration  ·  Ambulant  ·  </w:t>
      </w:r>
      <w:r>
        <w:rPr>
          <w:rFonts w:hint="default" w:ascii="Calibri" w:hAnsi="Calibri" w:cs="Calibri"/>
          <w:color w:val="auto"/>
          <w:spacing w:val="60"/>
          <w:sz w:val="24"/>
          <w:szCs w:val="24"/>
          <w:lang w:val="de-DE"/>
        </w:rPr>
        <w:t>Schmerzfrei</w:t>
      </w:r>
    </w:p>
    <w:p w14:paraId="1F10B7D8">
      <w:pPr>
        <w:pBdr>
          <w:bottom w:val="single" w:color="DDD8CC" w:sz="8" w:space="1"/>
        </w:pBdr>
        <w:spacing w:before="0" w:after="0"/>
      </w:pPr>
      <w:r>
        <w:rPr>
          <w:sz w:val="21"/>
        </w:rPr>
        <mc:AlternateContent>
          <mc:Choice Requires="wps">
            <w:drawing>
              <wp:anchor distT="0" distB="0" distL="114300" distR="114300" simplePos="0" relativeHeight="251659264" behindDoc="0" locked="0" layoutInCell="1" allowOverlap="1">
                <wp:simplePos x="0" y="0"/>
                <wp:positionH relativeFrom="column">
                  <wp:posOffset>-12065</wp:posOffset>
                </wp:positionH>
                <wp:positionV relativeFrom="paragraph">
                  <wp:posOffset>168275</wp:posOffset>
                </wp:positionV>
                <wp:extent cx="6502400" cy="6985"/>
                <wp:effectExtent l="0" t="7620" r="7620" b="13335"/>
                <wp:wrapNone/>
                <wp:docPr id="1" name="Gerader Verbinder 1"/>
                <wp:cNvGraphicFramePr/>
                <a:graphic xmlns:a="http://schemas.openxmlformats.org/drawingml/2006/main">
                  <a:graphicData uri="http://schemas.microsoft.com/office/word/2010/wordprocessingShape">
                    <wps:wsp>
                      <wps:cNvCnPr/>
                      <wps:spPr>
                        <a:xfrm>
                          <a:off x="551815" y="2355850"/>
                          <a:ext cx="6502400" cy="6985"/>
                        </a:xfrm>
                        <a:prstGeom prst="line">
                          <a:avLst/>
                        </a:prstGeom>
                        <a:ln w="15875">
                          <a:solidFill>
                            <a:srgbClr val="DCC88B"/>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95pt;margin-top:13.25pt;height:0.55pt;width:512pt;z-index:251659264;mso-width-relative:page;mso-height-relative:page;" filled="f" stroked="t" coordsize="21600,21600" o:gfxdata="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P5VzWjYAAAACQEAAA8AAAAAAAAA&#10;AQAgAAAAIgAAAGRycy9kb3ducmV2LnhtbFBLAQIUABQAAAAIAIdO4kA8YYZs2AEAAKsDAAAOAAAA&#10;AAAAAAEAIAAAACcBAABkcnMvZTJvRG9jLnhtbFBLBQYAAAAABgAGAFkBAABxBQAAAAA=&#10;">
                <v:fill on="f" focussize="0,0"/>
                <v:stroke weight="1.25pt" color="#DCC88B [3204]" joinstyle="round"/>
                <v:imagedata o:title=""/>
                <o:lock v:ext="edit" aspectratio="f"/>
              </v:line>
            </w:pict>
          </mc:Fallback>
        </mc:AlternateContent>
      </w:r>
    </w:p>
    <w:p w14:paraId="444F8833">
      <w:pPr>
        <w:keepNext w:val="0"/>
        <w:keepLines w:val="0"/>
        <w:pageBreakBefore w:val="0"/>
        <w:widowControl/>
        <w:kinsoku/>
        <w:wordWrap/>
        <w:overflowPunct/>
        <w:topLinePunct w:val="0"/>
        <w:autoSpaceDE/>
        <w:autoSpaceDN/>
        <w:bidi w:val="0"/>
        <w:adjustRightInd/>
        <w:snapToGrid/>
        <w:spacing w:before="20" w:after="0"/>
        <w:textAlignment w:val="auto"/>
        <w:rPr>
          <w:rFonts w:hint="default" w:ascii="Times New Roman" w:hAnsi="Times New Roman" w:eastAsia="Calibri" w:cs="Times New Roman"/>
          <w:b/>
          <w:bCs/>
          <w:color w:val="1C1C1C"/>
          <w:sz w:val="24"/>
          <w:szCs w:val="24"/>
        </w:rPr>
      </w:pPr>
    </w:p>
    <w:p w14:paraId="78249F91">
      <w:pPr>
        <w:spacing w:before="20" w:after="0"/>
        <w:rPr>
          <w:rFonts w:ascii="Times New Roman" w:hAnsi="Times New Roman" w:cs="Times New Roman"/>
          <w:b/>
          <w:bCs/>
          <w:color w:val="1C1C1C"/>
          <w:sz w:val="24"/>
          <w:szCs w:val="24"/>
        </w:rPr>
      </w:pPr>
      <w:r>
        <w:rPr>
          <w:rFonts w:ascii="Times New Roman" w:hAnsi="Times New Roman" w:cs="Times New Roman"/>
          <w:b/>
          <w:bCs/>
          <w:color w:val="1C1C1C"/>
          <w:sz w:val="24"/>
          <w:szCs w:val="24"/>
        </w:rPr>
        <w:t>Sehr geehrte Patientin, sehr geehrter Patient,</w:t>
      </w:r>
    </w:p>
    <w:p w14:paraId="232E5FB6">
      <w:pPr>
        <w:spacing w:before="20" w:after="0"/>
        <w:rPr>
          <w:rFonts w:ascii="Times New Roman" w:hAnsi="Times New Roman" w:cs="Times New Roman"/>
          <w:b/>
          <w:bCs/>
          <w:color w:val="1C1C1C"/>
          <w:sz w:val="24"/>
          <w:szCs w:val="24"/>
        </w:rPr>
      </w:pPr>
    </w:p>
    <w:p w14:paraId="220A2BDB">
      <w:pPr>
        <w:pStyle w:val="17"/>
        <w:keepNext w:val="0"/>
        <w:keepLines w:val="0"/>
        <w:pageBreakBefore w:val="0"/>
        <w:widowControl/>
        <w:suppressLineNumbers w:val="0"/>
        <w:kinsoku/>
        <w:wordWrap/>
        <w:overflowPunct/>
        <w:topLinePunct w:val="0"/>
        <w:autoSpaceDE/>
        <w:autoSpaceDN/>
        <w:bidi w:val="0"/>
        <w:adjustRightInd/>
        <w:snapToGrid/>
        <w:spacing w:beforeAutospacing="0" w:afterAutospacing="0"/>
        <w:ind w:right="124" w:rightChars="59"/>
        <w:jc w:val="both"/>
        <w:textAlignment w:val="auto"/>
      </w:pPr>
      <w:r>
        <w:rPr>
          <w:rFonts w:hint="default"/>
          <w:lang w:val="de-DE"/>
        </w:rPr>
        <w:t>d</w:t>
      </w:r>
      <w:r>
        <w:t>ie Magnetolith</w:t>
      </w:r>
      <w:r>
        <w:rPr>
          <w:rFonts w:hint="default"/>
          <w:lang w:val="de-DE"/>
        </w:rPr>
        <w:t>-T</w:t>
      </w:r>
      <w:r>
        <w:t xml:space="preserve">herapie (EMTT – Extrakorporale Magnetotransduktionstherapie) zählt zu den modernsten Entwicklungen der nichtinvasiven regenerativen Medizin im Bereich des Bewegungsapparates. Sie nutzt hochenergetische, hochfrequente Magnetimpulse, die tief in das Gewebe eindringen können, ohne Haut oder umliegende Strukturen zu belasten. Dadurch lassen sich biologische Heilungsprozesse gezielt stimulieren </w:t>
      </w:r>
      <w:r>
        <w:rPr>
          <w:rFonts w:hint="default"/>
          <w:lang w:val="de-DE"/>
        </w:rPr>
        <w:t xml:space="preserve">und das </w:t>
      </w:r>
      <w:r>
        <w:t>vollkommen berührungsfrei</w:t>
      </w:r>
      <w:r>
        <w:rPr>
          <w:rFonts w:hint="default"/>
          <w:lang w:val="de-DE"/>
        </w:rPr>
        <w:t xml:space="preserve"> und</w:t>
      </w:r>
      <w:r>
        <w:t xml:space="preserve"> </w:t>
      </w:r>
      <w:r>
        <w:rPr>
          <w:rFonts w:hint="default"/>
          <w:lang w:val="de-DE"/>
        </w:rPr>
        <w:t xml:space="preserve">nahezu </w:t>
      </w:r>
      <w:r>
        <w:t>schmerz</w:t>
      </w:r>
      <w:r>
        <w:rPr>
          <w:rFonts w:hint="default"/>
          <w:lang w:val="de-DE"/>
        </w:rPr>
        <w:t>frei</w:t>
      </w:r>
      <w:r>
        <w:t>. EMTT wird heute insbesondere bei Gelenkbeschwerden, Sehnenreizungen, Muskelverletzungen, Rückenschmerzen, Arthrose sowie verzögerter Knochenheilung eingesetzt. Die Behandlung dauert nur wenige Minuten und kann problemlos in den Alltag integriert werden.</w:t>
      </w:r>
    </w:p>
    <w:p w14:paraId="231EB26C">
      <w:pPr>
        <w:pStyle w:val="17"/>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p>
    <w:tbl>
      <w:tblPr>
        <w:tblStyle w:val="9"/>
        <w:tblW w:w="10151" w:type="dxa"/>
        <w:tblInd w:w="1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151"/>
      </w:tblGrid>
      <w:tr w14:paraId="1E971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151" w:type="dxa"/>
            <w:tcBorders>
              <w:top w:val="single" w:color="D8C990" w:sz="4" w:space="0"/>
              <w:left w:val="single" w:color="B8952A" w:sz="18" w:space="0"/>
              <w:bottom w:val="single" w:color="D8C990" w:sz="4" w:space="0"/>
              <w:right w:val="single" w:color="D8C990" w:sz="4" w:space="0"/>
            </w:tcBorders>
            <w:shd w:val="clear" w:color="auto" w:fill="F7F2E8"/>
            <w:tcMar>
              <w:top w:w="100" w:type="dxa"/>
              <w:left w:w="160" w:type="dxa"/>
              <w:bottom w:w="100" w:type="dxa"/>
              <w:right w:w="160" w:type="dxa"/>
            </w:tcMar>
          </w:tcPr>
          <w:p w14:paraId="4DE00009">
            <w:pPr>
              <w:spacing w:before="0" w:after="60"/>
            </w:pPr>
            <w:r>
              <w:rPr>
                <w:rFonts w:ascii="Times New Roman" w:hAnsi="Times New Roman" w:cs="Times New Roman"/>
                <w:b/>
                <w:bCs/>
                <w:color w:val="1C1C1C"/>
                <w:sz w:val="26"/>
                <w:szCs w:val="26"/>
              </w:rPr>
              <w:t>Wie wirkt die Magnetolith</w:t>
            </w:r>
            <w:r>
              <w:rPr>
                <w:rFonts w:hint="default" w:cs="Times New Roman"/>
                <w:b/>
                <w:bCs/>
                <w:color w:val="1C1C1C"/>
                <w:sz w:val="26"/>
                <w:szCs w:val="26"/>
                <w:lang w:val="de-DE"/>
              </w:rPr>
              <w:t>-Th</w:t>
            </w:r>
            <w:r>
              <w:rPr>
                <w:rFonts w:ascii="Times New Roman" w:hAnsi="Times New Roman" w:cs="Times New Roman"/>
                <w:b/>
                <w:bCs/>
                <w:color w:val="1C1C1C"/>
                <w:sz w:val="26"/>
                <w:szCs w:val="26"/>
              </w:rPr>
              <w:t>erapie auf Zellebene?</w:t>
            </w:r>
          </w:p>
          <w:p w14:paraId="62E72CF3">
            <w:pPr>
              <w:spacing w:before="0" w:after="0"/>
              <w:jc w:val="both"/>
              <w:rPr>
                <w:sz w:val="24"/>
                <w:szCs w:val="24"/>
              </w:rPr>
            </w:pPr>
            <w:r>
              <w:rPr>
                <w:sz w:val="24"/>
                <w:szCs w:val="24"/>
              </w:rPr>
              <w:t xml:space="preserve">Auf zellulärer Ebene erzeugen die Magnetimpulse elektrische Mikrostimulationen im Gewebe. Diese aktivieren wichtige Signalwege innerhalb der Zellen, steigern die Durchblutung und fördern den natürlichen Zellstoffwechsel. Entzündungsprozesse können reguliert, Schmerzrezeptoren beruhigt und regenerative Mechanismen gezielt angeregt werden. Gleichzeitig </w:t>
            </w:r>
            <w:r>
              <w:rPr>
                <w:rFonts w:hint="default"/>
                <w:sz w:val="24"/>
                <w:szCs w:val="24"/>
                <w:lang w:val="de-DE"/>
              </w:rPr>
              <w:t>kann die</w:t>
            </w:r>
            <w:r>
              <w:rPr>
                <w:sz w:val="24"/>
                <w:szCs w:val="24"/>
              </w:rPr>
              <w:t xml:space="preserve"> Gewebestabilität und Knochenmineralisation verbessern </w:t>
            </w:r>
            <w:r>
              <w:rPr>
                <w:rFonts w:hint="default"/>
                <w:sz w:val="24"/>
                <w:szCs w:val="24"/>
                <w:lang w:val="de-DE"/>
              </w:rPr>
              <w:t>werden</w:t>
            </w:r>
            <w:r>
              <w:rPr>
                <w:sz w:val="24"/>
                <w:szCs w:val="24"/>
              </w:rPr>
              <w:t xml:space="preserve">. </w:t>
            </w:r>
          </w:p>
          <w:p w14:paraId="35E1DE43">
            <w:pPr>
              <w:spacing w:before="0" w:after="0"/>
              <w:jc w:val="both"/>
            </w:pPr>
            <w:r>
              <w:rPr>
                <w:sz w:val="24"/>
                <w:szCs w:val="24"/>
              </w:rPr>
              <w:t xml:space="preserve">Aktuelle wissenschaftliche Untersuchungen zeigen zudem </w:t>
            </w:r>
            <w:r>
              <w:rPr>
                <w:b/>
                <w:bCs/>
                <w:sz w:val="24"/>
                <w:szCs w:val="24"/>
              </w:rPr>
              <w:t>positive Effekte</w:t>
            </w:r>
            <w:r>
              <w:rPr>
                <w:sz w:val="24"/>
                <w:szCs w:val="24"/>
              </w:rPr>
              <w:t xml:space="preserve"> auf Schmerzreduktion, Funktionsverbesserung und die Beschleunigung biologischer Heilungsprozesse.</w:t>
            </w:r>
          </w:p>
        </w:tc>
      </w:tr>
    </w:tbl>
    <w:p w14:paraId="40BE010E">
      <w:pPr>
        <w:keepNext w:val="0"/>
        <w:keepLines w:val="0"/>
        <w:pageBreakBefore w:val="0"/>
        <w:widowControl/>
        <w:kinsoku/>
        <w:wordWrap/>
        <w:overflowPunct/>
        <w:topLinePunct w:val="0"/>
        <w:autoSpaceDE/>
        <w:autoSpaceDN/>
        <w:bidi w:val="0"/>
        <w:adjustRightInd/>
        <w:snapToGrid/>
        <w:spacing w:before="180" w:after="0"/>
        <w:textAlignment w:val="auto"/>
      </w:pPr>
    </w:p>
    <w:tbl>
      <w:tblPr>
        <w:tblStyle w:val="9"/>
        <w:tblW w:w="10167" w:type="dxa"/>
        <w:tblInd w:w="131"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4911"/>
        <w:gridCol w:w="240"/>
        <w:gridCol w:w="5016"/>
      </w:tblGrid>
      <w:tr w14:paraId="7CF4573B">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4911" w:type="dxa"/>
            <w:tcBorders>
              <w:top w:val="single" w:color="DDD8CC" w:sz="8" w:space="0"/>
              <w:left w:val="single" w:color="DDD8CC" w:sz="8" w:space="0"/>
              <w:bottom w:val="single" w:color="DDD8CC" w:sz="8" w:space="0"/>
              <w:right w:val="single" w:color="DDD8CC" w:sz="8" w:space="0"/>
            </w:tcBorders>
            <w:tcMar>
              <w:top w:w="100" w:type="dxa"/>
              <w:left w:w="140" w:type="dxa"/>
              <w:bottom w:w="100" w:type="dxa"/>
              <w:right w:w="140" w:type="dxa"/>
            </w:tcMar>
          </w:tcPr>
          <w:p w14:paraId="43DFE907">
            <w:pPr>
              <w:pBdr>
                <w:bottom w:val="single" w:color="D8C990" w:sz="2" w:space="2"/>
              </w:pBdr>
              <w:spacing w:before="0" w:after="80"/>
            </w:pPr>
            <w:r>
              <w:rPr>
                <w:rFonts w:ascii="Georgia" w:hAnsi="Georgia" w:eastAsia="Georgia" w:cs="Georgia"/>
                <w:b/>
                <w:bCs/>
                <w:caps/>
                <w:color w:val="9A7B2F"/>
                <w:spacing w:val="60"/>
                <w:sz w:val="22"/>
                <w:szCs w:val="22"/>
              </w:rPr>
              <w:t>Ihre Vorteile</w:t>
            </w:r>
          </w:p>
          <w:p w14:paraId="07636AB0">
            <w:pPr>
              <w:pStyle w:val="19"/>
              <w:numPr>
                <w:ilvl w:val="0"/>
                <w:numId w:val="1"/>
              </w:numPr>
              <w:spacing w:before="30" w:after="30"/>
            </w:pPr>
            <w:r>
              <w:rPr>
                <w:rFonts w:hint="default" w:cs="Times New Roman"/>
                <w:color w:val="1C1C1C"/>
                <w:sz w:val="24"/>
                <w:szCs w:val="24"/>
                <w:lang w:val="de-DE"/>
              </w:rPr>
              <w:t>V</w:t>
            </w:r>
            <w:r>
              <w:rPr>
                <w:rFonts w:ascii="Times New Roman" w:hAnsi="Times New Roman" w:cs="Times New Roman"/>
                <w:color w:val="1C1C1C"/>
                <w:sz w:val="24"/>
                <w:szCs w:val="24"/>
              </w:rPr>
              <w:t>ollständig schmerzfrei</w:t>
            </w:r>
          </w:p>
          <w:p w14:paraId="5835E3EC">
            <w:pPr>
              <w:pStyle w:val="19"/>
              <w:numPr>
                <w:ilvl w:val="0"/>
                <w:numId w:val="1"/>
              </w:numPr>
              <w:spacing w:before="30" w:after="30"/>
            </w:pPr>
            <w:r>
              <w:rPr>
                <w:rFonts w:ascii="Times New Roman" w:hAnsi="Times New Roman" w:cs="Times New Roman"/>
                <w:color w:val="1C1C1C"/>
                <w:sz w:val="24"/>
                <w:szCs w:val="24"/>
              </w:rPr>
              <w:t>Tiefe Gewebewirkung ohne Hautbelastung</w:t>
            </w:r>
          </w:p>
          <w:p w14:paraId="1863C09F">
            <w:pPr>
              <w:pStyle w:val="19"/>
              <w:numPr>
                <w:ilvl w:val="0"/>
                <w:numId w:val="1"/>
              </w:numPr>
              <w:spacing w:before="30" w:after="30"/>
            </w:pPr>
            <w:r>
              <w:rPr>
                <w:rFonts w:ascii="Times New Roman" w:hAnsi="Times New Roman" w:cs="Times New Roman"/>
                <w:color w:val="1C1C1C"/>
                <w:sz w:val="24"/>
                <w:szCs w:val="24"/>
              </w:rPr>
              <w:t>Regeneration auf Zellebene – wissenschaftlich belegt</w:t>
            </w:r>
          </w:p>
          <w:p w14:paraId="025E7683">
            <w:pPr>
              <w:pStyle w:val="19"/>
              <w:numPr>
                <w:ilvl w:val="0"/>
                <w:numId w:val="1"/>
              </w:numPr>
              <w:spacing w:before="30" w:after="30"/>
            </w:pPr>
            <w:r>
              <w:rPr>
                <w:rFonts w:ascii="Times New Roman" w:hAnsi="Times New Roman" w:cs="Times New Roman"/>
                <w:color w:val="1C1C1C"/>
                <w:sz w:val="24"/>
                <w:szCs w:val="24"/>
              </w:rPr>
              <w:t>Entzündungshemmend &amp; schmerzlindernd</w:t>
            </w:r>
          </w:p>
          <w:p w14:paraId="2E68D9FC">
            <w:pPr>
              <w:pStyle w:val="19"/>
              <w:numPr>
                <w:ilvl w:val="0"/>
                <w:numId w:val="1"/>
              </w:numPr>
              <w:spacing w:before="30" w:after="30"/>
            </w:pPr>
            <w:r>
              <w:rPr>
                <w:rFonts w:ascii="Times New Roman" w:hAnsi="Times New Roman" w:cs="Times New Roman"/>
                <w:color w:val="1C1C1C"/>
                <w:sz w:val="24"/>
                <w:szCs w:val="24"/>
              </w:rPr>
              <w:t>Keine Einschränkungen nach der Behandlung</w:t>
            </w:r>
          </w:p>
        </w:tc>
        <w:tc>
          <w:tcPr>
            <w:tcW w:w="240" w:type="dxa"/>
            <w:tcBorders>
              <w:top w:val="nil"/>
              <w:left w:val="nil"/>
              <w:bottom w:val="nil"/>
              <w:right w:val="nil"/>
            </w:tcBorders>
            <w:tcMar>
              <w:top w:w="0" w:type="dxa"/>
              <w:left w:w="100" w:type="dxa"/>
              <w:bottom w:w="0" w:type="dxa"/>
              <w:right w:w="100" w:type="dxa"/>
            </w:tcMar>
          </w:tcPr>
          <w:p w14:paraId="62CFA411"/>
        </w:tc>
        <w:tc>
          <w:tcPr>
            <w:tcW w:w="5016" w:type="dxa"/>
            <w:tcBorders>
              <w:top w:val="single" w:color="DDD8CC" w:sz="8" w:space="0"/>
              <w:left w:val="single" w:color="DDD8CC" w:sz="8" w:space="0"/>
              <w:bottom w:val="single" w:color="DDD8CC" w:sz="8" w:space="0"/>
              <w:right w:val="single" w:color="DDD8CC" w:sz="8" w:space="0"/>
            </w:tcBorders>
            <w:tcMar>
              <w:top w:w="100" w:type="dxa"/>
              <w:left w:w="140" w:type="dxa"/>
              <w:bottom w:w="100" w:type="dxa"/>
              <w:right w:w="140" w:type="dxa"/>
            </w:tcMar>
          </w:tcPr>
          <w:p w14:paraId="14B08FD3">
            <w:pPr>
              <w:pBdr>
                <w:bottom w:val="single" w:color="D8C990" w:sz="2" w:space="2"/>
              </w:pBdr>
              <w:spacing w:before="0" w:after="80"/>
            </w:pPr>
            <w:r>
              <w:rPr>
                <w:rFonts w:ascii="Georgia" w:hAnsi="Georgia" w:eastAsia="Georgia" w:cs="Georgia"/>
                <w:b/>
                <w:bCs/>
                <w:caps/>
                <w:color w:val="9A7B2F"/>
                <w:spacing w:val="60"/>
                <w:sz w:val="22"/>
                <w:szCs w:val="22"/>
              </w:rPr>
              <w:t>Nach Operationen</w:t>
            </w:r>
          </w:p>
          <w:p w14:paraId="710B011B">
            <w:pPr>
              <w:pStyle w:val="19"/>
              <w:numPr>
                <w:ilvl w:val="0"/>
                <w:numId w:val="1"/>
              </w:numPr>
              <w:spacing w:before="30" w:after="30"/>
            </w:pPr>
            <w:r>
              <w:rPr>
                <w:rFonts w:hint="default" w:cs="Times New Roman"/>
                <w:color w:val="1C1C1C"/>
                <w:sz w:val="24"/>
                <w:szCs w:val="24"/>
                <w:lang w:val="de-DE"/>
              </w:rPr>
              <w:t>Nach Operationen &amp; Sportverletzungen</w:t>
            </w:r>
          </w:p>
          <w:p w14:paraId="4EDAC147">
            <w:pPr>
              <w:pStyle w:val="19"/>
              <w:numPr>
                <w:ilvl w:val="0"/>
                <w:numId w:val="1"/>
              </w:numPr>
              <w:spacing w:before="30" w:after="30"/>
            </w:pPr>
            <w:r>
              <w:rPr>
                <w:rFonts w:ascii="Times New Roman" w:hAnsi="Times New Roman" w:cs="Times New Roman"/>
                <w:color w:val="1C1C1C"/>
                <w:sz w:val="24"/>
                <w:szCs w:val="24"/>
              </w:rPr>
              <w:t>Schmerzen und Nervenreizungen im Rücken</w:t>
            </w:r>
          </w:p>
          <w:p w14:paraId="0EBB55A0">
            <w:pPr>
              <w:pStyle w:val="19"/>
              <w:numPr>
                <w:ilvl w:val="0"/>
                <w:numId w:val="1"/>
              </w:numPr>
              <w:spacing w:before="30" w:after="30"/>
            </w:pPr>
            <w:r>
              <w:rPr>
                <w:rFonts w:ascii="Times New Roman" w:hAnsi="Times New Roman" w:cs="Times New Roman"/>
                <w:color w:val="1C1C1C"/>
                <w:sz w:val="24"/>
                <w:szCs w:val="24"/>
              </w:rPr>
              <w:t xml:space="preserve">Degenerative Gelenkerkrankungen </w:t>
            </w:r>
            <w:r>
              <w:rPr>
                <w:rFonts w:hint="default" w:cs="Times New Roman"/>
                <w:color w:val="1C1C1C"/>
                <w:sz w:val="24"/>
                <w:szCs w:val="24"/>
                <w:lang w:val="de-DE"/>
              </w:rPr>
              <w:t>-</w:t>
            </w:r>
            <w:r>
              <w:rPr>
                <w:rFonts w:ascii="Times New Roman" w:hAnsi="Times New Roman" w:cs="Times New Roman"/>
                <w:color w:val="1C1C1C"/>
                <w:sz w:val="24"/>
                <w:szCs w:val="24"/>
              </w:rPr>
              <w:t>Arthrose</w:t>
            </w:r>
          </w:p>
          <w:p w14:paraId="29F93EAC">
            <w:pPr>
              <w:pStyle w:val="19"/>
              <w:numPr>
                <w:ilvl w:val="0"/>
                <w:numId w:val="1"/>
              </w:numPr>
              <w:spacing w:before="30" w:after="30"/>
            </w:pPr>
            <w:r>
              <w:rPr>
                <w:rFonts w:ascii="Times New Roman" w:hAnsi="Times New Roman" w:cs="Times New Roman"/>
                <w:color w:val="1C1C1C"/>
                <w:sz w:val="24"/>
                <w:szCs w:val="24"/>
              </w:rPr>
              <w:t>Gelenke nach Verletzungen &amp; bei Knorpelschäden</w:t>
            </w:r>
          </w:p>
          <w:p w14:paraId="4692AE1B">
            <w:pPr>
              <w:pStyle w:val="19"/>
              <w:numPr>
                <w:ilvl w:val="0"/>
                <w:numId w:val="1"/>
              </w:numPr>
              <w:spacing w:before="30" w:after="30"/>
            </w:pPr>
            <w:r>
              <w:rPr>
                <w:rFonts w:ascii="Times New Roman" w:hAnsi="Times New Roman" w:cs="Times New Roman"/>
                <w:color w:val="1C1C1C"/>
                <w:sz w:val="24"/>
                <w:szCs w:val="24"/>
              </w:rPr>
              <w:t>Sehnenüberlastungssyndrome</w:t>
            </w:r>
          </w:p>
        </w:tc>
      </w:tr>
    </w:tbl>
    <w:p w14:paraId="77D0A2CB">
      <w:pPr>
        <w:keepNext w:val="0"/>
        <w:keepLines w:val="0"/>
        <w:pageBreakBefore w:val="0"/>
        <w:widowControl/>
        <w:kinsoku/>
        <w:wordWrap/>
        <w:overflowPunct/>
        <w:topLinePunct w:val="0"/>
        <w:autoSpaceDE/>
        <w:autoSpaceDN/>
        <w:bidi w:val="0"/>
        <w:adjustRightInd/>
        <w:snapToGrid/>
        <w:spacing w:before="180" w:after="0"/>
        <w:textAlignment w:val="auto"/>
      </w:pPr>
    </w:p>
    <w:tbl>
      <w:tblPr>
        <w:tblStyle w:val="9"/>
        <w:tblW w:w="10175" w:type="dxa"/>
        <w:tblInd w:w="143" w:type="dxa"/>
        <w:tblBorders>
          <w:top w:val="single" w:color="DDD8CC" w:sz="12" w:space="0"/>
          <w:left w:val="single" w:color="DDD8CC" w:sz="12" w:space="0"/>
          <w:bottom w:val="single" w:color="DDD8CC" w:sz="12" w:space="0"/>
          <w:right w:val="single" w:color="DDD8CC" w:sz="12" w:space="0"/>
          <w:insideH w:val="single" w:color="DDD8CC" w:sz="12" w:space="0"/>
          <w:insideV w:val="single" w:color="DDD8CC" w:sz="12" w:space="0"/>
        </w:tblBorders>
        <w:tblLayout w:type="autofit"/>
        <w:tblCellMar>
          <w:top w:w="0" w:type="dxa"/>
          <w:left w:w="10" w:type="dxa"/>
          <w:bottom w:w="0" w:type="dxa"/>
          <w:right w:w="10" w:type="dxa"/>
        </w:tblCellMar>
      </w:tblPr>
      <w:tblGrid>
        <w:gridCol w:w="5038"/>
        <w:gridCol w:w="5137"/>
      </w:tblGrid>
      <w:tr w14:paraId="6D72ED0E">
        <w:tblPrEx>
          <w:tblBorders>
            <w:top w:val="single" w:color="DDD8CC" w:sz="12" w:space="0"/>
            <w:left w:val="single" w:color="DDD8CC" w:sz="12" w:space="0"/>
            <w:bottom w:val="single" w:color="DDD8CC" w:sz="12" w:space="0"/>
            <w:right w:val="single" w:color="DDD8CC" w:sz="12" w:space="0"/>
            <w:insideH w:val="single" w:color="DDD8CC" w:sz="12" w:space="0"/>
            <w:insideV w:val="single" w:color="DDD8CC" w:sz="12" w:space="0"/>
          </w:tblBorders>
          <w:tblCellMar>
            <w:top w:w="0" w:type="dxa"/>
            <w:left w:w="10" w:type="dxa"/>
            <w:bottom w:w="0" w:type="dxa"/>
            <w:right w:w="10" w:type="dxa"/>
          </w:tblCellMar>
        </w:tblPrEx>
        <w:tc>
          <w:tcPr>
            <w:tcW w:w="5038" w:type="dxa"/>
            <w:tcBorders>
              <w:tl2br w:val="nil"/>
              <w:tr2bl w:val="nil"/>
            </w:tcBorders>
            <w:shd w:val="clear" w:color="auto" w:fill="E5E1DA"/>
            <w:tcMar>
              <w:top w:w="100" w:type="dxa"/>
              <w:left w:w="160" w:type="dxa"/>
              <w:bottom w:w="100" w:type="dxa"/>
              <w:right w:w="100" w:type="dxa"/>
            </w:tcMar>
          </w:tcPr>
          <w:p w14:paraId="4B562D90">
            <w:pPr>
              <w:spacing w:before="0" w:after="40"/>
              <w:jc w:val="center"/>
              <w:rPr>
                <w:rFonts w:hint="default" w:ascii="Georgia" w:hAnsi="Georgia" w:cs="Georgia"/>
              </w:rPr>
            </w:pPr>
            <w:r>
              <w:rPr>
                <w:rFonts w:hint="default" w:ascii="Georgia" w:hAnsi="Georgia" w:eastAsia="Calibri" w:cs="Georgia"/>
                <w:b/>
                <w:bCs/>
                <w:caps/>
                <w:color w:val="9A7B2F"/>
                <w:spacing w:val="80"/>
                <w:sz w:val="18"/>
                <w:szCs w:val="18"/>
              </w:rPr>
              <w:t>DAUER</w:t>
            </w:r>
          </w:p>
          <w:p w14:paraId="292799A0">
            <w:pPr>
              <w:spacing w:before="0" w:after="0"/>
              <w:jc w:val="center"/>
            </w:pPr>
            <w:r>
              <w:rPr>
                <w:rFonts w:ascii="Georgia" w:hAnsi="Georgia" w:cs="Georgia"/>
                <w:color w:val="1C1C1C"/>
                <w:sz w:val="22"/>
                <w:szCs w:val="22"/>
              </w:rPr>
              <w:t>6–8 Einheiten als Block</w:t>
            </w:r>
          </w:p>
        </w:tc>
        <w:tc>
          <w:tcPr>
            <w:tcW w:w="5137" w:type="dxa"/>
            <w:tcBorders>
              <w:tl2br w:val="nil"/>
              <w:tr2bl w:val="nil"/>
            </w:tcBorders>
            <w:shd w:val="clear" w:color="auto" w:fill="E5E1DA"/>
            <w:tcMar>
              <w:top w:w="100" w:type="dxa"/>
              <w:left w:w="160" w:type="dxa"/>
              <w:bottom w:w="100" w:type="dxa"/>
              <w:right w:w="160" w:type="dxa"/>
            </w:tcMar>
          </w:tcPr>
          <w:p w14:paraId="78A34C0C">
            <w:pPr>
              <w:spacing w:before="0" w:after="40"/>
              <w:jc w:val="center"/>
            </w:pPr>
            <w:r>
              <w:rPr>
                <w:rFonts w:hint="default" w:ascii="Georgia" w:hAnsi="Georgia" w:eastAsia="Calibri" w:cs="Georgia"/>
                <w:b/>
                <w:bCs/>
                <w:caps/>
                <w:color w:val="9A7B2F"/>
                <w:spacing w:val="80"/>
                <w:sz w:val="18"/>
                <w:szCs w:val="18"/>
              </w:rPr>
              <w:t>WIEDERHOLUNGEN</w:t>
            </w:r>
          </w:p>
          <w:p w14:paraId="1CBACFF0">
            <w:pPr>
              <w:spacing w:before="0" w:after="0"/>
              <w:jc w:val="center"/>
            </w:pPr>
            <w:r>
              <w:rPr>
                <w:rFonts w:ascii="Georgia" w:hAnsi="Georgia" w:cs="Georgia"/>
                <w:color w:val="1C1C1C"/>
                <w:sz w:val="22"/>
                <w:szCs w:val="22"/>
              </w:rPr>
              <w:t>Alle 3–5 Tage  ·  ca. 8–10 Min. pro Sitzung</w:t>
            </w:r>
          </w:p>
        </w:tc>
      </w:tr>
    </w:tbl>
    <w:p w14:paraId="1F13337C">
      <w:pPr>
        <w:keepNext w:val="0"/>
        <w:keepLines w:val="0"/>
        <w:pageBreakBefore w:val="0"/>
        <w:widowControl/>
        <w:kinsoku/>
        <w:wordWrap/>
        <w:overflowPunct/>
        <w:topLinePunct w:val="0"/>
        <w:autoSpaceDE/>
        <w:autoSpaceDN/>
        <w:bidi w:val="0"/>
        <w:adjustRightInd/>
        <w:snapToGrid/>
        <w:spacing w:after="0"/>
        <w:textAlignment w:val="auto"/>
        <w:rPr>
          <w:rFonts w:hint="default" w:ascii="Times New Roman" w:hAnsi="Times New Roman" w:cs="Times New Roman"/>
          <w:b/>
          <w:bCs/>
          <w:sz w:val="24"/>
          <w:szCs w:val="24"/>
        </w:rPr>
      </w:pPr>
    </w:p>
    <w:tbl>
      <w:tblPr>
        <w:tblStyle w:val="9"/>
        <w:tblW w:w="10175" w:type="dxa"/>
        <w:tblInd w:w="191" w:type="dxa"/>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Layout w:type="autofit"/>
        <w:tblCellMar>
          <w:top w:w="0" w:type="dxa"/>
          <w:left w:w="10" w:type="dxa"/>
          <w:bottom w:w="0" w:type="dxa"/>
          <w:right w:w="10" w:type="dxa"/>
        </w:tblCellMar>
      </w:tblPr>
      <w:tblGrid>
        <w:gridCol w:w="10175"/>
      </w:tblGrid>
      <w:tr w14:paraId="609BEF6D">
        <w:tblPrEx>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CellMar>
            <w:top w:w="0" w:type="dxa"/>
            <w:left w:w="10" w:type="dxa"/>
            <w:bottom w:w="0" w:type="dxa"/>
            <w:right w:w="10" w:type="dxa"/>
          </w:tblCellMar>
        </w:tblPrEx>
        <w:tc>
          <w:tcPr>
            <w:tcW w:w="10175" w:type="dxa"/>
            <w:tcBorders>
              <w:top w:val="single" w:color="D8C990" w:sz="4" w:space="0"/>
              <w:left w:val="single" w:color="D8C990" w:sz="4" w:space="0"/>
              <w:bottom w:val="single" w:color="D8C990" w:sz="4" w:space="0"/>
              <w:right w:val="single" w:color="D8C990" w:sz="4" w:space="0"/>
            </w:tcBorders>
            <w:shd w:val="clear" w:color="auto" w:fill="F7F2E8"/>
            <w:tcMar>
              <w:top w:w="100" w:type="dxa"/>
              <w:left w:w="200" w:type="dxa"/>
              <w:bottom w:w="100" w:type="dxa"/>
              <w:right w:w="200" w:type="dxa"/>
            </w:tcMar>
          </w:tcPr>
          <w:p w14:paraId="3D3AEB3B">
            <w:pPr>
              <w:spacing w:before="0" w:after="60"/>
              <w:jc w:val="both"/>
              <w:rPr>
                <w:rFonts w:hint="default"/>
                <w:lang w:val="de-DE"/>
              </w:rPr>
            </w:pPr>
            <w:r>
              <w:rPr>
                <w:rFonts w:hint="default" w:ascii="Georgia" w:hAnsi="Georgia" w:cs="Georgia"/>
                <w:b/>
                <w:bCs/>
                <w:color w:val="9A7B2F"/>
                <w:sz w:val="24"/>
                <w:szCs w:val="24"/>
                <w:lang w:val="de-DE"/>
              </w:rPr>
              <w:t>Wussten Sie</w:t>
            </w:r>
            <w:r>
              <w:rPr>
                <w:rFonts w:ascii="Georgia" w:hAnsi="Georgia" w:cs="Georgia"/>
                <w:b/>
                <w:bCs/>
                <w:color w:val="9A7B2F"/>
                <w:sz w:val="24"/>
                <w:szCs w:val="24"/>
              </w:rPr>
              <w:t xml:space="preserve"> </w:t>
            </w:r>
            <w:r>
              <w:rPr>
                <w:rFonts w:hint="default" w:ascii="Georgia" w:hAnsi="Georgia" w:cs="Georgia"/>
                <w:b/>
                <w:bCs/>
                <w:color w:val="9A7B2F"/>
                <w:sz w:val="24"/>
                <w:szCs w:val="24"/>
                <w:lang w:val="de-DE"/>
              </w:rPr>
              <w:t xml:space="preserve">schon </w:t>
            </w:r>
            <w:r>
              <w:rPr>
                <w:rFonts w:ascii="Georgia" w:hAnsi="Georgia" w:cs="Georgia"/>
                <w:b/>
                <w:bCs/>
                <w:color w:val="9A7B2F"/>
                <w:sz w:val="24"/>
                <w:szCs w:val="24"/>
              </w:rPr>
              <w:t xml:space="preserve">– </w:t>
            </w:r>
            <w:r>
              <w:rPr>
                <w:rFonts w:ascii="Times New Roman" w:hAnsi="Times New Roman" w:cs="Times New Roman"/>
                <w:color w:val="3E3E3E"/>
                <w:sz w:val="24"/>
                <w:szCs w:val="24"/>
              </w:rPr>
              <w:t xml:space="preserve">Dass die Kombination aus </w:t>
            </w:r>
            <w:r>
              <w:rPr>
                <w:rFonts w:hint="default" w:cs="Times New Roman"/>
                <w:color w:val="3E3E3E"/>
                <w:sz w:val="24"/>
                <w:szCs w:val="24"/>
                <w:lang w:val="de-DE"/>
              </w:rPr>
              <w:t xml:space="preserve">der </w:t>
            </w:r>
            <w:r>
              <w:rPr>
                <w:rFonts w:ascii="Times New Roman" w:hAnsi="Times New Roman" w:cs="Times New Roman"/>
                <w:color w:val="3E3E3E"/>
                <w:sz w:val="24"/>
                <w:szCs w:val="24"/>
              </w:rPr>
              <w:t>Stoßwellen- und Magnetolith</w:t>
            </w:r>
            <w:r>
              <w:rPr>
                <w:rFonts w:hint="default" w:cs="Times New Roman"/>
                <w:color w:val="3E3E3E"/>
                <w:sz w:val="24"/>
                <w:szCs w:val="24"/>
                <w:lang w:val="de-DE"/>
              </w:rPr>
              <w:t>-T</w:t>
            </w:r>
            <w:r>
              <w:rPr>
                <w:rFonts w:ascii="Times New Roman" w:hAnsi="Times New Roman" w:cs="Times New Roman"/>
                <w:color w:val="3E3E3E"/>
                <w:sz w:val="24"/>
                <w:szCs w:val="24"/>
              </w:rPr>
              <w:t xml:space="preserve">herapie besonders wirksam </w:t>
            </w:r>
            <w:r>
              <w:rPr>
                <w:rFonts w:hint="default" w:cs="Times New Roman"/>
                <w:color w:val="3E3E3E"/>
                <w:sz w:val="24"/>
                <w:szCs w:val="24"/>
                <w:lang w:val="de-DE"/>
              </w:rPr>
              <w:t>ist</w:t>
            </w:r>
            <w:r>
              <w:rPr>
                <w:rFonts w:ascii="Times New Roman" w:hAnsi="Times New Roman" w:cs="Times New Roman"/>
                <w:color w:val="3E3E3E"/>
                <w:sz w:val="24"/>
                <w:szCs w:val="24"/>
              </w:rPr>
              <w:t>? Bereits 2018 zeigte eine prospektive, randomisierte Studie</w:t>
            </w:r>
            <w:r>
              <w:rPr>
                <w:rFonts w:hint="default" w:cs="Times New Roman"/>
                <w:color w:val="3E3E3E"/>
                <w:sz w:val="24"/>
                <w:szCs w:val="24"/>
                <w:lang w:val="de-DE"/>
              </w:rPr>
              <w:t xml:space="preserve">, </w:t>
            </w:r>
            <w:r>
              <w:rPr>
                <w:rFonts w:ascii="Times New Roman" w:hAnsi="Times New Roman" w:cs="Times New Roman"/>
                <w:color w:val="3E3E3E"/>
                <w:sz w:val="24"/>
                <w:szCs w:val="24"/>
              </w:rPr>
              <w:t xml:space="preserve">dass die Kombination aus </w:t>
            </w:r>
            <w:r>
              <w:rPr>
                <w:rFonts w:hint="default" w:cs="Times New Roman"/>
                <w:color w:val="3E3E3E"/>
                <w:sz w:val="24"/>
                <w:szCs w:val="24"/>
                <w:lang w:val="de-DE"/>
              </w:rPr>
              <w:t xml:space="preserve">Stoßwellen- </w:t>
            </w:r>
            <w:r>
              <w:rPr>
                <w:rFonts w:ascii="Times New Roman" w:hAnsi="Times New Roman" w:cs="Times New Roman"/>
                <w:color w:val="3E3E3E"/>
                <w:sz w:val="24"/>
                <w:szCs w:val="24"/>
              </w:rPr>
              <w:t xml:space="preserve">und </w:t>
            </w:r>
            <w:r>
              <w:rPr>
                <w:rFonts w:hint="default" w:cs="Times New Roman"/>
                <w:color w:val="3E3E3E"/>
                <w:sz w:val="24"/>
                <w:szCs w:val="24"/>
                <w:lang w:val="de-DE"/>
              </w:rPr>
              <w:t xml:space="preserve">Magnetolith-Therapie </w:t>
            </w:r>
            <w:r>
              <w:rPr>
                <w:rFonts w:ascii="Times New Roman" w:hAnsi="Times New Roman" w:cs="Times New Roman"/>
                <w:color w:val="3E3E3E"/>
                <w:sz w:val="24"/>
                <w:szCs w:val="24"/>
              </w:rPr>
              <w:t xml:space="preserve">einer Einzeltherapie überlegen ist. </w:t>
            </w:r>
          </w:p>
          <w:p w14:paraId="74379ABD">
            <w:pPr>
              <w:spacing w:before="0" w:after="60"/>
              <w:jc w:val="center"/>
            </w:pPr>
            <w:r>
              <w:rPr>
                <w:rFonts w:ascii="Calibri" w:hAnsi="Calibri" w:cs="Calibri"/>
                <w:i/>
                <w:iCs/>
                <w:color w:val="6A6056"/>
                <w:sz w:val="20"/>
                <w:szCs w:val="20"/>
              </w:rPr>
              <w:t>* Magnetolitherapie nicht geeignet bei Herzschrittmacher, Defibrillator, Hörgeräten</w:t>
            </w:r>
            <w:r>
              <w:rPr>
                <w:rFonts w:hint="default" w:ascii="Calibri" w:hAnsi="Calibri" w:cs="Calibri"/>
                <w:i/>
                <w:iCs/>
                <w:color w:val="6A6056"/>
                <w:sz w:val="20"/>
                <w:szCs w:val="20"/>
                <w:lang w:val="de-DE"/>
              </w:rPr>
              <w:t xml:space="preserve">, </w:t>
            </w:r>
            <w:r>
              <w:rPr>
                <w:rFonts w:ascii="Calibri" w:hAnsi="Calibri" w:cs="Calibri"/>
                <w:i/>
                <w:iCs/>
                <w:color w:val="6A6056"/>
                <w:sz w:val="20"/>
                <w:szCs w:val="20"/>
              </w:rPr>
              <w:t>nicht MR-täuglichen Implantaten.</w:t>
            </w:r>
          </w:p>
        </w:tc>
      </w:tr>
    </w:tbl>
    <w:p w14:paraId="1CEE0523">
      <w:bookmarkStart w:id="0" w:name="_GoBack"/>
      <w:bookmarkEnd w:id="0"/>
    </w:p>
    <w:sectPr>
      <w:headerReference r:id="rId3" w:type="default"/>
      <w:pgSz w:w="11906" w:h="16838"/>
      <w:pgMar w:top="574" w:right="851" w:bottom="724" w:left="851" w:header="708" w:footer="708" w:gutter="0"/>
      <w:pgBorders>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Georgia">
    <w:panose1 w:val="02040502050405020303"/>
    <w:charset w:val="00"/>
    <w:family w:val="auto"/>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10204"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3984"/>
      <w:gridCol w:w="6220"/>
    </w:tblGrid>
    <w:tr w14:paraId="16CAC369">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rPr>
        <w:trHeight w:val="1225" w:hRule="atLeast"/>
      </w:trPr>
      <w:tc>
        <w:tcPr>
          <w:tcW w:w="3800" w:type="dxa"/>
          <w:tcBorders>
            <w:top w:val="nil"/>
            <w:left w:val="nil"/>
            <w:bottom w:val="nil"/>
            <w:right w:val="nil"/>
          </w:tcBorders>
          <w:tcMar>
            <w:top w:w="0" w:type="dxa"/>
            <w:left w:w="0" w:type="dxa"/>
            <w:bottom w:w="0" w:type="dxa"/>
            <w:right w:w="200" w:type="dxa"/>
          </w:tcMar>
          <w:vAlign w:val="center"/>
        </w:tcPr>
        <w:p w14:paraId="6E5D2AC2">
          <w:pPr>
            <w:spacing w:before="0" w:after="0"/>
          </w:pPr>
          <w:r>
            <w:rPr>
              <w:rFonts w:hint="default"/>
              <w:lang w:val="de-DE"/>
            </w:rPr>
            <w:drawing>
              <wp:inline distT="0" distB="0" distL="114300" distR="114300">
                <wp:extent cx="2401570" cy="738505"/>
                <wp:effectExtent l="0" t="0" r="1270" b="1905"/>
                <wp:docPr id="6" name="Bild 6" descr="Neues_Logo_004_transparent_FINAL_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ild 6" descr="Neues_Logo_004_transparent_FINAL_JPEG"/>
                        <pic:cNvPicPr>
                          <a:picLocks noChangeAspect="1"/>
                        </pic:cNvPicPr>
                      </pic:nvPicPr>
                      <pic:blipFill>
                        <a:blip r:embed="rId1"/>
                        <a:stretch>
                          <a:fillRect/>
                        </a:stretch>
                      </pic:blipFill>
                      <pic:spPr>
                        <a:xfrm>
                          <a:off x="0" y="0"/>
                          <a:ext cx="2401570" cy="738505"/>
                        </a:xfrm>
                        <a:prstGeom prst="rect">
                          <a:avLst/>
                        </a:prstGeom>
                      </pic:spPr>
                    </pic:pic>
                  </a:graphicData>
                </a:graphic>
              </wp:inline>
            </w:drawing>
          </w:r>
        </w:p>
      </w:tc>
      <w:tc>
        <w:tcPr>
          <w:tcW w:w="6404" w:type="dxa"/>
          <w:tcBorders>
            <w:top w:val="nil"/>
            <w:left w:val="nil"/>
            <w:bottom w:val="nil"/>
            <w:right w:val="nil"/>
          </w:tcBorders>
          <w:tcMar>
            <w:top w:w="0" w:type="dxa"/>
            <w:left w:w="0" w:type="dxa"/>
            <w:bottom w:w="0" w:type="dxa"/>
            <w:right w:w="0" w:type="dxa"/>
          </w:tcMar>
          <w:vAlign w:val="center"/>
        </w:tcPr>
        <w:p w14:paraId="03D720D2">
          <w:pPr>
            <w:wordWrap w:val="0"/>
            <w:spacing w:before="0" w:after="30"/>
            <w:jc w:val="right"/>
            <w:rPr>
              <w:rFonts w:hint="default"/>
              <w:sz w:val="18"/>
              <w:szCs w:val="18"/>
              <w:lang w:val="de-DE"/>
            </w:rPr>
          </w:pPr>
          <w:r>
            <w:rPr>
              <w:rFonts w:ascii="Calibri" w:hAnsi="Calibri" w:eastAsia="Calibri" w:cs="Calibri"/>
              <w:b/>
              <w:bCs/>
              <w:color w:val="1C1C1C"/>
              <w:sz w:val="18"/>
              <w:szCs w:val="18"/>
            </w:rPr>
            <w:t>OA Dr. med. univ. Shady El Marto WDM</w:t>
          </w:r>
          <w:r>
            <w:rPr>
              <w:rFonts w:hint="default" w:ascii="Calibri" w:hAnsi="Calibri" w:eastAsia="Calibri" w:cs="Calibri"/>
              <w:b/>
              <w:bCs/>
              <w:color w:val="1C1C1C"/>
              <w:sz w:val="18"/>
              <w:szCs w:val="18"/>
              <w:lang w:val="de-DE"/>
            </w:rPr>
            <w:t xml:space="preserve"> </w:t>
          </w:r>
        </w:p>
        <w:p w14:paraId="60F9B882">
          <w:pPr>
            <w:wordWrap w:val="0"/>
            <w:spacing w:before="0" w:after="0"/>
            <w:jc w:val="right"/>
            <w:rPr>
              <w:rFonts w:hint="default"/>
              <w:sz w:val="18"/>
              <w:szCs w:val="18"/>
              <w:lang w:val="de-DE"/>
            </w:rPr>
          </w:pPr>
          <w:r>
            <w:rPr>
              <w:rFonts w:ascii="Calibri" w:hAnsi="Calibri" w:eastAsia="Calibri" w:cs="Calibri"/>
              <w:color w:val="666666"/>
              <w:sz w:val="18"/>
              <w:szCs w:val="18"/>
            </w:rPr>
            <w:t>Facharzt für Orthopädie und Traumatologie  |  Facharzt für Unfallchirurgie</w:t>
          </w:r>
          <w:r>
            <w:rPr>
              <w:rFonts w:hint="default" w:ascii="Calibri" w:hAnsi="Calibri" w:eastAsia="Calibri" w:cs="Calibri"/>
              <w:color w:val="666666"/>
              <w:sz w:val="18"/>
              <w:szCs w:val="18"/>
              <w:lang w:val="de-DE"/>
            </w:rPr>
            <w:t xml:space="preserve"> </w:t>
          </w:r>
        </w:p>
        <w:p w14:paraId="1045C982">
          <w:pPr>
            <w:spacing w:before="0" w:after="0"/>
            <w:jc w:val="center"/>
            <w:rPr>
              <w:rFonts w:hint="default"/>
              <w:sz w:val="18"/>
              <w:szCs w:val="18"/>
              <w:lang w:val="de-DE"/>
            </w:rPr>
          </w:pPr>
          <w:r>
            <w:rPr>
              <w:rFonts w:hint="default" w:ascii="Calibri" w:hAnsi="Calibri" w:eastAsia="Calibri" w:cs="Calibri"/>
              <w:color w:val="666666"/>
              <w:sz w:val="18"/>
              <w:szCs w:val="18"/>
              <w:lang w:val="de-DE"/>
            </w:rPr>
            <w:t xml:space="preserve">                                              </w:t>
          </w:r>
          <w:r>
            <w:rPr>
              <w:rFonts w:ascii="Calibri" w:hAnsi="Calibri" w:eastAsia="Calibri" w:cs="Calibri"/>
              <w:color w:val="666666"/>
              <w:sz w:val="18"/>
              <w:szCs w:val="18"/>
            </w:rPr>
            <w:t>Am Hof 11 Top 9  |  1010 Wien  |  Tel.:</w:t>
          </w:r>
          <w:r>
            <w:rPr>
              <w:rFonts w:ascii="Calibri" w:hAnsi="Calibri" w:eastAsia="Calibri" w:cs="Calibri"/>
              <w:b/>
              <w:bCs/>
              <w:color w:val="666666"/>
              <w:sz w:val="18"/>
              <w:szCs w:val="18"/>
            </w:rPr>
            <w:t xml:space="preserve"> +43 664 328 44 65</w:t>
          </w:r>
          <w:r>
            <w:rPr>
              <w:rFonts w:hint="default" w:ascii="Calibri" w:hAnsi="Calibri" w:eastAsia="Calibri" w:cs="Calibri"/>
              <w:color w:val="666666"/>
              <w:sz w:val="18"/>
              <w:szCs w:val="18"/>
              <w:lang w:val="de-DE"/>
            </w:rPr>
            <w:t xml:space="preserve">     </w:t>
          </w:r>
        </w:p>
        <w:p w14:paraId="7CD6A3BC">
          <w:pPr>
            <w:wordWrap w:val="0"/>
            <w:spacing w:before="0" w:after="0"/>
            <w:jc w:val="right"/>
            <w:rPr>
              <w:rFonts w:hint="default"/>
              <w:lang w:val="de-DE"/>
            </w:rPr>
          </w:pPr>
          <w:r>
            <w:rPr>
              <w:rFonts w:ascii="Calibri" w:hAnsi="Calibri" w:eastAsia="Calibri" w:cs="Calibri"/>
              <w:color w:val="9A7B2F"/>
              <w:sz w:val="18"/>
              <w:szCs w:val="18"/>
            </w:rPr>
            <w:t>ordination@dr-elmarto.at  |  www.dr-elmarto.at</w:t>
          </w:r>
        </w:p>
      </w:tc>
    </w:tr>
  </w:tbl>
  <w:p w14:paraId="4C47FA82">
    <w:pPr>
      <w:pBdr>
        <w:bottom w:val="single" w:color="B8952A" w:sz="12" w:space="1"/>
      </w:pBdr>
      <w:spacing w:before="60"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20" w:hanging="280"/>
      </w:pPr>
      <w:rPr>
        <w:rFonts w:ascii="Arial" w:hAnsi="Arial" w:eastAsia="Arial" w:cs="Arial"/>
        <w:color w:val="B8952A"/>
        <w:sz w:val="26"/>
        <w:szCs w:val="26"/>
      </w:r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0753A3D"/>
    <w:rsid w:val="01590644"/>
    <w:rsid w:val="074C2609"/>
    <w:rsid w:val="10F442DE"/>
    <w:rsid w:val="15C64B46"/>
    <w:rsid w:val="189A38FA"/>
    <w:rsid w:val="251D7B5D"/>
    <w:rsid w:val="2C8E6CA9"/>
    <w:rsid w:val="32F31EA6"/>
    <w:rsid w:val="353B041A"/>
    <w:rsid w:val="445C4E37"/>
    <w:rsid w:val="4C4E08CE"/>
    <w:rsid w:val="54421A56"/>
    <w:rsid w:val="54D6013E"/>
    <w:rsid w:val="56005B14"/>
    <w:rsid w:val="574D1E50"/>
    <w:rsid w:val="58E80569"/>
    <w:rsid w:val="59643735"/>
    <w:rsid w:val="5C46562F"/>
    <w:rsid w:val="5EC2745F"/>
    <w:rsid w:val="628D580E"/>
    <w:rsid w:val="79B315B7"/>
    <w:rsid w:val="79DE0598"/>
    <w:rsid w:val="7AA34743"/>
    <w:rsid w:val="7B582B59"/>
    <w:rsid w:val="7CEB7B00"/>
    <w:rsid w:val="7ED469A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rFonts w:ascii="Times New Roman" w:hAnsi="Times New Roman" w:eastAsia="SimSun" w:cs="Times New Roman"/>
      <w:sz w:val="21"/>
      <w:szCs w:val="22"/>
    </w:rPr>
  </w:style>
  <w:style w:type="paragraph" w:styleId="2">
    <w:name w:val="heading 1"/>
    <w:next w:val="1"/>
    <w:qFormat/>
    <w:uiPriority w:val="0"/>
    <w:rPr>
      <w:rFonts w:ascii="Times New Roman" w:hAnsi="Times New Roman" w:eastAsia="SimSun" w:cs="Times New Roman"/>
      <w:color w:val="2E74B5"/>
      <w:sz w:val="32"/>
      <w:szCs w:val="32"/>
    </w:rPr>
  </w:style>
  <w:style w:type="paragraph" w:styleId="3">
    <w:name w:val="heading 2"/>
    <w:next w:val="1"/>
    <w:qFormat/>
    <w:uiPriority w:val="0"/>
    <w:rPr>
      <w:rFonts w:ascii="Times New Roman" w:hAnsi="Times New Roman" w:eastAsia="SimSun" w:cs="Times New Roman"/>
      <w:color w:val="2E74B5"/>
      <w:sz w:val="26"/>
      <w:szCs w:val="26"/>
    </w:rPr>
  </w:style>
  <w:style w:type="paragraph" w:styleId="4">
    <w:name w:val="heading 3"/>
    <w:next w:val="1"/>
    <w:qFormat/>
    <w:uiPriority w:val="0"/>
    <w:rPr>
      <w:rFonts w:ascii="Times New Roman" w:hAnsi="Times New Roman" w:eastAsia="SimSun" w:cs="Times New Roman"/>
      <w:color w:val="1F4D78"/>
      <w:sz w:val="24"/>
      <w:szCs w:val="24"/>
    </w:rPr>
  </w:style>
  <w:style w:type="paragraph" w:styleId="5">
    <w:name w:val="heading 4"/>
    <w:next w:val="1"/>
    <w:qFormat/>
    <w:uiPriority w:val="0"/>
    <w:rPr>
      <w:rFonts w:ascii="Times New Roman" w:hAnsi="Times New Roman" w:eastAsia="SimSun" w:cs="Times New Roman"/>
      <w:i/>
      <w:iCs/>
      <w:color w:val="2E74B5"/>
      <w:sz w:val="21"/>
      <w:szCs w:val="22"/>
    </w:rPr>
  </w:style>
  <w:style w:type="paragraph" w:styleId="6">
    <w:name w:val="heading 5"/>
    <w:next w:val="1"/>
    <w:qFormat/>
    <w:uiPriority w:val="0"/>
    <w:rPr>
      <w:rFonts w:ascii="Times New Roman" w:hAnsi="Times New Roman" w:eastAsia="SimSun" w:cs="Times New Roman"/>
      <w:color w:val="2E74B5"/>
      <w:sz w:val="21"/>
      <w:szCs w:val="22"/>
    </w:rPr>
  </w:style>
  <w:style w:type="paragraph" w:styleId="7">
    <w:name w:val="heading 6"/>
    <w:next w:val="1"/>
    <w:qFormat/>
    <w:uiPriority w:val="0"/>
    <w:rPr>
      <w:rFonts w:ascii="Times New Roman" w:hAnsi="Times New Roman" w:eastAsia="SimSun" w:cs="Times New Roman"/>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character" w:styleId="11">
    <w:name w:val="Strong"/>
    <w:qFormat/>
    <w:uiPriority w:val="0"/>
    <w:rPr>
      <w:b/>
      <w:bCs/>
    </w:rPr>
  </w:style>
  <w:style w:type="character" w:styleId="12">
    <w:name w:val="footnote reference"/>
    <w:semiHidden/>
    <w:unhideWhenUsed/>
    <w:qFormat/>
    <w:uiPriority w:val="99"/>
    <w:rPr>
      <w:vertAlign w:val="superscript"/>
    </w:rPr>
  </w:style>
  <w:style w:type="character" w:styleId="13">
    <w:name w:val="Hyperlink"/>
    <w:unhideWhenUsed/>
    <w:qFormat/>
    <w:uiPriority w:val="99"/>
    <w:rPr>
      <w:color w:val="0563C1"/>
      <w:u w:val="single"/>
    </w:rPr>
  </w:style>
  <w:style w:type="paragraph" w:styleId="14">
    <w:name w:val="endnote text"/>
    <w:link w:val="21"/>
    <w:semiHidden/>
    <w:unhideWhenUsed/>
    <w:qFormat/>
    <w:uiPriority w:val="99"/>
    <w:pPr>
      <w:spacing w:after="0" w:line="240" w:lineRule="auto"/>
    </w:pPr>
    <w:rPr>
      <w:rFonts w:ascii="Times New Roman" w:hAnsi="Times New Roman" w:eastAsia="SimSun" w:cs="Times New Roman"/>
      <w:sz w:val="20"/>
      <w:szCs w:val="20"/>
    </w:rPr>
  </w:style>
  <w:style w:type="paragraph" w:styleId="15">
    <w:name w:val="footnote text"/>
    <w:link w:val="20"/>
    <w:semiHidden/>
    <w:unhideWhenUsed/>
    <w:qFormat/>
    <w:uiPriority w:val="99"/>
    <w:pPr>
      <w:spacing w:after="0" w:line="240" w:lineRule="auto"/>
    </w:pPr>
    <w:rPr>
      <w:rFonts w:ascii="Times New Roman" w:hAnsi="Times New Roman" w:eastAsia="SimSun" w:cs="Times New Roman"/>
      <w:sz w:val="20"/>
      <w:szCs w:val="20"/>
    </w:rPr>
  </w:style>
  <w:style w:type="paragraph" w:styleId="16">
    <w:name w:val="footer"/>
    <w:basedOn w:val="1"/>
    <w:qFormat/>
    <w:uiPriority w:val="0"/>
    <w:pPr>
      <w:tabs>
        <w:tab w:val="center" w:pos="4153"/>
        <w:tab w:val="right" w:pos="8306"/>
      </w:tabs>
    </w:pPr>
  </w:style>
  <w:style w:type="paragraph" w:styleId="1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8">
    <w:name w:val="Title"/>
    <w:qFormat/>
    <w:uiPriority w:val="0"/>
    <w:rPr>
      <w:rFonts w:ascii="Times New Roman" w:hAnsi="Times New Roman" w:eastAsia="SimSun" w:cs="Times New Roman"/>
      <w:sz w:val="56"/>
      <w:szCs w:val="56"/>
    </w:rPr>
  </w:style>
  <w:style w:type="paragraph" w:styleId="19">
    <w:name w:val="List Paragraph"/>
    <w:qFormat/>
    <w:uiPriority w:val="0"/>
    <w:rPr>
      <w:rFonts w:ascii="Times New Roman" w:hAnsi="Times New Roman" w:eastAsia="SimSun" w:cs="Times New Roman"/>
      <w:sz w:val="21"/>
      <w:szCs w:val="22"/>
    </w:rPr>
  </w:style>
  <w:style w:type="character" w:customStyle="1" w:styleId="20">
    <w:name w:val="Footnote Text Char"/>
    <w:link w:val="15"/>
    <w:semiHidden/>
    <w:unhideWhenUsed/>
    <w:qFormat/>
    <w:uiPriority w:val="99"/>
    <w:rPr>
      <w:sz w:val="20"/>
      <w:szCs w:val="20"/>
    </w:rPr>
  </w:style>
  <w:style w:type="character" w:customStyle="1" w:styleId="21">
    <w:name w:val="Endnote Text Char"/>
    <w:link w:val="14"/>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Pages>
  <Words>243</Words>
  <Characters>1626</Characters>
  <TotalTime>1</TotalTime>
  <ScaleCrop>false</ScaleCrop>
  <LinksUpToDate>false</LinksUpToDate>
  <CharactersWithSpaces>1847</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2026-04-20T22:06:00Z</dcterms:created>
  <dc:creator>Un-named</dc:creator>
  <cp:lastModifiedBy>OS Premium Account</cp:lastModifiedBy>
  <dcterms:modified xsi:type="dcterms:W3CDTF">2026-05-09T21:27:45Z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eyJoZGlkIjoiZTdmYzMyMDcyOWY0ZjJjZjIzYTU2ZDQ4OWJjNzcxY2IiLCJ1c2VySWQiOiI3Njk2NTgyNDI4NTM5In0=</vt:lpwstr>
  </property>
  <property fmtid="{D5CDD505-2E9C-101B-9397-08002B2CF9AE}" pid="3" name="KSOProductBuildVer">
    <vt:lpwstr>1031-12.1.0.25242</vt:lpwstr>
  </property>
  <property fmtid="{D5CDD505-2E9C-101B-9397-08002B2CF9AE}" pid="4" name="ICV">
    <vt:lpwstr>088FBAF0B5794AD1AE55116AF3B937B8_13</vt:lpwstr>
  </property>
</Properties>
</file>