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F2DC7">
      <w:pPr>
        <w:keepNext w:val="0"/>
        <w:keepLines w:val="0"/>
        <w:pageBreakBefore w:val="0"/>
        <w:widowControl/>
        <w:kinsoku/>
        <w:wordWrap/>
        <w:overflowPunct/>
        <w:topLinePunct w:val="0"/>
        <w:autoSpaceDE/>
        <w:autoSpaceDN/>
        <w:bidi w:val="0"/>
        <w:adjustRightInd/>
        <w:snapToGrid/>
        <w:spacing w:after="40"/>
        <w:jc w:val="center"/>
        <w:textAlignment w:val="auto"/>
        <w:rPr>
          <w:rFonts w:ascii="Georgia" w:hAnsi="Georgia" w:eastAsia="Georgia" w:cs="Georgia"/>
          <w:color w:val="101010"/>
          <w:sz w:val="20"/>
          <w:szCs w:val="20"/>
        </w:rPr>
      </w:pPr>
    </w:p>
    <w:p w14:paraId="41E08F73">
      <w:pPr>
        <w:spacing w:before="120" w:after="40"/>
        <w:jc w:val="center"/>
      </w:pPr>
      <w:r>
        <w:rPr>
          <w:rFonts w:ascii="Georgia" w:hAnsi="Georgia" w:cs="Georgia"/>
          <w:color w:val="101010"/>
          <w:sz w:val="44"/>
          <w:szCs w:val="44"/>
        </w:rPr>
        <w:t xml:space="preserve">Extrakorporale </w:t>
      </w:r>
      <w:r>
        <w:rPr>
          <w:rFonts w:ascii="Georgia" w:hAnsi="Georgia" w:cs="Georgia"/>
          <w:color w:val="B8952A"/>
          <w:sz w:val="44"/>
          <w:szCs w:val="44"/>
        </w:rPr>
        <w:t>Stoßwellentherapie</w:t>
      </w:r>
      <w:r>
        <w:rPr>
          <w:rFonts w:hint="default" w:ascii="Georgia" w:hAnsi="Georgia" w:cs="Georgia"/>
          <w:color w:val="B8952A"/>
          <w:sz w:val="44"/>
          <w:szCs w:val="44"/>
          <w:lang w:val="de-DE"/>
        </w:rPr>
        <w:t xml:space="preserve"> (ESWT)</w:t>
      </w:r>
    </w:p>
    <w:p w14:paraId="135C6B7E">
      <w:pPr>
        <w:spacing w:before="0" w:after="60"/>
        <w:jc w:val="center"/>
      </w:pPr>
      <w:r>
        <w:rPr>
          <w:rFonts w:ascii="Calibri" w:hAnsi="Calibri" w:cs="Calibri"/>
          <w:color w:val="auto"/>
          <w:spacing w:val="60"/>
          <w:sz w:val="24"/>
          <w:szCs w:val="24"/>
        </w:rPr>
        <w:t>Nichtinvasiv  ·  Ambulant  ·  Zurück zum Sport</w:t>
      </w:r>
    </w:p>
    <w:p w14:paraId="1F10B7D8">
      <w:pPr>
        <w:pBdr>
          <w:bottom w:val="single" w:color="DDD8CC" w:sz="8" w:space="1"/>
        </w:pBdr>
        <w:spacing w:before="0" w:after="0"/>
      </w:pPr>
      <w:bookmarkStart w:id="0" w:name="_GoBack"/>
      <w:bookmarkEnd w:id="0"/>
      <w:r>
        <w:rPr>
          <w:sz w:val="21"/>
        </w:rPr>
        <mc:AlternateContent>
          <mc:Choice Requires="wps">
            <w:drawing>
              <wp:anchor distT="0" distB="0" distL="114300" distR="114300" simplePos="0" relativeHeight="251659264" behindDoc="0" locked="0" layoutInCell="1" allowOverlap="1">
                <wp:simplePos x="0" y="0"/>
                <wp:positionH relativeFrom="column">
                  <wp:posOffset>-12065</wp:posOffset>
                </wp:positionH>
                <wp:positionV relativeFrom="paragraph">
                  <wp:posOffset>168275</wp:posOffset>
                </wp:positionV>
                <wp:extent cx="6406515" cy="5715"/>
                <wp:effectExtent l="0" t="7620" r="5715" b="14605"/>
                <wp:wrapNone/>
                <wp:docPr id="1" name="Gerader Verbinder 1"/>
                <wp:cNvGraphicFramePr/>
                <a:graphic xmlns:a="http://schemas.openxmlformats.org/drawingml/2006/main">
                  <a:graphicData uri="http://schemas.microsoft.com/office/word/2010/wordprocessingShape">
                    <wps:wsp>
                      <wps:cNvCnPr/>
                      <wps:spPr>
                        <a:xfrm>
                          <a:off x="551815" y="2355850"/>
                          <a:ext cx="6406515" cy="5715"/>
                        </a:xfrm>
                        <a:prstGeom prst="line">
                          <a:avLst/>
                        </a:prstGeom>
                        <a:ln w="15875">
                          <a:solidFill>
                            <a:srgbClr val="DCC88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95pt;margin-top:13.25pt;height:0.45pt;width:504.45pt;z-index:251659264;mso-width-relative:page;mso-height-relative:page;" filled="f" stroked="t" coordsize="21600,21600" o:gfxdata="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v85iz2AAAAAkBAAAPAAAAAAAAAAEA&#10;IAAAACIAAABkcnMvZG93bnJldi54bWxQSwECFAAUAAAACACHTuJAITTWn9YBAACrAwAADgAAAAAA&#10;AAABACAAAAAnAQAAZHJzL2Uyb0RvYy54bWxQSwUGAAAAAAYABgBZAQAAbwUAAAAA&#10;">
                <v:fill on="f" focussize="0,0"/>
                <v:stroke weight="1.25pt" color="#DCC88B [3204]" joinstyle="round"/>
                <v:imagedata o:title=""/>
                <o:lock v:ext="edit" aspectratio="f"/>
              </v:line>
            </w:pict>
          </mc:Fallback>
        </mc:AlternateContent>
      </w:r>
    </w:p>
    <w:p w14:paraId="444F8833">
      <w:pPr>
        <w:keepNext w:val="0"/>
        <w:keepLines w:val="0"/>
        <w:pageBreakBefore w:val="0"/>
        <w:widowControl/>
        <w:kinsoku/>
        <w:wordWrap/>
        <w:overflowPunct/>
        <w:topLinePunct w:val="0"/>
        <w:autoSpaceDE/>
        <w:autoSpaceDN/>
        <w:bidi w:val="0"/>
        <w:adjustRightInd/>
        <w:snapToGrid/>
        <w:spacing w:before="20" w:after="0"/>
        <w:textAlignment w:val="auto"/>
        <w:rPr>
          <w:rFonts w:hint="default" w:ascii="Times New Roman" w:hAnsi="Times New Roman" w:eastAsia="Calibri" w:cs="Times New Roman"/>
          <w:b/>
          <w:bCs/>
          <w:color w:val="1C1C1C"/>
          <w:sz w:val="24"/>
          <w:szCs w:val="24"/>
        </w:rPr>
      </w:pPr>
    </w:p>
    <w:p w14:paraId="3C1B6B2E">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 sehr geehrter Patient,</w:t>
      </w:r>
    </w:p>
    <w:p w14:paraId="2B10D91A">
      <w:pPr>
        <w:pStyle w:val="17"/>
        <w:spacing w:after="60"/>
        <w:jc w:val="both"/>
      </w:pPr>
      <w:r>
        <w:rPr>
          <w:rFonts w:hint="default"/>
          <w:lang w:val="de-DE"/>
        </w:rPr>
        <w:t>d</w:t>
      </w:r>
      <w:r>
        <w:t xml:space="preserve">ie Stoßwellentherapie setzt hochenergetische </w:t>
      </w:r>
      <w:r>
        <w:rPr>
          <w:rFonts w:hint="default"/>
          <w:lang w:val="de-DE"/>
        </w:rPr>
        <w:t>Drucks</w:t>
      </w:r>
      <w:r>
        <w:t xml:space="preserve">challwellen gezielt im Gewebe ein – ohne Operation, ohne Narkose, ohne Ausfallzeiten. </w:t>
      </w:r>
      <w:r>
        <w:rPr>
          <w:rFonts w:hint="default"/>
          <w:lang w:val="de-DE"/>
        </w:rPr>
        <w:t>Die Therapie</w:t>
      </w:r>
      <w:r>
        <w:t xml:space="preserve"> hat sich in der Orthopädie und Sportmedizin zu einem der wirksamsten nichtinvasiven Behandlungsverfahren entwickelt. Besonders nach Bandrekonstruktionen und</w:t>
      </w:r>
      <w:r>
        <w:rPr>
          <w:b w:val="0"/>
          <w:bCs w:val="0"/>
        </w:rPr>
        <w:t xml:space="preserve"> bei Knorpelschädigungen lässt sich das Behandlungsergebnis durch ESWT gravierend verbessern und die Rückkehr zum Sport deutlich beschleunigen.</w:t>
      </w:r>
    </w:p>
    <w:tbl>
      <w:tblPr>
        <w:tblStyle w:val="9"/>
        <w:tblW w:w="10151" w:type="dxa"/>
        <w:tblInd w:w="1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51"/>
      </w:tblGrid>
      <w:tr w14:paraId="1E97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51" w:type="dxa"/>
            <w:tcBorders>
              <w:top w:val="single" w:color="D8C990" w:sz="4" w:space="0"/>
              <w:left w:val="single" w:color="B8952A" w:sz="18" w:space="0"/>
              <w:bottom w:val="single" w:color="D8C990" w:sz="4" w:space="0"/>
              <w:right w:val="single" w:color="D8C990" w:sz="4" w:space="0"/>
            </w:tcBorders>
            <w:shd w:val="clear" w:color="auto" w:fill="F7F2E8"/>
            <w:tcMar>
              <w:top w:w="100" w:type="dxa"/>
              <w:left w:w="160" w:type="dxa"/>
              <w:bottom w:w="100" w:type="dxa"/>
              <w:right w:w="160" w:type="dxa"/>
            </w:tcMar>
          </w:tcPr>
          <w:p w14:paraId="10A304E6">
            <w:pPr>
              <w:spacing w:before="0" w:after="60"/>
            </w:pPr>
            <w:r>
              <w:rPr>
                <w:rFonts w:hint="default" w:cs="Times New Roman"/>
                <w:b/>
                <w:bCs/>
                <w:color w:val="1C1C1C"/>
                <w:sz w:val="26"/>
                <w:szCs w:val="26"/>
                <w:lang w:val="de-DE"/>
              </w:rPr>
              <w:t>W</w:t>
            </w:r>
            <w:r>
              <w:rPr>
                <w:rFonts w:ascii="Times New Roman" w:hAnsi="Times New Roman" w:cs="Times New Roman"/>
                <w:b/>
                <w:bCs/>
                <w:color w:val="1C1C1C"/>
                <w:sz w:val="26"/>
                <w:szCs w:val="26"/>
              </w:rPr>
              <w:t>ie wirkt die Stoßwellentherapie?</w:t>
            </w:r>
          </w:p>
          <w:p w14:paraId="1CFB738F">
            <w:pPr>
              <w:spacing w:before="0" w:after="0"/>
              <w:jc w:val="both"/>
            </w:pPr>
            <w:r>
              <w:rPr>
                <w:rFonts w:hint="default"/>
                <w:sz w:val="24"/>
                <w:szCs w:val="24"/>
                <w:lang w:val="de-DE"/>
              </w:rPr>
              <w:t xml:space="preserve">Die </w:t>
            </w:r>
            <w:r>
              <w:rPr>
                <w:sz w:val="24"/>
                <w:szCs w:val="24"/>
              </w:rPr>
              <w:t xml:space="preserve">Wirkung basiert auf präzise dosierten Druckwellen, die im behandelten Bereich biologische Reparaturmechanismen auslösen. Über den Prozess der sogenannten Mechanotransduktion reagieren Zellen auf den physikalischen Impuls mit einer verstärkten Produktion regenerativer Botenstoffe. Dadurch wird die lokale Durchblutung verbessert, der Zellstoffwechsel aktiviert und die Neubildung von Gefäßen sowie gesundem Gewebe angeregt. Gleichzeitig können chronische Entzündungsprozesse reguliert, Verkalkungen gelöst und Schmerzsignale reduziert werden. Wissenschaftliche Studien belegen insbesondere bei </w:t>
            </w:r>
            <w:r>
              <w:rPr>
                <w:rFonts w:hint="default"/>
                <w:sz w:val="24"/>
                <w:szCs w:val="24"/>
                <w:lang w:val="de-DE"/>
              </w:rPr>
              <w:t>Sehnentzündungen</w:t>
            </w:r>
            <w:r>
              <w:rPr>
                <w:sz w:val="24"/>
                <w:szCs w:val="24"/>
              </w:rPr>
              <w:t>, Arthrose und knöchernen Heilungsstörungen eine hohe Wirksamkeit bei gleichzeitig sehr guter Verträglichkeit</w:t>
            </w:r>
            <w:r>
              <w:rPr>
                <w:rFonts w:hint="default"/>
                <w:sz w:val="24"/>
                <w:szCs w:val="24"/>
                <w:lang w:val="de-DE"/>
              </w:rPr>
              <w:t>.</w:t>
            </w:r>
          </w:p>
        </w:tc>
      </w:tr>
    </w:tbl>
    <w:p w14:paraId="40BE010E">
      <w:pPr>
        <w:keepNext w:val="0"/>
        <w:keepLines w:val="0"/>
        <w:pageBreakBefore w:val="0"/>
        <w:widowControl/>
        <w:kinsoku/>
        <w:wordWrap/>
        <w:overflowPunct/>
        <w:topLinePunct w:val="0"/>
        <w:autoSpaceDE/>
        <w:autoSpaceDN/>
        <w:bidi w:val="0"/>
        <w:adjustRightInd/>
        <w:snapToGrid/>
        <w:spacing w:before="180" w:after="0"/>
        <w:textAlignment w:val="auto"/>
      </w:pPr>
    </w:p>
    <w:tbl>
      <w:tblPr>
        <w:tblStyle w:val="9"/>
        <w:tblW w:w="10167" w:type="dxa"/>
        <w:tblInd w:w="131"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11"/>
        <w:gridCol w:w="240"/>
        <w:gridCol w:w="5016"/>
      </w:tblGrid>
      <w:tr w14:paraId="7CF4573B">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11" w:type="dxa"/>
            <w:tcBorders>
              <w:top w:val="single" w:color="DDD8CC" w:sz="8" w:space="0"/>
              <w:left w:val="single" w:color="DDD8CC" w:sz="8" w:space="0"/>
              <w:bottom w:val="single" w:color="DDD8CC" w:sz="8" w:space="0"/>
              <w:right w:val="single" w:color="DDD8CC" w:sz="8" w:space="0"/>
            </w:tcBorders>
            <w:tcMar>
              <w:top w:w="100" w:type="dxa"/>
              <w:left w:w="140" w:type="dxa"/>
              <w:bottom w:w="100" w:type="dxa"/>
              <w:right w:w="140" w:type="dxa"/>
            </w:tcMar>
          </w:tcPr>
          <w:p w14:paraId="43DFE907">
            <w:pPr>
              <w:pBdr>
                <w:bottom w:val="single" w:color="D8C990" w:sz="2" w:space="2"/>
              </w:pBdr>
              <w:spacing w:before="0" w:after="80"/>
            </w:pPr>
            <w:r>
              <w:rPr>
                <w:rFonts w:ascii="Georgia" w:hAnsi="Georgia" w:eastAsia="Georgia" w:cs="Georgia"/>
                <w:b/>
                <w:bCs/>
                <w:caps/>
                <w:color w:val="9A7B2F"/>
                <w:spacing w:val="60"/>
                <w:sz w:val="22"/>
                <w:szCs w:val="22"/>
              </w:rPr>
              <w:t>Ihre Vorteile</w:t>
            </w:r>
          </w:p>
          <w:p w14:paraId="20F13A70">
            <w:pPr>
              <w:pStyle w:val="19"/>
              <w:numPr>
                <w:ilvl w:val="0"/>
                <w:numId w:val="1"/>
              </w:numPr>
              <w:spacing w:before="30" w:after="30"/>
            </w:pPr>
            <w:r>
              <w:rPr>
                <w:rFonts w:ascii="Times New Roman" w:hAnsi="Times New Roman" w:cs="Times New Roman"/>
                <w:color w:val="1C1C1C"/>
                <w:sz w:val="24"/>
                <w:szCs w:val="24"/>
              </w:rPr>
              <w:t>Keine Operation, kein Narkoserisiko</w:t>
            </w:r>
          </w:p>
          <w:p w14:paraId="32467E8D">
            <w:pPr>
              <w:pStyle w:val="19"/>
              <w:numPr>
                <w:ilvl w:val="0"/>
                <w:numId w:val="1"/>
              </w:numPr>
              <w:spacing w:before="30" w:after="30"/>
            </w:pPr>
            <w:r>
              <w:rPr>
                <w:rFonts w:ascii="Times New Roman" w:hAnsi="Times New Roman" w:cs="Times New Roman"/>
                <w:color w:val="1C1C1C"/>
                <w:sz w:val="24"/>
                <w:szCs w:val="24"/>
              </w:rPr>
              <w:t>Ambulant – keine Ausfallzeiten</w:t>
            </w:r>
          </w:p>
          <w:p w14:paraId="51B4834E">
            <w:pPr>
              <w:pStyle w:val="19"/>
              <w:numPr>
                <w:ilvl w:val="0"/>
                <w:numId w:val="1"/>
              </w:numPr>
              <w:spacing w:before="30" w:after="30"/>
            </w:pPr>
            <w:r>
              <w:rPr>
                <w:rFonts w:ascii="Times New Roman" w:hAnsi="Times New Roman" w:cs="Times New Roman"/>
                <w:color w:val="1C1C1C"/>
                <w:sz w:val="24"/>
                <w:szCs w:val="24"/>
              </w:rPr>
              <w:t>Aktivierung körpereigener Heilungsprozesse</w:t>
            </w:r>
          </w:p>
          <w:p w14:paraId="142F6A85">
            <w:pPr>
              <w:pStyle w:val="19"/>
              <w:numPr>
                <w:ilvl w:val="0"/>
                <w:numId w:val="1"/>
              </w:numPr>
              <w:spacing w:before="30" w:after="30"/>
            </w:pPr>
            <w:r>
              <w:rPr>
                <w:rFonts w:ascii="Times New Roman" w:hAnsi="Times New Roman" w:cs="Times New Roman"/>
                <w:color w:val="1C1C1C"/>
                <w:sz w:val="24"/>
                <w:szCs w:val="24"/>
              </w:rPr>
              <w:t>Nachhaltige Schmerzreduktion</w:t>
            </w:r>
          </w:p>
          <w:p w14:paraId="088109EB">
            <w:pPr>
              <w:pStyle w:val="19"/>
              <w:numPr>
                <w:ilvl w:val="0"/>
                <w:numId w:val="1"/>
              </w:numPr>
              <w:spacing w:before="30" w:after="30"/>
            </w:pPr>
            <w:r>
              <w:rPr>
                <w:rFonts w:ascii="Times New Roman" w:hAnsi="Times New Roman" w:cs="Times New Roman"/>
                <w:color w:val="1C1C1C"/>
                <w:sz w:val="24"/>
                <w:szCs w:val="24"/>
              </w:rPr>
              <w:t>Schnellere Rückkehr zum Sport</w:t>
            </w:r>
          </w:p>
          <w:p w14:paraId="453EF89C">
            <w:pPr>
              <w:pStyle w:val="19"/>
              <w:numPr>
                <w:ilvl w:val="0"/>
                <w:numId w:val="1"/>
              </w:numPr>
              <w:spacing w:before="30" w:after="30"/>
            </w:pPr>
            <w:r>
              <w:rPr>
                <w:rFonts w:ascii="Times New Roman" w:hAnsi="Times New Roman" w:cs="Times New Roman"/>
                <w:color w:val="1C1C1C"/>
                <w:sz w:val="24"/>
                <w:szCs w:val="24"/>
              </w:rPr>
              <w:t>Individuell auf Ihr Schmerzempfinden eingestellt</w:t>
            </w:r>
          </w:p>
          <w:p w14:paraId="030C9169">
            <w:pPr>
              <w:pStyle w:val="19"/>
              <w:numPr>
                <w:ilvl w:val="0"/>
                <w:numId w:val="1"/>
              </w:numPr>
              <w:spacing w:before="30" w:after="30"/>
            </w:pPr>
            <w:r>
              <w:rPr>
                <w:rFonts w:ascii="Times New Roman" w:hAnsi="Times New Roman" w:cs="Times New Roman"/>
                <w:color w:val="1C1C1C"/>
                <w:sz w:val="24"/>
                <w:szCs w:val="24"/>
              </w:rPr>
              <w:t>Wirksam auch dort, wo andere Therapien versagen</w:t>
            </w:r>
          </w:p>
        </w:tc>
        <w:tc>
          <w:tcPr>
            <w:tcW w:w="240" w:type="dxa"/>
            <w:tcBorders>
              <w:top w:val="nil"/>
              <w:left w:val="nil"/>
              <w:bottom w:val="nil"/>
              <w:right w:val="nil"/>
            </w:tcBorders>
            <w:tcMar>
              <w:top w:w="0" w:type="dxa"/>
              <w:left w:w="100" w:type="dxa"/>
              <w:bottom w:w="0" w:type="dxa"/>
              <w:right w:w="100" w:type="dxa"/>
            </w:tcMar>
          </w:tcPr>
          <w:p w14:paraId="62CFA411"/>
        </w:tc>
        <w:tc>
          <w:tcPr>
            <w:tcW w:w="5016" w:type="dxa"/>
            <w:tcBorders>
              <w:top w:val="single" w:color="DDD8CC" w:sz="8" w:space="0"/>
              <w:left w:val="single" w:color="DDD8CC" w:sz="8" w:space="0"/>
              <w:bottom w:val="single" w:color="DDD8CC" w:sz="8" w:space="0"/>
              <w:right w:val="single" w:color="DDD8CC" w:sz="8" w:space="0"/>
            </w:tcBorders>
            <w:tcMar>
              <w:top w:w="100" w:type="dxa"/>
              <w:left w:w="140" w:type="dxa"/>
              <w:bottom w:w="100" w:type="dxa"/>
              <w:right w:w="140" w:type="dxa"/>
            </w:tcMar>
          </w:tcPr>
          <w:p w14:paraId="14B08FD3">
            <w:pPr>
              <w:pBdr>
                <w:bottom w:val="single" w:color="D8C990" w:sz="2" w:space="2"/>
              </w:pBdr>
              <w:spacing w:before="0" w:after="80"/>
            </w:pPr>
            <w:r>
              <w:rPr>
                <w:rFonts w:ascii="Georgia" w:hAnsi="Georgia" w:eastAsia="Georgia" w:cs="Georgia"/>
                <w:b/>
                <w:bCs/>
                <w:caps/>
                <w:color w:val="9A7B2F"/>
                <w:spacing w:val="60"/>
                <w:sz w:val="22"/>
                <w:szCs w:val="22"/>
              </w:rPr>
              <w:t>Nach Operationen</w:t>
            </w:r>
          </w:p>
          <w:p w14:paraId="1D7952DB">
            <w:pPr>
              <w:pStyle w:val="19"/>
              <w:numPr>
                <w:ilvl w:val="0"/>
                <w:numId w:val="1"/>
              </w:numPr>
              <w:spacing w:before="30" w:after="30"/>
            </w:pPr>
            <w:r>
              <w:rPr>
                <w:rFonts w:ascii="Times New Roman" w:hAnsi="Times New Roman" w:cs="Times New Roman"/>
                <w:color w:val="1C1C1C"/>
                <w:sz w:val="24"/>
                <w:szCs w:val="24"/>
              </w:rPr>
              <w:t>Muskuloskelettale Erkrankungen</w:t>
            </w:r>
          </w:p>
          <w:p w14:paraId="2131D36C">
            <w:pPr>
              <w:pStyle w:val="19"/>
              <w:numPr>
                <w:ilvl w:val="0"/>
                <w:numId w:val="1"/>
              </w:numPr>
              <w:spacing w:before="30" w:after="30"/>
            </w:pPr>
            <w:r>
              <w:rPr>
                <w:rFonts w:ascii="Times New Roman" w:hAnsi="Times New Roman" w:cs="Times New Roman"/>
                <w:color w:val="1C1C1C"/>
                <w:sz w:val="24"/>
                <w:szCs w:val="24"/>
              </w:rPr>
              <w:t>Degenerative Erkrankungen (Bandscheibenvorfall, Spondylarthrose)</w:t>
            </w:r>
          </w:p>
          <w:p w14:paraId="2A31D822">
            <w:pPr>
              <w:pStyle w:val="19"/>
              <w:numPr>
                <w:ilvl w:val="0"/>
                <w:numId w:val="1"/>
              </w:numPr>
              <w:spacing w:before="30" w:after="30"/>
            </w:pPr>
            <w:r>
              <w:rPr>
                <w:rFonts w:ascii="Times New Roman" w:hAnsi="Times New Roman" w:cs="Times New Roman"/>
                <w:color w:val="1C1C1C"/>
                <w:sz w:val="24"/>
                <w:szCs w:val="24"/>
              </w:rPr>
              <w:t>Arthrose (Knie, Hüfte, Hände, Schulter, Ellenbogen)</w:t>
            </w:r>
          </w:p>
          <w:p w14:paraId="15B20CBC">
            <w:pPr>
              <w:pStyle w:val="19"/>
              <w:numPr>
                <w:ilvl w:val="0"/>
                <w:numId w:val="1"/>
              </w:numPr>
              <w:spacing w:before="30" w:after="30"/>
            </w:pPr>
            <w:r>
              <w:rPr>
                <w:rFonts w:ascii="Times New Roman" w:hAnsi="Times New Roman" w:cs="Times New Roman"/>
                <w:color w:val="1C1C1C"/>
                <w:sz w:val="24"/>
                <w:szCs w:val="24"/>
              </w:rPr>
              <w:t>Sehnenüberlastungssyndrome &amp; chronische Entzündungen</w:t>
            </w:r>
          </w:p>
          <w:p w14:paraId="34753C4F">
            <w:pPr>
              <w:pStyle w:val="19"/>
              <w:numPr>
                <w:ilvl w:val="0"/>
                <w:numId w:val="1"/>
              </w:numPr>
              <w:spacing w:before="30" w:after="30"/>
            </w:pPr>
            <w:r>
              <w:rPr>
                <w:rFonts w:ascii="Times New Roman" w:hAnsi="Times New Roman" w:cs="Times New Roman"/>
                <w:color w:val="1C1C1C"/>
                <w:sz w:val="24"/>
                <w:szCs w:val="24"/>
              </w:rPr>
              <w:t xml:space="preserve">Sportverletzungen &amp; </w:t>
            </w:r>
            <w:r>
              <w:rPr>
                <w:rFonts w:hint="default" w:cs="Times New Roman"/>
                <w:color w:val="1C1C1C"/>
                <w:sz w:val="24"/>
                <w:szCs w:val="24"/>
                <w:lang w:val="de-DE"/>
              </w:rPr>
              <w:t xml:space="preserve">vor allem </w:t>
            </w:r>
            <w:r>
              <w:rPr>
                <w:rFonts w:ascii="Times New Roman" w:hAnsi="Times New Roman" w:cs="Times New Roman"/>
                <w:color w:val="1C1C1C"/>
                <w:sz w:val="24"/>
                <w:szCs w:val="24"/>
              </w:rPr>
              <w:t>nach Operationen (Kreuzband, Knorpel)</w:t>
            </w:r>
          </w:p>
          <w:p w14:paraId="0B78786B">
            <w:pPr>
              <w:pStyle w:val="19"/>
              <w:numPr>
                <w:ilvl w:val="0"/>
                <w:numId w:val="1"/>
              </w:numPr>
              <w:spacing w:before="30" w:after="30"/>
            </w:pPr>
            <w:r>
              <w:rPr>
                <w:rFonts w:ascii="Times New Roman" w:hAnsi="Times New Roman" w:cs="Times New Roman"/>
                <w:color w:val="1C1C1C"/>
                <w:sz w:val="24"/>
                <w:szCs w:val="24"/>
              </w:rPr>
              <w:t xml:space="preserve">Muskelverspannungen, </w:t>
            </w:r>
            <w:r>
              <w:rPr>
                <w:rFonts w:hint="default" w:cs="Times New Roman"/>
                <w:color w:val="1C1C1C"/>
                <w:sz w:val="24"/>
                <w:szCs w:val="24"/>
                <w:lang w:val="de-DE"/>
              </w:rPr>
              <w:t xml:space="preserve">Muskelverletzungen, </w:t>
            </w:r>
            <w:r>
              <w:rPr>
                <w:rFonts w:ascii="Times New Roman" w:hAnsi="Times New Roman" w:cs="Times New Roman"/>
                <w:color w:val="1C1C1C"/>
                <w:sz w:val="24"/>
                <w:szCs w:val="24"/>
              </w:rPr>
              <w:t>Radikulopathien &amp; Lumbalgie</w:t>
            </w:r>
          </w:p>
        </w:tc>
      </w:tr>
    </w:tbl>
    <w:p w14:paraId="77D0A2CB">
      <w:pPr>
        <w:keepNext w:val="0"/>
        <w:keepLines w:val="0"/>
        <w:pageBreakBefore w:val="0"/>
        <w:widowControl/>
        <w:kinsoku/>
        <w:wordWrap/>
        <w:overflowPunct/>
        <w:topLinePunct w:val="0"/>
        <w:autoSpaceDE/>
        <w:autoSpaceDN/>
        <w:bidi w:val="0"/>
        <w:adjustRightInd/>
        <w:snapToGrid/>
        <w:spacing w:before="180" w:after="0"/>
        <w:textAlignment w:val="auto"/>
      </w:pPr>
    </w:p>
    <w:tbl>
      <w:tblPr>
        <w:tblStyle w:val="9"/>
        <w:tblW w:w="10175" w:type="dxa"/>
        <w:tblInd w:w="143" w:type="dxa"/>
        <w:tblBorders>
          <w:top w:val="single" w:color="DDD8CC" w:sz="12" w:space="0"/>
          <w:left w:val="single" w:color="DDD8CC" w:sz="12" w:space="0"/>
          <w:bottom w:val="single" w:color="DDD8CC" w:sz="12" w:space="0"/>
          <w:right w:val="single" w:color="DDD8CC" w:sz="12" w:space="0"/>
          <w:insideH w:val="single" w:color="DDD8CC" w:sz="12" w:space="0"/>
          <w:insideV w:val="single" w:color="DDD8CC" w:sz="12" w:space="0"/>
        </w:tblBorders>
        <w:tblLayout w:type="autofit"/>
        <w:tblCellMar>
          <w:top w:w="0" w:type="dxa"/>
          <w:left w:w="10" w:type="dxa"/>
          <w:bottom w:w="0" w:type="dxa"/>
          <w:right w:w="10" w:type="dxa"/>
        </w:tblCellMar>
      </w:tblPr>
      <w:tblGrid>
        <w:gridCol w:w="5038"/>
        <w:gridCol w:w="5137"/>
      </w:tblGrid>
      <w:tr w14:paraId="6D72ED0E">
        <w:tblPrEx>
          <w:tblBorders>
            <w:top w:val="single" w:color="DDD8CC" w:sz="12" w:space="0"/>
            <w:left w:val="single" w:color="DDD8CC" w:sz="12" w:space="0"/>
            <w:bottom w:val="single" w:color="DDD8CC" w:sz="12" w:space="0"/>
            <w:right w:val="single" w:color="DDD8CC" w:sz="12" w:space="0"/>
            <w:insideH w:val="single" w:color="DDD8CC" w:sz="12" w:space="0"/>
            <w:insideV w:val="single" w:color="DDD8CC" w:sz="12" w:space="0"/>
          </w:tblBorders>
          <w:tblCellMar>
            <w:top w:w="0" w:type="dxa"/>
            <w:left w:w="10" w:type="dxa"/>
            <w:bottom w:w="0" w:type="dxa"/>
            <w:right w:w="10" w:type="dxa"/>
          </w:tblCellMar>
        </w:tblPrEx>
        <w:tc>
          <w:tcPr>
            <w:tcW w:w="5038" w:type="dxa"/>
            <w:tcBorders>
              <w:tl2br w:val="nil"/>
              <w:tr2bl w:val="nil"/>
            </w:tcBorders>
            <w:shd w:val="clear" w:color="auto" w:fill="E5E1DA"/>
            <w:tcMar>
              <w:top w:w="100" w:type="dxa"/>
              <w:left w:w="160" w:type="dxa"/>
              <w:bottom w:w="100" w:type="dxa"/>
              <w:right w:w="100" w:type="dxa"/>
            </w:tcMar>
          </w:tcPr>
          <w:p w14:paraId="4B562D90">
            <w:pPr>
              <w:spacing w:before="0" w:after="40"/>
              <w:jc w:val="center"/>
              <w:rPr>
                <w:rFonts w:hint="default" w:ascii="Georgia" w:hAnsi="Georgia" w:cs="Georgia"/>
              </w:rPr>
            </w:pPr>
            <w:r>
              <w:rPr>
                <w:rFonts w:hint="default" w:ascii="Georgia" w:hAnsi="Georgia" w:eastAsia="Calibri" w:cs="Georgia"/>
                <w:b/>
                <w:bCs/>
                <w:caps/>
                <w:color w:val="9A7B2F"/>
                <w:spacing w:val="80"/>
                <w:sz w:val="18"/>
                <w:szCs w:val="18"/>
              </w:rPr>
              <w:t>DAUER</w:t>
            </w:r>
          </w:p>
          <w:p w14:paraId="292799A0">
            <w:pPr>
              <w:spacing w:before="0" w:after="0"/>
              <w:jc w:val="center"/>
            </w:pPr>
            <w:r>
              <w:rPr>
                <w:rFonts w:hint="default" w:ascii="Georgia" w:hAnsi="Georgia" w:cs="Georgia"/>
                <w:color w:val="1C1C1C"/>
                <w:sz w:val="22"/>
                <w:szCs w:val="22"/>
                <w:lang w:val="de-DE"/>
              </w:rPr>
              <w:t>3-</w:t>
            </w:r>
            <w:r>
              <w:rPr>
                <w:rFonts w:ascii="Georgia" w:hAnsi="Georgia" w:cs="Georgia"/>
                <w:color w:val="1C1C1C"/>
                <w:sz w:val="22"/>
                <w:szCs w:val="22"/>
              </w:rPr>
              <w:t>5 Einheiten als Block</w:t>
            </w:r>
          </w:p>
        </w:tc>
        <w:tc>
          <w:tcPr>
            <w:tcW w:w="5137" w:type="dxa"/>
            <w:tcBorders>
              <w:tl2br w:val="nil"/>
              <w:tr2bl w:val="nil"/>
            </w:tcBorders>
            <w:shd w:val="clear" w:color="auto" w:fill="E5E1DA"/>
            <w:tcMar>
              <w:top w:w="100" w:type="dxa"/>
              <w:left w:w="160" w:type="dxa"/>
              <w:bottom w:w="100" w:type="dxa"/>
              <w:right w:w="160" w:type="dxa"/>
            </w:tcMar>
          </w:tcPr>
          <w:p w14:paraId="78A34C0C">
            <w:pPr>
              <w:spacing w:before="0" w:after="40"/>
              <w:jc w:val="center"/>
            </w:pPr>
            <w:r>
              <w:rPr>
                <w:rFonts w:hint="default" w:ascii="Georgia" w:hAnsi="Georgia" w:eastAsia="Calibri" w:cs="Georgia"/>
                <w:b/>
                <w:bCs/>
                <w:caps/>
                <w:color w:val="9A7B2F"/>
                <w:spacing w:val="80"/>
                <w:sz w:val="18"/>
                <w:szCs w:val="18"/>
              </w:rPr>
              <w:t>WIEDERHOLUNGEN</w:t>
            </w:r>
          </w:p>
          <w:p w14:paraId="1CBACFF0">
            <w:pPr>
              <w:spacing w:before="0" w:after="0"/>
              <w:jc w:val="center"/>
            </w:pPr>
            <w:r>
              <w:rPr>
                <w:rFonts w:ascii="Georgia" w:hAnsi="Georgia" w:cs="Georgia"/>
                <w:color w:val="1C1C1C"/>
                <w:sz w:val="22"/>
                <w:szCs w:val="22"/>
              </w:rPr>
              <w:t>Alle 10–14 Tage  ·  ca. 3–5 Min. pro Sitzung</w:t>
            </w:r>
          </w:p>
        </w:tc>
      </w:tr>
    </w:tbl>
    <w:p w14:paraId="1F13337C">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bCs/>
          <w:sz w:val="24"/>
          <w:szCs w:val="24"/>
        </w:rPr>
      </w:pPr>
    </w:p>
    <w:p w14:paraId="0366866C">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bCs/>
          <w:sz w:val="24"/>
          <w:szCs w:val="24"/>
        </w:rPr>
      </w:pPr>
    </w:p>
    <w:tbl>
      <w:tblPr>
        <w:tblStyle w:val="9"/>
        <w:tblW w:w="10175" w:type="dxa"/>
        <w:tblInd w:w="191"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175"/>
      </w:tblGrid>
      <w:tr w14:paraId="609BEF6D">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175"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4379ABD">
            <w:pPr>
              <w:spacing w:before="0" w:after="60"/>
              <w:jc w:val="center"/>
            </w:pPr>
            <w:r>
              <w:rPr>
                <w:rFonts w:ascii="Georgia" w:hAnsi="Georgia" w:cs="Georgia"/>
                <w:b/>
                <w:bCs/>
                <w:color w:val="9A7B2F"/>
                <w:sz w:val="24"/>
                <w:szCs w:val="24"/>
              </w:rPr>
              <w:t>ESWT &amp; Magnetolith</w:t>
            </w:r>
            <w:r>
              <w:rPr>
                <w:rFonts w:hint="default" w:ascii="Georgia" w:hAnsi="Georgia" w:cs="Georgia"/>
                <w:b/>
                <w:bCs/>
                <w:color w:val="9A7B2F"/>
                <w:sz w:val="24"/>
                <w:szCs w:val="24"/>
                <w:lang w:val="de-DE"/>
              </w:rPr>
              <w:t>-T</w:t>
            </w:r>
            <w:r>
              <w:rPr>
                <w:rFonts w:ascii="Georgia" w:hAnsi="Georgia" w:cs="Georgia"/>
                <w:b/>
                <w:bCs/>
                <w:color w:val="9A7B2F"/>
                <w:sz w:val="24"/>
                <w:szCs w:val="24"/>
              </w:rPr>
              <w:t>herapie im intelligent kombinierten Therapiekonzept</w:t>
            </w:r>
          </w:p>
        </w:tc>
      </w:tr>
    </w:tbl>
    <w:p w14:paraId="1CEE0523"/>
    <w:sectPr>
      <w:headerReference r:id="rId3" w:type="default"/>
      <w:pgSz w:w="11906" w:h="16838"/>
      <w:pgMar w:top="574" w:right="975" w:bottom="724" w:left="851"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3984"/>
      <w:gridCol w:w="6220"/>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rPr>
              <w:rFonts w:hint="default"/>
              <w:lang w:val="de-DE"/>
            </w:rPr>
            <w:drawing>
              <wp:inline distT="0" distB="0" distL="114300" distR="114300">
                <wp:extent cx="2401570" cy="738505"/>
                <wp:effectExtent l="0" t="0" r="1270" b="1905"/>
                <wp:docPr id="6" name="Bild 6" descr="Neues_Logo_004_transparent_FINAL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 6" descr="Neues_Logo_004_transparent_FINAL_JPEG"/>
                        <pic:cNvPicPr>
                          <a:picLocks noChangeAspect="1"/>
                        </pic:cNvPicPr>
                      </pic:nvPicPr>
                      <pic:blipFill>
                        <a:blip r:embed="rId1"/>
                        <a:stretch>
                          <a:fillRect/>
                        </a:stretch>
                      </pic:blipFill>
                      <pic:spPr>
                        <a:xfrm>
                          <a:off x="0" y="0"/>
                          <a:ext cx="2401570" cy="73850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03D720D2">
          <w:pPr>
            <w:wordWrap w:val="0"/>
            <w:spacing w:before="0" w:after="30"/>
            <w:jc w:val="right"/>
            <w:rPr>
              <w:rFonts w:hint="default"/>
              <w:sz w:val="18"/>
              <w:szCs w:val="18"/>
              <w:lang w:val="de-DE"/>
            </w:rPr>
          </w:pPr>
          <w:r>
            <w:rPr>
              <w:rFonts w:ascii="Calibri" w:hAnsi="Calibri" w:eastAsia="Calibri" w:cs="Calibri"/>
              <w:b/>
              <w:bCs/>
              <w:color w:val="1C1C1C"/>
              <w:sz w:val="18"/>
              <w:szCs w:val="18"/>
            </w:rPr>
            <w:t>OA Dr. med. univ. Shady El Marto WDM</w:t>
          </w:r>
          <w:r>
            <w:rPr>
              <w:rFonts w:hint="default" w:ascii="Calibri" w:hAnsi="Calibri" w:eastAsia="Calibri" w:cs="Calibri"/>
              <w:b/>
              <w:bCs/>
              <w:color w:val="1C1C1C"/>
              <w:sz w:val="18"/>
              <w:szCs w:val="18"/>
              <w:lang w:val="de-DE"/>
            </w:rPr>
            <w:t xml:space="preserve"> </w:t>
          </w:r>
        </w:p>
        <w:p w14:paraId="60F9B882">
          <w:pPr>
            <w:wordWrap w:val="0"/>
            <w:spacing w:before="0" w:after="0"/>
            <w:jc w:val="right"/>
            <w:rPr>
              <w:rFonts w:hint="default"/>
              <w:sz w:val="18"/>
              <w:szCs w:val="18"/>
              <w:lang w:val="de-DE"/>
            </w:rPr>
          </w:pPr>
          <w:r>
            <w:rPr>
              <w:rFonts w:ascii="Calibri" w:hAnsi="Calibri" w:eastAsia="Calibri" w:cs="Calibri"/>
              <w:color w:val="666666"/>
              <w:sz w:val="18"/>
              <w:szCs w:val="18"/>
            </w:rPr>
            <w:t>Facharzt für Orthopädie und Traumatologie  |  Facharzt für Unfallchirurgie</w:t>
          </w:r>
          <w:r>
            <w:rPr>
              <w:rFonts w:hint="default" w:ascii="Calibri" w:hAnsi="Calibri" w:eastAsia="Calibri" w:cs="Calibri"/>
              <w:color w:val="666666"/>
              <w:sz w:val="18"/>
              <w:szCs w:val="18"/>
              <w:lang w:val="de-DE"/>
            </w:rPr>
            <w:t xml:space="preserve"> </w:t>
          </w:r>
        </w:p>
        <w:p w14:paraId="1045C982">
          <w:pPr>
            <w:spacing w:before="0" w:after="0"/>
            <w:jc w:val="center"/>
            <w:rPr>
              <w:rFonts w:hint="default"/>
              <w:sz w:val="18"/>
              <w:szCs w:val="18"/>
              <w:lang w:val="de-DE"/>
            </w:rPr>
          </w:pPr>
          <w:r>
            <w:rPr>
              <w:rFonts w:hint="default" w:ascii="Calibri" w:hAnsi="Calibri" w:eastAsia="Calibri" w:cs="Calibri"/>
              <w:color w:val="666666"/>
              <w:sz w:val="18"/>
              <w:szCs w:val="18"/>
              <w:lang w:val="de-DE"/>
            </w:rPr>
            <w:t xml:space="preserve">                                              </w:t>
          </w:r>
          <w:r>
            <w:rPr>
              <w:rFonts w:ascii="Calibri" w:hAnsi="Calibri" w:eastAsia="Calibri" w:cs="Calibri"/>
              <w:color w:val="666666"/>
              <w:sz w:val="18"/>
              <w:szCs w:val="18"/>
            </w:rPr>
            <w:t>Am Hof 11 Top 9  |  1010 Wien  |  Tel.:</w:t>
          </w:r>
          <w:r>
            <w:rPr>
              <w:rFonts w:ascii="Calibri" w:hAnsi="Calibri" w:eastAsia="Calibri" w:cs="Calibri"/>
              <w:b/>
              <w:bCs/>
              <w:color w:val="666666"/>
              <w:sz w:val="18"/>
              <w:szCs w:val="18"/>
            </w:rPr>
            <w:t xml:space="preserve"> +43 664 328 44 65</w:t>
          </w:r>
          <w:r>
            <w:rPr>
              <w:rFonts w:hint="default" w:ascii="Calibri" w:hAnsi="Calibri" w:eastAsia="Calibri" w:cs="Calibri"/>
              <w:color w:val="666666"/>
              <w:sz w:val="18"/>
              <w:szCs w:val="18"/>
              <w:lang w:val="de-DE"/>
            </w:rPr>
            <w:t xml:space="preserve">     </w:t>
          </w:r>
        </w:p>
        <w:p w14:paraId="7CD6A3BC">
          <w:pPr>
            <w:wordWrap w:val="0"/>
            <w:spacing w:before="0" w:after="0"/>
            <w:jc w:val="right"/>
            <w:rPr>
              <w:rFonts w:hint="default"/>
              <w:lang w:val="de-DE"/>
            </w:rPr>
          </w:pPr>
          <w:r>
            <w:rPr>
              <w:rFonts w:ascii="Calibri" w:hAnsi="Calibri" w:eastAsia="Calibri" w:cs="Calibri"/>
              <w:color w:val="9A7B2F"/>
              <w:sz w:val="18"/>
              <w:szCs w:val="18"/>
            </w:rPr>
            <w:t>ordination@dr-elmarto.at  |  www.dr-elmarto.at</w:t>
          </w:r>
        </w:p>
      </w:tc>
    </w:tr>
  </w:tbl>
  <w:p w14:paraId="4C47FA82">
    <w:pPr>
      <w:pBdr>
        <w:bottom w:val="single" w:color="B8952A" w:sz="12" w:space="1"/>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80"/>
      </w:pPr>
      <w:rPr>
        <w:rFonts w:ascii="Arial" w:hAnsi="Arial" w:eastAsia="Arial" w:cs="Arial"/>
        <w:color w:val="B8952A"/>
        <w:sz w:val="26"/>
        <w:szCs w:val="26"/>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1590644"/>
    <w:rsid w:val="074C2609"/>
    <w:rsid w:val="10F442DE"/>
    <w:rsid w:val="15C64B46"/>
    <w:rsid w:val="17247002"/>
    <w:rsid w:val="189A38FA"/>
    <w:rsid w:val="251D7B5D"/>
    <w:rsid w:val="27EE7E59"/>
    <w:rsid w:val="2C8E6CA9"/>
    <w:rsid w:val="2FBC6E61"/>
    <w:rsid w:val="32F31EA6"/>
    <w:rsid w:val="353B041A"/>
    <w:rsid w:val="445C4E37"/>
    <w:rsid w:val="46F843FA"/>
    <w:rsid w:val="4C4E08CE"/>
    <w:rsid w:val="54421A56"/>
    <w:rsid w:val="54D6013E"/>
    <w:rsid w:val="56005B14"/>
    <w:rsid w:val="574D1E50"/>
    <w:rsid w:val="58E80569"/>
    <w:rsid w:val="594A5D0F"/>
    <w:rsid w:val="59643735"/>
    <w:rsid w:val="5C46562F"/>
    <w:rsid w:val="5EC2745F"/>
    <w:rsid w:val="628D580E"/>
    <w:rsid w:val="79B315B7"/>
    <w:rsid w:val="79DE0598"/>
    <w:rsid w:val="7AA34743"/>
    <w:rsid w:val="7B582B59"/>
    <w:rsid w:val="7CEB7B00"/>
    <w:rsid w:val="7ED469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243</Words>
  <Characters>1626</Characters>
  <TotalTime>4</TotalTime>
  <ScaleCrop>false</ScaleCrop>
  <LinksUpToDate>false</LinksUpToDate>
  <CharactersWithSpaces>1847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2026-05-09T21:37:54Z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76DD43D50B7048B1B589BBD4A5C68A29_13</vt:lpwstr>
  </property>
</Properties>
</file>