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0B9DB">
      <w:pPr>
        <w:spacing w:before="120" w:after="30"/>
        <w:jc w:val="center"/>
        <w:rPr>
          <w:rFonts w:ascii="Georgia" w:hAnsi="Georgia" w:cs="Georgia"/>
          <w:color w:val="101010"/>
          <w:sz w:val="20"/>
          <w:szCs w:val="20"/>
        </w:rPr>
      </w:pPr>
    </w:p>
    <w:p w14:paraId="17EB85FB">
      <w:pPr>
        <w:spacing w:before="120" w:after="30"/>
        <w:jc w:val="center"/>
      </w:pPr>
      <w:r>
        <w:rPr>
          <w:rFonts w:ascii="Georgia" w:hAnsi="Georgia" w:cs="Georgia"/>
          <w:color w:val="101010"/>
          <w:sz w:val="38"/>
          <w:szCs w:val="38"/>
        </w:rPr>
        <w:t xml:space="preserve">Stabilisierung der Syndesmose – </w:t>
      </w:r>
      <w:r>
        <w:rPr>
          <w:rFonts w:ascii="Georgia" w:hAnsi="Georgia" w:cs="Georgia"/>
          <w:color w:val="B8952A"/>
          <w:sz w:val="38"/>
          <w:szCs w:val="38"/>
        </w:rPr>
        <w:t>Syndesmosenrepair</w:t>
      </w:r>
    </w:p>
    <w:p w14:paraId="2956295F">
      <w:pPr>
        <w:spacing w:before="0" w:after="60"/>
        <w:jc w:val="center"/>
      </w:pPr>
      <w:r>
        <w:rPr>
          <w:rFonts w:ascii="Calibri" w:hAnsi="Calibri" w:cs="Calibri"/>
          <w:color w:val="auto"/>
          <w:spacing w:val="60"/>
          <w:sz w:val="24"/>
          <w:szCs w:val="24"/>
        </w:rPr>
        <w:t>Nachbehandlung  ·  Wichtigste Punkte im Überblick</w:t>
      </w:r>
    </w:p>
    <w:p w14:paraId="0DF0D02E">
      <w:pPr>
        <w:pBdr>
          <w:bottom w:val="single" w:color="DDD8CC" w:sz="2" w:space="1"/>
        </w:pBdr>
        <w:spacing w:before="0" w:after="0"/>
      </w:pPr>
    </w:p>
    <w:p w14:paraId="445A55F1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</w:p>
    <w:p w14:paraId="42A36C0F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 xml:space="preserve">Liebe Patientin, </w:t>
      </w:r>
    </w:p>
    <w:p w14:paraId="4A8CBF90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hint="default" w:cs="Times New Roman"/>
          <w:b/>
          <w:bCs/>
          <w:color w:val="1C1C1C"/>
          <w:sz w:val="24"/>
          <w:szCs w:val="24"/>
          <w:lang w:val="de-DE"/>
        </w:rPr>
        <w:t>L</w:t>
      </w: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>ieber Patient,</w:t>
      </w:r>
    </w:p>
    <w:p w14:paraId="7136B91A">
      <w:pPr>
        <w:pStyle w:val="17"/>
        <w:spacing w:after="60"/>
        <w:jc w:val="both"/>
      </w:pPr>
      <w:r>
        <w:t xml:space="preserve">bei Ihnen wurde folgender Eingriff durchgeführt: </w:t>
      </w:r>
      <w:r>
        <w:rPr>
          <w:b/>
          <w:bCs/>
        </w:rPr>
        <w:t>Stabilisierung der Syndesmose – Syndesmosen</w:t>
      </w:r>
      <w:r>
        <w:rPr>
          <w:rFonts w:hint="default"/>
          <w:b/>
          <w:bCs/>
          <w:lang w:val="de-DE"/>
        </w:rPr>
        <w:t xml:space="preserve">- </w:t>
      </w:r>
      <w:r>
        <w:rPr>
          <w:b/>
          <w:bCs/>
        </w:rPr>
        <w:t>repair.</w:t>
      </w:r>
      <w:r>
        <w:t xml:space="preserve"> </w:t>
      </w:r>
    </w:p>
    <w:p w14:paraId="7DE9F5B7">
      <w:pPr>
        <w:pStyle w:val="17"/>
        <w:spacing w:after="60"/>
        <w:jc w:val="both"/>
      </w:pPr>
      <w:r>
        <w:t>Hier sind für Sie die wichtigsten Punkte der Nachbehandlung zusammengefasst:</w:t>
      </w:r>
    </w:p>
    <w:tbl>
      <w:tblPr>
        <w:tblStyle w:val="9"/>
        <w:tblW w:w="10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40148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DD8CC" w:sz="2" w:space="0"/>
              <w:left w:val="single" w:color="B8952A" w:sz="18" w:space="0"/>
              <w:bottom w:val="single" w:color="DDD8CC" w:sz="2" w:space="0"/>
              <w:right w:val="single" w:color="DDD8CC" w:sz="2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D675D">
            <w:pPr>
              <w:spacing w:before="0" w:after="6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6"/>
                <w:szCs w:val="26"/>
              </w:rPr>
              <w:t>In den ersten Tagen</w:t>
            </w:r>
          </w:p>
          <w:p w14:paraId="6E169D04">
            <w:pPr>
              <w:spacing w:before="0" w:after="40"/>
              <w:jc w:val="both"/>
            </w:pPr>
            <w:r>
              <w:rPr>
                <w:sz w:val="24"/>
                <w:szCs w:val="24"/>
              </w:rPr>
              <w:t xml:space="preserve">Hochlagerung des Beines und Auflegen von Eispackungen/Gel-Coolpacks </w:t>
            </w:r>
            <w:r>
              <w:rPr>
                <w:b/>
                <w:bCs/>
                <w:sz w:val="24"/>
                <w:szCs w:val="24"/>
              </w:rPr>
              <w:t>(3× täglich, 20 Minuten, nicht direkt auf die Haut)</w:t>
            </w:r>
            <w:r>
              <w:rPr>
                <w:sz w:val="24"/>
                <w:szCs w:val="24"/>
              </w:rPr>
              <w:t xml:space="preserve"> sowie Durchführung von isometrischen Spannungsübungen der Muskulatur.</w:t>
            </w:r>
          </w:p>
          <w:p w14:paraId="313A587F">
            <w:pPr>
              <w:spacing w:before="0" w:after="0"/>
              <w:jc w:val="both"/>
            </w:pPr>
            <w:r>
              <w:rPr>
                <w:sz w:val="24"/>
                <w:szCs w:val="24"/>
              </w:rPr>
              <w:t xml:space="preserve">Bitte tragen Sie Ihren </w:t>
            </w:r>
            <w:r>
              <w:rPr>
                <w:b/>
                <w:bCs/>
                <w:sz w:val="24"/>
                <w:szCs w:val="24"/>
              </w:rPr>
              <w:t>Aircastwalker</w:t>
            </w:r>
            <w:r>
              <w:rPr>
                <w:sz w:val="24"/>
                <w:szCs w:val="24"/>
              </w:rPr>
              <w:t>, der Ihnen im Spital angepasst wurde, konsequent.</w:t>
            </w:r>
          </w:p>
        </w:tc>
      </w:tr>
    </w:tbl>
    <w:p w14:paraId="6A06E509">
      <w:pPr>
        <w:spacing w:before="180" w:after="0"/>
      </w:pPr>
    </w:p>
    <w:tbl>
      <w:tblPr>
        <w:tblStyle w:val="9"/>
        <w:tblW w:w="10181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81"/>
      </w:tblGrid>
      <w:tr w14:paraId="321C4BE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8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0D766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Weitere Maßnahmen</w:t>
            </w:r>
          </w:p>
          <w:p w14:paraId="5C685522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Verordnungsschein für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physikalische Therapie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– wir empfehlen </w:t>
            </w:r>
            <w:r>
              <w:rPr>
                <w:rFonts w:ascii="Times New Roman" w:hAnsi="Times New Roman" w:cs="Times New Roman"/>
                <w:b/>
                <w:bCs/>
                <w:color w:val="9A7B2F"/>
                <w:sz w:val="24"/>
                <w:szCs w:val="24"/>
              </w:rPr>
              <w:t>Early Active Rehab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(exklusiv in unserer Ordination)</w:t>
            </w:r>
          </w:p>
          <w:p w14:paraId="250E90CA">
            <w:pPr>
              <w:pStyle w:val="19"/>
              <w:numPr>
                <w:ilvl w:val="0"/>
                <w:numId w:val="1"/>
              </w:numPr>
              <w:spacing w:before="30" w:after="30"/>
              <w:jc w:val="both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Nahtentfernung </w:t>
            </w:r>
            <w:r>
              <w:rPr>
                <w:rFonts w:hint="default" w:cs="Times New Roman"/>
                <w:b w:val="0"/>
                <w:bCs w:val="0"/>
                <w:color w:val="1C1C1C"/>
                <w:sz w:val="24"/>
                <w:szCs w:val="24"/>
                <w:lang w:val="de-DE"/>
              </w:rPr>
              <w:t>10</w:t>
            </w:r>
            <w:r>
              <w:rPr>
                <w:rFonts w:ascii="Times New Roman" w:hAnsi="Times New Roman" w:cs="Times New Roman"/>
                <w:b w:val="0"/>
                <w:bCs w:val="0"/>
                <w:color w:val="1C1C1C"/>
                <w:sz w:val="24"/>
                <w:szCs w:val="24"/>
              </w:rPr>
              <w:t>–1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>4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Tage nach OP (bei nicht resorbierbaren Nähten)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 </w:t>
            </w:r>
          </w:p>
          <w:p w14:paraId="7BB90F68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cs="Times New Roman"/>
                <w:b/>
                <w:bCs/>
                <w:color w:val="1C1C1C"/>
                <w:sz w:val="24"/>
                <w:szCs w:val="24"/>
                <w:lang w:val="de-DE"/>
              </w:rPr>
              <w:t>Stoßwellen-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bzw.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Lasertherapie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zur Unterstützung der Nachbehandlung</w:t>
            </w:r>
          </w:p>
          <w:p w14:paraId="691092CC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Teilbelastung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mit Stützkrücken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 und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halbem Körpergewicht für 2 Wochen</w:t>
            </w:r>
          </w:p>
          <w:p w14:paraId="77D4703A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color w:val="1C1C1C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Infiltrationen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ab der 4. Woche zur Optimierung der Heilung</w:t>
            </w:r>
          </w:p>
        </w:tc>
      </w:tr>
      <w:tr w14:paraId="4AE707B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8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198C2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Medikation bei Entlassung</w:t>
            </w:r>
          </w:p>
          <w:p w14:paraId="6923D165">
            <w:pPr>
              <w:spacing w:before="30" w:after="2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Sie erhalten ein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Rezept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mit folgender Verordnung:</w:t>
            </w:r>
          </w:p>
          <w:p w14:paraId="01B4006C">
            <w:pPr>
              <w:spacing w:before="30" w:after="2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  <w:p w14:paraId="2360FD79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Voltaren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50 mg Filmtabletten  1-1-1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</w:t>
            </w:r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 xml:space="preserve">- 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1C1C1C"/>
                <w:sz w:val="24"/>
                <w:szCs w:val="24"/>
                <w:lang w:val="de-DE"/>
              </w:rPr>
              <w:t>für die ersten 2 Tage, dann nur bei Bedarf</w:t>
            </w:r>
          </w:p>
          <w:p w14:paraId="4858241E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antoloc 40 mg Filmtabletten  1-0-0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 </w:t>
            </w:r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 xml:space="preserve">-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solange ein Schmerzmittel eingenommen wird</w:t>
            </w:r>
          </w:p>
          <w:p w14:paraId="351EF1D0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>Lev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enox 40 mg Spritzampullen  1-0-0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</w:t>
            </w:r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 xml:space="preserve">- 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1C1C1C"/>
                <w:sz w:val="24"/>
                <w:szCs w:val="24"/>
                <w:lang w:val="de-DE"/>
              </w:rPr>
              <w:t>bis zur Vollbelastung</w:t>
            </w:r>
          </w:p>
        </w:tc>
      </w:tr>
    </w:tbl>
    <w:p w14:paraId="667019CC">
      <w:pPr>
        <w:spacing w:before="180" w:after="0"/>
      </w:pPr>
    </w:p>
    <w:tbl>
      <w:tblPr>
        <w:tblStyle w:val="9"/>
        <w:tblW w:w="10204" w:type="dxa"/>
        <w:tblInd w:w="0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18F23FBC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80A93E">
            <w:pPr>
              <w:spacing w:before="0" w:after="6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 xml:space="preserve">Bei Auftreten von Fieber, starken Schmerzen, zunehmender Schwellung, Rötung oder Überwärmung des Kniegelenkes: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  <w:t>SOFORTIGE KONTAKTAUFNAHME</w:t>
            </w:r>
          </w:p>
          <w:p w14:paraId="7A777C2A">
            <w:pPr>
              <w:spacing w:before="0" w:after="6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</w:pPr>
          </w:p>
          <w:p w14:paraId="62B0E45D">
            <w:pPr>
              <w:spacing w:before="0" w:after="60"/>
            </w:pPr>
            <w:r>
              <w:rPr>
                <w:rFonts w:ascii="Georgia" w:hAnsi="Georgia" w:cs="Georgia"/>
                <w:b/>
                <w:bCs/>
                <w:color w:val="9A7B2F"/>
                <w:sz w:val="26"/>
                <w:szCs w:val="26"/>
              </w:rPr>
              <w:t>Unser gesamtes Team steht Ihnen bei Fragen jederzeit zur Verfügung.</w:t>
            </w:r>
          </w:p>
        </w:tc>
      </w:tr>
    </w:tbl>
    <w:p w14:paraId="1D8662F0">
      <w:bookmarkStart w:id="0" w:name="_GoBack"/>
      <w:bookmarkEnd w:id="0"/>
    </w:p>
    <w:sectPr>
      <w:headerReference r:id="rId3" w:type="default"/>
      <w:pgSz w:w="11906" w:h="16838"/>
      <w:pgMar w:top="574" w:right="851" w:bottom="724" w:left="85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4297"/>
      <w:gridCol w:w="5907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drawing>
              <wp:inline distT="0" distB="0" distL="0" distR="0">
                <wp:extent cx="2601595" cy="695325"/>
                <wp:effectExtent l="0" t="0" r="0" b="3175"/>
                <wp:docPr id="1" name="Bild 1" descr="C:/Users/oliver/Desktop/Neuer Ordner/die ORDI/Logo/Neues_Logo_003_transparent.pngNeues_Logo_003_transpar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 descr="C:/Users/oliver/Desktop/Neuer Ordner/die ORDI/Logo/Neues_Logo_003_transparent.pngNeues_Logo_003_transpar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5528" b="55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1595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D8FC49F">
          <w:pPr>
            <w:wordWrap w:val="0"/>
            <w:spacing w:before="0" w:after="3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7"/>
              <w:szCs w:val="17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7"/>
              <w:szCs w:val="17"/>
              <w:lang w:val="de-DE"/>
            </w:rPr>
            <w:t xml:space="preserve"> </w:t>
          </w:r>
        </w:p>
        <w:p w14:paraId="0F254B4D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</w:t>
          </w:r>
        </w:p>
        <w:p w14:paraId="38E00E37">
          <w:pPr>
            <w:spacing w:before="0" w:after="0"/>
            <w:jc w:val="center"/>
            <w:rPr>
              <w:rFonts w:hint="default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                                                                </w:t>
          </w: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5"/>
              <w:szCs w:val="15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</w:t>
          </w:r>
        </w:p>
        <w:p w14:paraId="3D2A998F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5"/>
              <w:szCs w:val="15"/>
            </w:rPr>
            <w:t>ordination@dr-elmarto.at  |  www.dr-elmarto.at</w:t>
          </w:r>
          <w:r>
            <w:rPr>
              <w:rFonts w:hint="default" w:ascii="Calibri" w:hAnsi="Calibri" w:eastAsia="Calibri" w:cs="Calibri"/>
              <w:color w:val="9A7B2F"/>
              <w:sz w:val="15"/>
              <w:szCs w:val="15"/>
              <w:lang w:val="de-DE"/>
            </w:rPr>
            <w:t xml:space="preserve"> 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6B2118F"/>
    <w:rsid w:val="074C2609"/>
    <w:rsid w:val="10F442DE"/>
    <w:rsid w:val="15C64B46"/>
    <w:rsid w:val="32F31EA6"/>
    <w:rsid w:val="353B041A"/>
    <w:rsid w:val="5C46562F"/>
    <w:rsid w:val="5EC2745F"/>
    <w:rsid w:val="7AA34743"/>
    <w:rsid w:val="7B582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183</Words>
  <Characters>1239</Characters>
  <TotalTime>0</TotalTime>
  <ScaleCrop>false</ScaleCrop>
  <LinksUpToDate>false</LinksUpToDate>
  <CharactersWithSpaces>1405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2026-04-26T16:55:02Z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D475E1658C1D480DA1043505A6FCA1DB_13</vt:lpwstr>
  </property>
</Properties>
</file>