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1D3DE">
      <w:pPr>
        <w:spacing w:before="120" w:after="30"/>
        <w:jc w:val="center"/>
        <w:rPr>
          <w:rFonts w:ascii="Georgia" w:hAnsi="Georgia" w:cs="Georgia"/>
          <w:color w:val="101010"/>
          <w:sz w:val="20"/>
          <w:szCs w:val="20"/>
        </w:rPr>
      </w:pPr>
      <w:bookmarkStart w:id="0" w:name="_GoBack"/>
      <w:bookmarkEnd w:id="0"/>
    </w:p>
    <w:p w14:paraId="516FC262">
      <w:pPr>
        <w:spacing w:before="120" w:after="30"/>
        <w:jc w:val="center"/>
      </w:pPr>
      <w:r>
        <w:rPr>
          <w:rFonts w:ascii="Georgia" w:hAnsi="Georgia" w:cs="Georgia"/>
          <w:color w:val="101010"/>
          <w:sz w:val="38"/>
          <w:szCs w:val="38"/>
        </w:rPr>
        <w:t xml:space="preserve">Nachbehandlung bei </w:t>
      </w:r>
      <w:r>
        <w:rPr>
          <w:rFonts w:ascii="Georgia" w:hAnsi="Georgia" w:cs="Georgia"/>
          <w:color w:val="B8952A"/>
          <w:sz w:val="38"/>
          <w:szCs w:val="38"/>
        </w:rPr>
        <w:t>Syndesmosenrepair</w:t>
      </w:r>
    </w:p>
    <w:p w14:paraId="770A93AC">
      <w:pPr>
        <w:spacing w:before="0" w:after="60"/>
        <w:jc w:val="center"/>
      </w:pPr>
      <w:r>
        <w:rPr>
          <w:rFonts w:ascii="Calibri" w:hAnsi="Calibri" w:cs="Calibri"/>
          <w:color w:val="auto"/>
          <w:spacing w:val="60"/>
          <w:sz w:val="24"/>
          <w:szCs w:val="24"/>
        </w:rPr>
        <w:t>Rekonstruktion &amp; Stabilisierung der</w:t>
      </w:r>
      <w:r>
        <w:rPr>
          <w:rFonts w:hint="default" w:ascii="Calibri" w:hAnsi="Calibri" w:cs="Calibri"/>
          <w:color w:val="auto"/>
          <w:spacing w:val="60"/>
          <w:sz w:val="24"/>
          <w:szCs w:val="24"/>
          <w:lang w:val="de-DE"/>
        </w:rPr>
        <w:t xml:space="preserve"> </w:t>
      </w:r>
      <w:r>
        <w:rPr>
          <w:rFonts w:ascii="Calibri" w:hAnsi="Calibri" w:cs="Calibri"/>
          <w:color w:val="auto"/>
          <w:spacing w:val="60"/>
          <w:sz w:val="24"/>
          <w:szCs w:val="24"/>
        </w:rPr>
        <w:t>Syndesmose  ·  Rehabilitationsplan</w:t>
      </w:r>
    </w:p>
    <w:p w14:paraId="1F2F7470">
      <w:pPr>
        <w:pBdr>
          <w:bottom w:val="single" w:color="DDD8CC" w:sz="2" w:space="1"/>
        </w:pBdr>
        <w:spacing w:before="0" w:after="0"/>
      </w:pPr>
    </w:p>
    <w:p w14:paraId="18A1CBDE">
      <w:pPr>
        <w:spacing w:before="20" w:after="0"/>
        <w:rPr>
          <w:rFonts w:ascii="Times New Roman" w:hAnsi="Times New Roman" w:cs="Times New Roman"/>
          <w:b/>
          <w:bCs/>
          <w:color w:val="1C1C1C"/>
          <w:sz w:val="24"/>
          <w:szCs w:val="24"/>
        </w:rPr>
      </w:pPr>
    </w:p>
    <w:p w14:paraId="22C1DAE7">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Liebe Patientin, </w:t>
      </w:r>
    </w:p>
    <w:p w14:paraId="3FA08C80">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L</w:t>
      </w:r>
      <w:r>
        <w:rPr>
          <w:rFonts w:ascii="Times New Roman" w:hAnsi="Times New Roman" w:cs="Times New Roman"/>
          <w:b/>
          <w:bCs/>
          <w:color w:val="1C1C1C"/>
          <w:sz w:val="24"/>
          <w:szCs w:val="24"/>
        </w:rPr>
        <w:t>ieber Patient,</w:t>
      </w:r>
    </w:p>
    <w:p w14:paraId="625961A4">
      <w:pPr>
        <w:pStyle w:val="17"/>
        <w:spacing w:after="60"/>
        <w:jc w:val="both"/>
      </w:pPr>
      <w:r>
        <w:t xml:space="preserve">Bei Ihnen ist eine </w:t>
      </w:r>
      <w:r>
        <w:rPr>
          <w:b/>
          <w:bCs/>
        </w:rPr>
        <w:t>Rekonstruktion und Stabilisierung der Syndesmose</w:t>
      </w:r>
      <w:r>
        <w:t xml:space="preserve"> durchgeführt worden. Folgende Empfehlungen sind für Sie unterstützend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2B7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ABA9898">
            <w:pPr>
              <w:spacing w:before="0" w:after="60"/>
            </w:pPr>
            <w:r>
              <w:rPr>
                <w:rFonts w:ascii="Times New Roman" w:hAnsi="Times New Roman" w:cs="Times New Roman"/>
                <w:b/>
                <w:bCs/>
                <w:color w:val="1C1C1C"/>
                <w:sz w:val="26"/>
                <w:szCs w:val="26"/>
              </w:rPr>
              <w:t>Allgemeine Hinweise direkt nach der OP</w:t>
            </w:r>
          </w:p>
          <w:p w14:paraId="53F57F9A">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die ersten </w:t>
            </w:r>
            <w:r>
              <w:rPr>
                <w:b/>
                <w:bCs/>
                <w:sz w:val="24"/>
                <w:szCs w:val="24"/>
              </w:rPr>
              <w:t>14 Tage unterstützend die Krücken</w:t>
            </w:r>
            <w:r>
              <w:rPr>
                <w:sz w:val="24"/>
                <w:szCs w:val="24"/>
              </w:rPr>
              <w:t xml:space="preserve"> und peilen Sie eine Teilbelastung mit halbem Körpergewicht an.</w:t>
            </w:r>
          </w:p>
          <w:p w14:paraId="50B47983">
            <w:pPr>
              <w:spacing w:before="0" w:after="0"/>
              <w:jc w:val="both"/>
            </w:pPr>
            <w:r>
              <w:rPr>
                <w:sz w:val="24"/>
                <w:szCs w:val="24"/>
              </w:rPr>
              <w:t xml:space="preserve">Der </w:t>
            </w:r>
            <w:r>
              <w:rPr>
                <w:b/>
                <w:bCs/>
                <w:sz w:val="24"/>
                <w:szCs w:val="24"/>
              </w:rPr>
              <w:t>Aircastwalker</w:t>
            </w:r>
            <w:r>
              <w:rPr>
                <w:sz w:val="24"/>
                <w:szCs w:val="24"/>
              </w:rPr>
              <w:t xml:space="preserve"> sollte für </w:t>
            </w:r>
            <w:r>
              <w:rPr>
                <w:b/>
                <w:bCs/>
                <w:sz w:val="24"/>
                <w:szCs w:val="24"/>
              </w:rPr>
              <w:t>6 Wochen Tag und Nacht</w:t>
            </w:r>
            <w:r>
              <w:rPr>
                <w:sz w:val="24"/>
                <w:szCs w:val="24"/>
              </w:rPr>
              <w:t xml:space="preserve"> getragen werden. Es wird empfohlen, den Aircastwalker regelmäßig zu öffnen und den Fuß zu lüften.</w:t>
            </w:r>
          </w:p>
        </w:tc>
      </w:tr>
    </w:tbl>
    <w:p w14:paraId="6181634D">
      <w:pPr>
        <w:spacing w:before="180" w:after="0"/>
      </w:pPr>
    </w:p>
    <w:tbl>
      <w:tblPr>
        <w:tblStyle w:val="9"/>
        <w:tblW w:w="1020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01"/>
      </w:tblGrid>
      <w:tr w14:paraId="5140224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20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BF83A3A">
            <w:pPr>
              <w:pBdr>
                <w:bottom w:val="single" w:color="D8C990" w:sz="2" w:space="2"/>
              </w:pBdr>
              <w:spacing w:before="0" w:after="80"/>
            </w:pPr>
            <w:r>
              <w:rPr>
                <w:rFonts w:ascii="Georgia" w:hAnsi="Georgia" w:cs="Georgia"/>
                <w:b/>
                <w:bCs/>
                <w:caps/>
                <w:color w:val="9A7B2F"/>
                <w:spacing w:val="60"/>
                <w:sz w:val="22"/>
                <w:szCs w:val="22"/>
              </w:rPr>
              <w:t>1. Woche</w:t>
            </w:r>
          </w:p>
          <w:p w14:paraId="030AC07D">
            <w:pPr>
              <w:spacing w:before="30" w:after="30"/>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38991E22">
            <w:pPr>
              <w:spacing w:before="30" w:after="60"/>
            </w:pPr>
            <w:r>
              <w:rPr>
                <w:rFonts w:ascii="Times New Roman" w:hAnsi="Times New Roman" w:cs="Times New Roman"/>
                <w:color w:val="1C1C1C"/>
                <w:sz w:val="24"/>
                <w:szCs w:val="24"/>
              </w:rPr>
              <w:t>Zu Hause: Coolpacks und Hochlagerung des Beines. Duschpflaster können regelmäßig nach Bedarf gewechselt werden.</w:t>
            </w:r>
          </w:p>
          <w:p w14:paraId="6A896F7F">
            <w:pPr>
              <w:pBdr>
                <w:top w:val="single" w:color="D8C990" w:sz="2" w:space="2"/>
                <w:bottom w:val="single" w:color="D8C990" w:sz="2" w:space="2"/>
              </w:pBdr>
              <w:spacing w:before="60" w:after="80"/>
            </w:pPr>
            <w:r>
              <w:rPr>
                <w:rFonts w:ascii="Georgia" w:hAnsi="Georgia" w:cs="Georgia"/>
                <w:b/>
                <w:bCs/>
                <w:caps/>
                <w:color w:val="9A7B2F"/>
                <w:spacing w:val="60"/>
                <w:sz w:val="22"/>
                <w:szCs w:val="22"/>
              </w:rPr>
              <w:t>2. Woche</w:t>
            </w:r>
          </w:p>
          <w:p w14:paraId="5E46835D">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 5 Einheiten alle 7–14 Tage in der Ordination.</w:t>
            </w:r>
          </w:p>
          <w:p w14:paraId="2D5A0461">
            <w:pPr>
              <w:pBdr>
                <w:top w:val="single" w:color="D8C990" w:sz="2" w:space="2"/>
                <w:bottom w:val="single" w:color="D8C990" w:sz="2" w:space="2"/>
              </w:pBdr>
              <w:spacing w:before="60" w:after="80"/>
            </w:pPr>
            <w:r>
              <w:rPr>
                <w:rFonts w:hint="default" w:ascii="Georgia" w:hAnsi="Georgia" w:cs="Georgia"/>
                <w:b/>
                <w:bCs/>
                <w:caps/>
                <w:color w:val="9A7B2F"/>
                <w:spacing w:val="60"/>
                <w:sz w:val="22"/>
                <w:szCs w:val="22"/>
                <w:lang w:val="de-DE"/>
              </w:rPr>
              <w:t>Nach 6</w:t>
            </w:r>
            <w:r>
              <w:rPr>
                <w:rFonts w:ascii="Georgia" w:hAnsi="Georgia" w:cs="Georgia"/>
                <w:b/>
                <w:bCs/>
                <w:caps/>
                <w:color w:val="9A7B2F"/>
                <w:spacing w:val="60"/>
                <w:sz w:val="22"/>
                <w:szCs w:val="22"/>
              </w:rPr>
              <w:t xml:space="preserve"> Woche</w:t>
            </w:r>
          </w:p>
          <w:p w14:paraId="28C86758">
            <w:pPr>
              <w:spacing w:before="30" w:after="30"/>
              <w:rPr>
                <w:rFonts w:hint="default" w:cs="Times New Roman"/>
                <w:color w:val="1C1C1C"/>
                <w:sz w:val="24"/>
                <w:szCs w:val="24"/>
                <w:lang w:val="de-DE"/>
              </w:rPr>
            </w:pPr>
            <w:r>
              <w:rPr>
                <w:rFonts w:hint="default" w:cs="Times New Roman"/>
                <w:color w:val="1C1C1C"/>
                <w:sz w:val="24"/>
                <w:szCs w:val="24"/>
                <w:lang w:val="de-DE"/>
              </w:rPr>
              <w:t>Abnahme des  Aircastwalkers und Beginn mit muskelaufbauenden Kraft- und Stabilisierungsübungen unter Anleitung des Physiotherapeuten/Innen.</w:t>
            </w:r>
          </w:p>
          <w:p w14:paraId="51EA1614">
            <w:pPr>
              <w:spacing w:before="30" w:after="30"/>
              <w:rPr>
                <w:rFonts w:hint="default" w:cs="Times New Roman"/>
                <w:color w:val="1C1C1C"/>
                <w:sz w:val="24"/>
                <w:szCs w:val="24"/>
                <w:lang w:val="de-DE"/>
              </w:rPr>
            </w:pPr>
          </w:p>
          <w:p w14:paraId="7B11FD77">
            <w:pPr>
              <w:pBdr>
                <w:top w:val="single" w:color="D8C990" w:sz="2" w:space="2"/>
                <w:bottom w:val="single" w:color="D8C990" w:sz="2" w:space="2"/>
              </w:pBdr>
              <w:spacing w:before="60" w:after="80"/>
            </w:pPr>
            <w:r>
              <w:rPr>
                <w:rFonts w:ascii="Georgia" w:hAnsi="Georgia" w:cs="Georgia"/>
                <w:b/>
                <w:bCs/>
                <w:caps/>
                <w:color w:val="9A7B2F"/>
                <w:spacing w:val="60"/>
                <w:sz w:val="22"/>
                <w:szCs w:val="22"/>
              </w:rPr>
              <w:t>Aircastwalker – Hinweis</w:t>
            </w:r>
          </w:p>
          <w:p w14:paraId="11AF1017">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Gesamttragedauer: </w:t>
            </w:r>
            <w:r>
              <w:rPr>
                <w:rFonts w:ascii="Times New Roman" w:hAnsi="Times New Roman" w:cs="Times New Roman"/>
                <w:b/>
                <w:bCs/>
                <w:color w:val="1C1C1C"/>
                <w:sz w:val="24"/>
                <w:szCs w:val="24"/>
              </w:rPr>
              <w:t>6 Wochen Tag und Nacht.</w:t>
            </w:r>
            <w:r>
              <w:rPr>
                <w:rFonts w:ascii="Times New Roman" w:hAnsi="Times New Roman" w:cs="Times New Roman"/>
                <w:color w:val="1C1C1C"/>
                <w:sz w:val="24"/>
                <w:szCs w:val="24"/>
              </w:rPr>
              <w:t xml:space="preserve"> Regelmäßiges Öffnen und Lüften des Fußes empfohlen.</w:t>
            </w:r>
          </w:p>
        </w:tc>
      </w:tr>
    </w:tbl>
    <w:p w14:paraId="1777812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6ED9154B">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3119102D">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richten sich nach individuellen Gegebenheiten. Bei all den empfohlenen Maßnahmen handelt es sich um Empfehlungen in Anlehnung an die rezente Literatur zur Optimierung des Endergebnisses. Es wird bei den genannten Sportarten kein Anspruch auf Vollständigkeit erhoben.</w:t>
            </w:r>
          </w:p>
          <w:p w14:paraId="4DBBC5C2">
            <w:pPr>
              <w:spacing w:before="0" w:after="60"/>
            </w:pPr>
            <w:r>
              <w:rPr>
                <w:rFonts w:ascii="Georgia" w:hAnsi="Georgia" w:cs="Georgia"/>
                <w:b/>
                <w:bCs/>
                <w:color w:val="9A7B2F"/>
                <w:sz w:val="26"/>
                <w:szCs w:val="26"/>
              </w:rPr>
              <w:t>Unser gesamtes Team steht Ihnen bei Fragen jederzeit zur Verfügung.</w:t>
            </w:r>
          </w:p>
        </w:tc>
      </w:tr>
    </w:tbl>
    <w:p w14:paraId="10E11841"/>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3F450CC9"/>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243</Words>
  <Characters>1564</Characters>
  <TotalTime>0</TotalTime>
  <ScaleCrop>false</ScaleCrop>
  <LinksUpToDate>false</LinksUpToDate>
  <CharactersWithSpaces>1791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2026-04-26T17:11:06Z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