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906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50A" w:val="clear"/>
            <w:tcMar>
              <w:top w:type="dxa" w:w="200"/>
              <w:left w:type="dxa" w:w="240"/>
              <w:bottom w:type="dxa" w:w="2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VITAMIN C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38"/>
                <w:szCs w:val="38"/>
              </w:rPr>
              <w:t xml:space="preserve">  INFUSIONSTHERAPIE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Schneller erholen. Tiefer wirken. Direkt in die Blutbahn.</w:t>
            </w:r>
          </w:p>
        </w:tc>
        <w:tc>
          <w:tcPr>
            <w:tcW w:type="dxa" w:w="2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64"/>
                <w:szCs w:val="64"/>
              </w:rPr>
              <w:t xml:space="preserve">💊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NEU IN UNSERER ORDINATION</w:t>
            </w:r>
          </w:p>
        </w:tc>
      </w:tr>
    </w:tbl>
    <w:p>
      <w:pPr>
        <w:spacing w:after="0" w:before="120"/>
      </w:pP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E8650A"/>
          <w:sz w:val="22"/>
          <w:szCs w:val="22"/>
        </w:rPr>
        <w:t xml:space="preserve">Tabletten und Tropfen? Gut. Aber nicht gut genug.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Oral eingenommenes Vitamin C wird im Magen-Darm-Trakt nur teilweise aufgenommen – ein Großteil geht verloren. Bei der intravenösen Infusion gelangt das Vitamin direkt und vollständig in Ihre Blutbahn. Das Ergebnis: maximale Wirkung, in kürzester Zeit.</w:t>
      </w:r>
    </w:p>
    <w:p>
      <w:pPr>
        <w:spacing w:after="0"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8650A"/>
                <w:sz w:val="22"/>
                <w:szCs w:val="22"/>
              </w:rPr>
              <w:t xml:space="preserve">Ihre Vorteile auf einen Blick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Direkte Aufnahme über die Blutbahn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Deutlich höhere Dosierung als oral möglich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Schnelle Versorgung des gesamten Körpers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Umgehung des Magen-Darm-Trakts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Minimaler Vitamin-Verlust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Stärkung des Immunsystems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Schutz der Körperzellen (Antioxidans)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Unterstützung der Kollagenproduktion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8650A"/>
                <w:sz w:val="22"/>
                <w:szCs w:val="22"/>
              </w:rPr>
              <w:t xml:space="preserve">Besonders nach Operationen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Beschleunigte Wundheilung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Reduktion von Entzündungen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Weniger postoperative Schmerzen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Geringerer Bedarf an Schmerzmitteln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Stärkeres Immunsystem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Schnellere Erholung &amp; weniger Erschöpfung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Viele Patienten berichten von spürbar rascherem Wohlbefinden bereits nach der ersten Infusion.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8650A" w:sz="6"/>
              <w:left w:val="single" w:color="E8650A" w:sz="6"/>
              <w:bottom w:val="single" w:color="E8650A" w:sz="6"/>
              <w:right w:val="single" w:color="E8650A" w:sz="6"/>
            </w:tcBorders>
            <w:shd w:fill="FFF3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4"/>
                <w:szCs w:val="24"/>
              </w:rPr>
              <w:t xml:space="preserve">Ablauf &amp; Anwendung</w:t>
            </w:r>
          </w:p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300"/>
              <w:gridCol w:w="4300"/>
            </w:tblGrid>
            <w:tr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0"/>
                      <w:szCs w:val="20"/>
                    </w:rPr>
                    <w:t xml:space="preserve">⏱ Dauer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ca. 30 Minuten</w:t>
                  </w:r>
                </w:p>
              </w:tc>
              <w:tc>
                <w:tcPr>
                  <w:tcW w:type="dxa" w:w="4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6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0"/>
                      <w:szCs w:val="20"/>
                    </w:rPr>
                    <w:t xml:space="preserve">🔄 Wiederholungen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Individuell, als Kur 3–5x über 4–6 Wochen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Sicherheit &amp; Verträglichkeit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Vor jeder Infusion führen wir ein ausführliches Anamnesegespräch und klären alle Risiken und Nebenwirkungen gemeinsam mit Ihnen ab. Die Vitamin-C-Infusionstherapie ist in der Regel sehr gut verträglich – Sie müssen keine Nebenwirkungen erwarten.</w:t>
      </w:r>
    </w:p>
    <w:p>
      <w:pPr>
        <w:spacing w:after="0" w:before="12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606"/>
      </w:tblGrid>
      <w:tr>
        <w:tc>
          <w:tcPr>
            <w:tcW w:type="dxa" w:w="6500"/>
            <w:tcBorders>
              <w:top w:val="single" w:color="E8650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Haben Sie Fragen? Sprechen Sie uns an!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Mehr Informationen und Terminbuchung auf unserer Website.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Alle Details zur Vitamin-C-Infusionstherapie finden Sie unter: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www.ihre-ordination.at/vitamin-infusion</w:t>
            </w:r>
          </w:p>
        </w:tc>
        <w:tc>
          <w:tcPr>
            <w:tcW w:type="dxa" w:w="3606"/>
            <w:tcBorders>
              <w:top w:val="single" w:color="E8650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[ QR-Code ]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Zur Website scannen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300"/>
      </w:pPr>
      <w:rPr>
        <w:rFonts w:ascii="Arial" w:cs="Arial" w:eastAsia="Arial" w:hAnsi="Arial"/>
        <w:color w:val="E8650A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2026-04-20T20:15:47.510Z</dcterms:created>
  <dcterms:modified xsi:type="dcterms:W3CDTF">2026-04-20T20:15:47.511Z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