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7BB0E">
      <w:pPr>
        <w:spacing w:before="120" w:after="40"/>
        <w:jc w:val="center"/>
      </w:pPr>
      <w:r>
        <w:rPr>
          <w:rFonts w:ascii="Georgia" w:hAnsi="Georgia" w:eastAsia="Georgia" w:cs="Georgia"/>
          <w:color w:val="101010"/>
          <w:sz w:val="44"/>
          <w:szCs w:val="44"/>
        </w:rPr>
        <w:t xml:space="preserve">Vitamin C </w:t>
      </w:r>
      <w:r>
        <w:rPr>
          <w:rFonts w:ascii="Georgia" w:hAnsi="Georgia" w:eastAsia="Georgia" w:cs="Georgia"/>
          <w:color w:val="B8952A"/>
          <w:sz w:val="44"/>
          <w:szCs w:val="44"/>
        </w:rPr>
        <w:t>Infusionstherapie</w:t>
      </w:r>
    </w:p>
    <w:p w14:paraId="0A68DEE5">
      <w:pPr>
        <w:spacing w:before="0" w:after="60"/>
        <w:jc w:val="center"/>
        <w:rPr>
          <w:color w:val="auto"/>
        </w:rPr>
      </w:pPr>
      <w:r>
        <w:rPr>
          <w:rFonts w:ascii="Calibri" w:hAnsi="Calibri" w:eastAsia="Calibri" w:cs="Calibri"/>
          <w:color w:val="auto"/>
          <w:spacing w:val="60"/>
          <w:sz w:val="20"/>
          <w:szCs w:val="20"/>
        </w:rPr>
        <w:t>Schneller fit  ·  Schneller zurück im Leben</w:t>
      </w:r>
    </w:p>
    <w:p w14:paraId="481BECD5">
      <w:pPr>
        <w:pBdr>
          <w:bottom w:val="single" w:color="DDD8CC" w:sz="2" w:space="1"/>
        </w:pBdr>
        <w:spacing w:before="0" w:after="0"/>
      </w:pPr>
    </w:p>
    <w:p w14:paraId="7B83C0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0"/>
        <w:textAlignment w:val="auto"/>
        <w:rPr>
          <w:rFonts w:ascii="Calibri" w:hAnsi="Calibri" w:eastAsia="Calibri" w:cs="Calibri"/>
          <w:b/>
          <w:bCs/>
          <w:color w:val="1C1C1C"/>
          <w:sz w:val="24"/>
          <w:szCs w:val="24"/>
        </w:rPr>
      </w:pPr>
    </w:p>
    <w:p w14:paraId="50FF93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0"/>
        <w:textAlignment w:val="auto"/>
        <w:rPr>
          <w:rFonts w:hint="default" w:ascii="Times New Roman" w:hAnsi="Times New Roman" w:eastAsia="Calibri" w:cs="Times New Roman"/>
          <w:b/>
          <w:bCs/>
          <w:color w:val="1C1C1C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color w:val="1C1C1C"/>
          <w:sz w:val="24"/>
          <w:szCs w:val="24"/>
        </w:rPr>
        <w:t>Sehr geehrte</w:t>
      </w:r>
      <w:r>
        <w:rPr>
          <w:rFonts w:hint="default" w:ascii="Times New Roman" w:hAnsi="Times New Roman" w:eastAsia="Calibri" w:cs="Times New Roman"/>
          <w:b/>
          <w:bCs/>
          <w:color w:val="1C1C1C"/>
          <w:sz w:val="24"/>
          <w:szCs w:val="24"/>
          <w:lang w:val="de-DE"/>
        </w:rPr>
        <w:t>r</w:t>
      </w:r>
      <w:r>
        <w:rPr>
          <w:rFonts w:hint="default" w:ascii="Times New Roman" w:hAnsi="Times New Roman" w:eastAsia="Calibri" w:cs="Times New Roman"/>
          <w:b/>
          <w:bCs/>
          <w:color w:val="1C1C1C"/>
          <w:sz w:val="24"/>
          <w:szCs w:val="24"/>
        </w:rPr>
        <w:t xml:space="preserve"> Patientin, </w:t>
      </w:r>
    </w:p>
    <w:p w14:paraId="517C42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b/>
          <w:bCs/>
          <w:color w:val="1C1C1C"/>
          <w:sz w:val="24"/>
          <w:szCs w:val="24"/>
          <w:lang w:val="de-DE"/>
        </w:rPr>
        <w:t>S</w:t>
      </w:r>
      <w:r>
        <w:rPr>
          <w:rFonts w:hint="default" w:ascii="Times New Roman" w:hAnsi="Times New Roman" w:eastAsia="Calibri" w:cs="Times New Roman"/>
          <w:b/>
          <w:bCs/>
          <w:color w:val="1C1C1C"/>
          <w:sz w:val="24"/>
          <w:szCs w:val="24"/>
        </w:rPr>
        <w:t>ehr geehrter Patient,</w:t>
      </w:r>
    </w:p>
    <w:p w14:paraId="74EA00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0" w:after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color w:val="1C1C1C"/>
          <w:sz w:val="24"/>
          <w:szCs w:val="24"/>
        </w:rPr>
        <w:t>wir erweitern unser Therapieangebot um die Vitamin-C-Infusionstherapie</w:t>
      </w:r>
      <w:r>
        <w:rPr>
          <w:rFonts w:hint="default" w:ascii="Times New Roman" w:hAnsi="Times New Roman" w:eastAsia="Calibri" w:cs="Times New Roman"/>
          <w:color w:val="1C1C1C"/>
          <w:sz w:val="24"/>
          <w:szCs w:val="24"/>
          <w:lang w:val="de-DE"/>
        </w:rPr>
        <w:t xml:space="preserve">. Die </w:t>
      </w:r>
      <w:r>
        <w:rPr>
          <w:rFonts w:hint="default" w:ascii="Times New Roman" w:hAnsi="Times New Roman" w:eastAsia="Calibri" w:cs="Times New Roman"/>
          <w:color w:val="1C1C1C"/>
          <w:sz w:val="24"/>
          <w:szCs w:val="24"/>
        </w:rPr>
        <w:t xml:space="preserve">effizienteste Art, Ihrem Körper genau das zu geben, was er nach Operationen, bei Erschöpfung </w:t>
      </w:r>
      <w:r>
        <w:rPr>
          <w:rFonts w:hint="default" w:ascii="Times New Roman" w:hAnsi="Times New Roman" w:eastAsia="Calibri" w:cs="Times New Roman"/>
          <w:color w:val="1C1C1C"/>
          <w:sz w:val="24"/>
          <w:szCs w:val="24"/>
          <w:lang w:val="de-DE"/>
        </w:rPr>
        <w:t xml:space="preserve">und </w:t>
      </w:r>
      <w:r>
        <w:rPr>
          <w:rFonts w:hint="default" w:ascii="Times New Roman" w:hAnsi="Times New Roman" w:eastAsia="Calibri" w:cs="Times New Roman"/>
          <w:color w:val="1C1C1C"/>
          <w:sz w:val="24"/>
          <w:szCs w:val="24"/>
        </w:rPr>
        <w:t>zur schnellen Regeneration braucht. Vitamin C ist eines der stärksten Antioxidantien. Es schützt Ihre Zellen, fördert die Kollagenbildung und unterstützt d</w:t>
      </w:r>
      <w:r>
        <w:rPr>
          <w:rFonts w:hint="default" w:ascii="Times New Roman" w:hAnsi="Times New Roman" w:eastAsia="Calibri" w:cs="Times New Roman"/>
          <w:color w:val="1C1C1C"/>
          <w:sz w:val="24"/>
          <w:szCs w:val="24"/>
          <w:lang w:val="de-DE"/>
        </w:rPr>
        <w:t>en</w:t>
      </w:r>
      <w:r>
        <w:rPr>
          <w:rFonts w:hint="default" w:ascii="Times New Roman" w:hAnsi="Times New Roman" w:eastAsia="Calibri" w:cs="Times New Roman"/>
          <w:color w:val="1C1C1C"/>
          <w:sz w:val="24"/>
          <w:szCs w:val="24"/>
        </w:rPr>
        <w:t xml:space="preserve"> Heilung</w:t>
      </w:r>
      <w:r>
        <w:rPr>
          <w:rFonts w:hint="default" w:ascii="Times New Roman" w:hAnsi="Times New Roman" w:eastAsia="Calibri" w:cs="Times New Roman"/>
          <w:color w:val="1C1C1C"/>
          <w:sz w:val="24"/>
          <w:szCs w:val="24"/>
          <w:lang w:val="de-DE"/>
        </w:rPr>
        <w:t>sprozess</w:t>
      </w:r>
      <w:r>
        <w:rPr>
          <w:rFonts w:hint="default" w:ascii="Times New Roman" w:hAnsi="Times New Roman" w:eastAsia="Calibri" w:cs="Times New Roman"/>
          <w:color w:val="1C1C1C"/>
          <w:sz w:val="24"/>
          <w:szCs w:val="24"/>
        </w:rPr>
        <w:t xml:space="preserve"> spürbar.</w:t>
      </w:r>
    </w:p>
    <w:p w14:paraId="75775773">
      <w:pPr>
        <w:spacing w:before="120" w:after="120"/>
      </w:pPr>
    </w:p>
    <w:tbl>
      <w:tblPr>
        <w:tblStyle w:val="9"/>
        <w:tblW w:w="102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04"/>
      </w:tblGrid>
      <w:tr w14:paraId="0DAEE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4" w:type="dxa"/>
            <w:tcBorders>
              <w:top w:val="single" w:color="DDD8CC" w:sz="2" w:space="0"/>
              <w:left w:val="single" w:color="B8952A" w:sz="18" w:space="0"/>
              <w:bottom w:val="single" w:color="DDD8CC" w:sz="2" w:space="0"/>
              <w:right w:val="single" w:color="DDD8CC" w:sz="2" w:space="0"/>
            </w:tcBorders>
            <w:shd w:val="clear" w:color="auto" w:fill="F7F2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C4170E">
            <w:pPr>
              <w:spacing w:before="0" w:after="60"/>
              <w:rPr>
                <w:rFonts w:hint="default" w:ascii="Times New Roman" w:hAnsi="Times New Roman" w:cs="Times New Roman"/>
                <w:sz w:val="26"/>
                <w:szCs w:val="26"/>
                <w:lang w:val="de-DE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1C1C1C"/>
                <w:sz w:val="26"/>
                <w:szCs w:val="26"/>
                <w:lang w:val="de-DE"/>
              </w:rPr>
              <w:t>Der entscheidende Unterschied in der Vitamin-C-Versorgung</w:t>
            </w:r>
          </w:p>
          <w:p w14:paraId="4631D2C2">
            <w:pPr>
              <w:spacing w:before="0" w:after="0"/>
            </w:pPr>
            <w:r>
              <w:rPr>
                <w:sz w:val="24"/>
                <w:szCs w:val="24"/>
              </w:rPr>
              <w:t>Oral aufgenommenes Vitamin C ist durch die begrenzte Aufnahmefähigkeit des Darms eingeschränkt</w:t>
            </w:r>
            <w:r>
              <w:rPr>
                <w:rFonts w:hint="default"/>
                <w:sz w:val="24"/>
                <w:szCs w:val="24"/>
                <w:lang w:val="de-DE"/>
              </w:rPr>
              <w:t>. L</w:t>
            </w:r>
            <w:r>
              <w:rPr>
                <w:sz w:val="24"/>
                <w:szCs w:val="24"/>
              </w:rPr>
              <w:t xml:space="preserve">ediglich </w:t>
            </w:r>
            <w:r>
              <w:rPr>
                <w:rFonts w:hint="default"/>
                <w:sz w:val="24"/>
                <w:szCs w:val="24"/>
                <w:lang w:val="de-DE"/>
              </w:rPr>
              <w:t>ca.</w:t>
            </w:r>
            <w:r>
              <w:rPr>
                <w:sz w:val="24"/>
                <w:szCs w:val="24"/>
              </w:rPr>
              <w:t xml:space="preserve"> 10–20 % erreichen tatsächlich den Blutkreislauf, während der Großteil ungenutzt aus</w:t>
            </w:r>
            <w:r>
              <w:rPr>
                <w:rFonts w:hint="default"/>
                <w:sz w:val="24"/>
                <w:szCs w:val="24"/>
                <w:lang w:val="de-DE"/>
              </w:rPr>
              <w:t xml:space="preserve">- </w:t>
            </w:r>
            <w:r>
              <w:rPr>
                <w:sz w:val="24"/>
                <w:szCs w:val="24"/>
              </w:rPr>
              <w:t>geschieden wird.</w:t>
            </w:r>
            <w:r>
              <w:rPr>
                <w:rFonts w:hint="default"/>
                <w:sz w:val="24"/>
                <w:szCs w:val="24"/>
                <w:lang w:val="de-DE"/>
              </w:rPr>
              <w:t xml:space="preserve"> </w:t>
            </w:r>
            <w:r>
              <w:rPr>
                <w:sz w:val="24"/>
                <w:szCs w:val="24"/>
              </w:rPr>
              <w:t xml:space="preserve">Eine intravenöse </w:t>
            </w:r>
            <w:r>
              <w:rPr>
                <w:rFonts w:hint="default"/>
                <w:sz w:val="24"/>
                <w:szCs w:val="24"/>
                <w:lang w:val="de-DE"/>
              </w:rPr>
              <w:t xml:space="preserve">Verabreichung </w:t>
            </w:r>
            <w:r>
              <w:rPr>
                <w:sz w:val="24"/>
                <w:szCs w:val="24"/>
              </w:rPr>
              <w:t>umgeht diese natürliche Barriere: Hochdosiertes Vitamin C gelang</w:t>
            </w:r>
            <w:r>
              <w:rPr>
                <w:b w:val="0"/>
                <w:bCs w:val="0"/>
                <w:sz w:val="24"/>
                <w:szCs w:val="24"/>
              </w:rPr>
              <w:t>t direkt in Ihre Blutbahn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und steht dem Körper nahezu vollständig zur Verfügung</w:t>
            </w:r>
            <w:r>
              <w:rPr>
                <w:rFonts w:hint="default"/>
                <w:sz w:val="24"/>
                <w:szCs w:val="24"/>
                <w:lang w:val="de-DE"/>
              </w:rPr>
              <w:t xml:space="preserve">. </w:t>
            </w:r>
            <w:r>
              <w:rPr>
                <w:rFonts w:hint="default"/>
                <w:b/>
                <w:bCs/>
                <w:sz w:val="24"/>
                <w:szCs w:val="24"/>
                <w:lang w:val="de-DE"/>
              </w:rPr>
              <w:t>E</w:t>
            </w:r>
            <w:r>
              <w:rPr>
                <w:b/>
                <w:bCs/>
                <w:sz w:val="24"/>
                <w:szCs w:val="24"/>
              </w:rPr>
              <w:t xml:space="preserve">ffizient, gezielt </w:t>
            </w:r>
            <w:r>
              <w:rPr>
                <w:b w:val="0"/>
                <w:bCs w:val="0"/>
                <w:sz w:val="24"/>
                <w:szCs w:val="24"/>
              </w:rPr>
              <w:t xml:space="preserve">und </w:t>
            </w:r>
            <w:r>
              <w:rPr>
                <w:b/>
                <w:bCs/>
                <w:sz w:val="24"/>
                <w:szCs w:val="24"/>
              </w:rPr>
              <w:t>ohne unnötige Verluste.</w:t>
            </w:r>
          </w:p>
        </w:tc>
      </w:tr>
    </w:tbl>
    <w:p w14:paraId="13DE45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0" w:after="0"/>
        <w:textAlignment w:val="auto"/>
      </w:pPr>
      <w:bookmarkStart w:id="0" w:name="_GoBack"/>
      <w:bookmarkEnd w:id="0"/>
    </w:p>
    <w:tbl>
      <w:tblPr>
        <w:tblStyle w:val="9"/>
        <w:tblW w:w="10204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51"/>
        <w:gridCol w:w="240"/>
        <w:gridCol w:w="5013"/>
      </w:tblGrid>
      <w:tr w14:paraId="16625BDC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51" w:type="dxa"/>
            <w:tcBorders>
              <w:top w:val="single" w:color="DDD8CC" w:sz="2" w:space="0"/>
              <w:left w:val="single" w:color="DDD8CC" w:sz="2" w:space="0"/>
              <w:bottom w:val="single" w:color="DDD8CC" w:sz="2" w:space="0"/>
              <w:right w:val="single" w:color="DDD8CC" w:sz="2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702118">
            <w:pPr>
              <w:pBdr>
                <w:bottom w:val="single" w:color="D8C990" w:sz="2" w:space="2"/>
              </w:pBdr>
              <w:spacing w:before="0" w:after="80"/>
            </w:pPr>
            <w:r>
              <w:rPr>
                <w:rFonts w:ascii="Georgia" w:hAnsi="Georgia" w:eastAsia="Georgia" w:cs="Georgia"/>
                <w:b/>
                <w:bCs/>
                <w:caps/>
                <w:color w:val="9A7B2F"/>
                <w:spacing w:val="60"/>
                <w:sz w:val="22"/>
                <w:szCs w:val="22"/>
              </w:rPr>
              <w:t>Ihre Vorteile</w:t>
            </w:r>
          </w:p>
          <w:p w14:paraId="196001FB">
            <w:pPr>
              <w:pStyle w:val="18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Direkte Aufnahme über die Blutbahn</w:t>
            </w:r>
          </w:p>
          <w:p w14:paraId="405AD15B">
            <w:pPr>
              <w:pStyle w:val="18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Deutlich höhere Dosierung möglich</w:t>
            </w:r>
          </w:p>
          <w:p w14:paraId="5C8E749B">
            <w:pPr>
              <w:pStyle w:val="18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Sofortige Versorgung des Körpers</w:t>
            </w:r>
          </w:p>
          <w:p w14:paraId="374A1055">
            <w:pPr>
              <w:pStyle w:val="18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Umgehung des Magen-Darm-Trakts</w:t>
            </w:r>
          </w:p>
          <w:p w14:paraId="6B8D32BF">
            <w:pPr>
              <w:pStyle w:val="18"/>
              <w:numPr>
                <w:ilvl w:val="0"/>
                <w:numId w:val="1"/>
              </w:numPr>
              <w:spacing w:before="30" w:after="30"/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Minimaler Vitaminverlust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18BBE4"/>
        </w:tc>
        <w:tc>
          <w:tcPr>
            <w:tcW w:w="5013" w:type="dxa"/>
            <w:tcBorders>
              <w:top w:val="single" w:color="DDD8CC" w:sz="2" w:space="0"/>
              <w:left w:val="single" w:color="DDD8CC" w:sz="2" w:space="0"/>
              <w:bottom w:val="single" w:color="DDD8CC" w:sz="2" w:space="0"/>
              <w:right w:val="single" w:color="DDD8CC" w:sz="2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81C5E3">
            <w:pPr>
              <w:pBdr>
                <w:bottom w:val="single" w:color="D8C990" w:sz="2" w:space="2"/>
              </w:pBdr>
              <w:spacing w:before="0" w:after="80"/>
            </w:pPr>
            <w:r>
              <w:rPr>
                <w:rFonts w:ascii="Georgia" w:hAnsi="Georgia" w:eastAsia="Georgia" w:cs="Georgia"/>
                <w:b/>
                <w:bCs/>
                <w:caps/>
                <w:color w:val="9A7B2F"/>
                <w:spacing w:val="60"/>
                <w:sz w:val="22"/>
                <w:szCs w:val="22"/>
              </w:rPr>
              <w:t>Nach Operationen</w:t>
            </w:r>
          </w:p>
          <w:p w14:paraId="4ED46D94">
            <w:pPr>
              <w:pStyle w:val="18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Beschleunigte Wundheilung</w:t>
            </w:r>
          </w:p>
          <w:p w14:paraId="516DA525">
            <w:pPr>
              <w:pStyle w:val="18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Reduktion von Entzündungen</w:t>
            </w:r>
          </w:p>
          <w:p w14:paraId="52B5DF8A">
            <w:pPr>
              <w:pStyle w:val="18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Weniger postoperative Schmerzen</w:t>
            </w:r>
          </w:p>
          <w:p w14:paraId="247784DA">
            <w:pPr>
              <w:pStyle w:val="18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Stärkung des Immunsystems</w:t>
            </w:r>
          </w:p>
          <w:p w14:paraId="4D0CB562">
            <w:pPr>
              <w:pStyle w:val="18"/>
              <w:numPr>
                <w:ilvl w:val="0"/>
                <w:numId w:val="1"/>
              </w:numPr>
              <w:spacing w:before="30" w:after="30"/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Schnellere Erholung &amp; weniger Komplikationen</w:t>
            </w:r>
          </w:p>
        </w:tc>
      </w:tr>
    </w:tbl>
    <w:p w14:paraId="31C938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0" w:after="0"/>
        <w:textAlignment w:val="auto"/>
      </w:pPr>
    </w:p>
    <w:tbl>
      <w:tblPr>
        <w:tblStyle w:val="9"/>
        <w:tblW w:w="10204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02"/>
        <w:gridCol w:w="5102"/>
      </w:tblGrid>
      <w:tr w14:paraId="7718C125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02" w:type="dxa"/>
            <w:tcBorders>
              <w:top w:val="single" w:color="DDD8CC" w:sz="2" w:space="0"/>
              <w:left w:val="single" w:color="DDD8CC" w:sz="2" w:space="0"/>
              <w:bottom w:val="single" w:color="DDD8CC" w:sz="2" w:space="0"/>
              <w:right w:val="single" w:color="DDD8CC" w:sz="2" w:space="0"/>
            </w:tcBorders>
            <w:shd w:val="clear" w:color="auto" w:fill="F9F8F5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F7A428F">
            <w:pPr>
              <w:spacing w:before="0"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aps/>
                <w:color w:val="9A7B2F"/>
                <w:spacing w:val="80"/>
                <w:sz w:val="15"/>
                <w:szCs w:val="15"/>
              </w:rPr>
              <w:t>DAUER</w:t>
            </w:r>
          </w:p>
          <w:p w14:paraId="723DFECA"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color w:val="1C1C1C"/>
                <w:sz w:val="22"/>
                <w:szCs w:val="22"/>
              </w:rPr>
              <w:t>ca. 30 Minuten pro Infusion</w:t>
            </w:r>
          </w:p>
        </w:tc>
        <w:tc>
          <w:tcPr>
            <w:tcW w:w="5102" w:type="dxa"/>
            <w:tcBorders>
              <w:top w:val="single" w:color="DDD8CC" w:sz="2" w:space="0"/>
              <w:left w:val="single" w:color="DDD8CC" w:sz="2" w:space="0"/>
              <w:bottom w:val="single" w:color="DDD8CC" w:sz="2" w:space="0"/>
              <w:right w:val="single" w:color="DDD8CC" w:sz="2" w:space="0"/>
            </w:tcBorders>
            <w:shd w:val="clear" w:color="auto" w:fill="F9F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9E6AB0">
            <w:pPr>
              <w:spacing w:before="0"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aps/>
                <w:color w:val="9A7B2F"/>
                <w:spacing w:val="80"/>
                <w:sz w:val="15"/>
                <w:szCs w:val="15"/>
              </w:rPr>
              <w:t>WIEDERHOLUNGEN</w:t>
            </w:r>
          </w:p>
          <w:p w14:paraId="1C420DCE"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color w:val="1C1C1C"/>
                <w:sz w:val="22"/>
                <w:szCs w:val="22"/>
              </w:rPr>
              <w:t>3–5 Infusionen über 4–6 Wochen</w:t>
            </w:r>
          </w:p>
        </w:tc>
      </w:tr>
    </w:tbl>
    <w:p w14:paraId="274D9A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0" w:after="0"/>
        <w:textAlignment w:val="auto"/>
      </w:pPr>
    </w:p>
    <w:p w14:paraId="79F1AB0E">
      <w:pPr>
        <w:spacing w:before="120" w:after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Vor jeder Behandlung nehmen wir uns Zeit für Sie:</w:t>
      </w:r>
      <w:r>
        <w:rPr>
          <w:rFonts w:hint="default" w:ascii="Times New Roman" w:hAnsi="Times New Roman" w:cs="Times New Roman"/>
          <w:sz w:val="24"/>
          <w:szCs w:val="24"/>
        </w:rPr>
        <w:t xml:space="preserve"> In einem ausführlichen Vorgespräch klären wir Ihre individuelle Situation, besprechen mögliche Risiken und informieren Sie transparent über die Therapie. Die Vitamin-C-Infusion ist in der Regel sehr gut verträglich</w:t>
      </w:r>
    </w:p>
    <w:p w14:paraId="4B88946C">
      <w:pPr>
        <w:spacing w:before="120" w:after="0"/>
      </w:pPr>
    </w:p>
    <w:tbl>
      <w:tblPr>
        <w:tblStyle w:val="9"/>
        <w:tblW w:w="102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924"/>
        <w:gridCol w:w="2335"/>
      </w:tblGrid>
      <w:tr w14:paraId="50382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72" w:hRule="atLeast"/>
        </w:trPr>
        <w:tc>
          <w:tcPr>
            <w:tcW w:w="7924" w:type="dxa"/>
            <w:tcBorders>
              <w:top w:val="single" w:color="D8C990" w:sz="4" w:space="0"/>
              <w:left w:val="single" w:color="D8C990" w:sz="4" w:space="0"/>
              <w:bottom w:val="single" w:color="D8C990" w:sz="4" w:space="0"/>
              <w:right w:val="single" w:color="D8C990" w:sz="4" w:space="0"/>
            </w:tcBorders>
            <w:shd w:val="clear" w:color="auto" w:fill="F7F2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443DB5E">
            <w:pPr>
              <w:spacing w:before="0" w:after="60"/>
              <w:jc w:val="center"/>
              <w:rPr>
                <w:rFonts w:ascii="Calibri" w:hAnsi="Calibri" w:eastAsia="Calibri" w:cs="Calibri"/>
                <w:color w:val="3E3E3E"/>
                <w:sz w:val="24"/>
                <w:szCs w:val="24"/>
              </w:rPr>
            </w:pPr>
          </w:p>
          <w:p w14:paraId="7CCB35B2">
            <w:pPr>
              <w:spacing w:before="0" w:after="60"/>
              <w:jc w:val="center"/>
            </w:pPr>
            <w:r>
              <w:rPr>
                <w:rFonts w:ascii="Calibri" w:hAnsi="Calibri" w:eastAsia="Calibri" w:cs="Calibri"/>
                <w:color w:val="3E3E3E"/>
                <w:sz w:val="24"/>
                <w:szCs w:val="24"/>
              </w:rPr>
              <w:t>Mehr Informationen und aktuelle Termine finden Sie auf unserer Website.</w:t>
            </w:r>
          </w:p>
          <w:p w14:paraId="6329B7DA">
            <w:pPr>
              <w:spacing w:before="0" w:after="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9A7B2F"/>
                <w:sz w:val="24"/>
                <w:szCs w:val="24"/>
              </w:rPr>
              <w:t>QR-Code scannen und direkt informieren.</w:t>
            </w:r>
          </w:p>
        </w:tc>
        <w:tc>
          <w:tcPr>
            <w:tcW w:w="2335" w:type="dxa"/>
            <w:tcBorders>
              <w:top w:val="single" w:color="D8C990" w:sz="4" w:space="0"/>
              <w:left w:val="single" w:color="D8C990" w:sz="4" w:space="0"/>
              <w:bottom w:val="single" w:color="D8C990" w:sz="4" w:space="0"/>
              <w:right w:val="single" w:color="D8C990" w:sz="4" w:space="0"/>
            </w:tcBorders>
            <w:shd w:val="clear" w:color="auto" w:fill="F7F2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1E062E3">
            <w:pPr>
              <w:spacing w:before="0" w:after="0"/>
              <w:jc w:val="center"/>
              <w:rPr>
                <w:rFonts w:ascii="Calibri" w:hAnsi="Calibri" w:eastAsia="Calibri" w:cs="Calibri"/>
                <w:b/>
                <w:bCs/>
                <w:color w:val="9A7B2F"/>
                <w:sz w:val="24"/>
                <w:szCs w:val="24"/>
              </w:rPr>
            </w:pPr>
            <w:r>
              <w:drawing>
                <wp:inline distT="0" distB="0" distL="114300" distR="114300">
                  <wp:extent cx="898525" cy="900430"/>
                  <wp:effectExtent l="0" t="0" r="9525" b="7620"/>
                  <wp:docPr id="2" name="Bild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Bild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525" cy="900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D2F427">
      <w:pPr>
        <w:spacing w:before="140" w:after="0"/>
      </w:pPr>
    </w:p>
    <w:p w14:paraId="5E15A333"/>
    <w:sectPr>
      <w:headerReference r:id="rId3" w:type="default"/>
      <w:pgSz w:w="11906" w:h="16838"/>
      <w:pgMar w:top="994" w:right="851" w:bottom="907" w:left="85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10204" w:type="dxa"/>
      <w:tblInd w:w="0" w:type="dxa"/>
      <w:tblBorders>
        <w:top w:val="none" w:color="FFFFFF" w:sz="0" w:space="0"/>
        <w:left w:val="none" w:color="FFFFFF" w:sz="0" w:space="0"/>
        <w:bottom w:val="none" w:color="FFFFFF" w:sz="0" w:space="0"/>
        <w:right w:val="none" w:color="FFFFFF" w:sz="0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" w:type="dxa"/>
        <w:bottom w:w="0" w:type="dxa"/>
        <w:right w:w="10" w:type="dxa"/>
      </w:tblCellMar>
    </w:tblPr>
    <w:tblGrid>
      <w:gridCol w:w="4297"/>
      <w:gridCol w:w="5907"/>
    </w:tblGrid>
    <w:tr w14:paraId="16CAC369">
      <w:tblPrEx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CellMar>
          <w:top w:w="0" w:type="dxa"/>
          <w:left w:w="10" w:type="dxa"/>
          <w:bottom w:w="0" w:type="dxa"/>
          <w:right w:w="10" w:type="dxa"/>
        </w:tblCellMar>
      </w:tblPrEx>
      <w:trPr>
        <w:trHeight w:val="1225" w:hRule="atLeast"/>
      </w:trPr>
      <w:tc>
        <w:tcPr>
          <w:tcW w:w="38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200" w:type="dxa"/>
          </w:tcMar>
          <w:vAlign w:val="center"/>
        </w:tcPr>
        <w:p w14:paraId="6E5D2AC2">
          <w:pPr>
            <w:spacing w:before="0" w:after="0"/>
          </w:pPr>
          <w:r>
            <w:drawing>
              <wp:inline distT="0" distB="0" distL="0" distR="0">
                <wp:extent cx="2601595" cy="695325"/>
                <wp:effectExtent l="0" t="0" r="0" b="3175"/>
                <wp:docPr id="1" name="Bild 1" descr="C:/Users/oliver/Desktop/Neuer Ordner/die ORDI/Logo/Neues_Logo_003_transparent.pngNeues_Logo_003_transpar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 1" descr="C:/Users/oliver/Desktop/Neuer Ordner/die ORDI/Logo/Neues_Logo_003_transparent.pngNeues_Logo_003_transparen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t="5528" b="552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1595" cy="695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0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D8FC49F">
          <w:pPr>
            <w:wordWrap w:val="0"/>
            <w:spacing w:before="0" w:after="30"/>
            <w:jc w:val="right"/>
            <w:rPr>
              <w:rFonts w:hint="default"/>
              <w:lang w:val="de-DE"/>
            </w:rPr>
          </w:pPr>
          <w:r>
            <w:rPr>
              <w:rFonts w:ascii="Calibri" w:hAnsi="Calibri" w:eastAsia="Calibri" w:cs="Calibri"/>
              <w:b/>
              <w:bCs/>
              <w:color w:val="1C1C1C"/>
              <w:sz w:val="17"/>
              <w:szCs w:val="17"/>
            </w:rPr>
            <w:t>OA Dr. med. univ. Shady El Marto WDM</w:t>
          </w:r>
          <w:r>
            <w:rPr>
              <w:rFonts w:hint="default" w:ascii="Calibri" w:hAnsi="Calibri" w:eastAsia="Calibri" w:cs="Calibri"/>
              <w:b/>
              <w:bCs/>
              <w:color w:val="1C1C1C"/>
              <w:sz w:val="17"/>
              <w:szCs w:val="17"/>
              <w:lang w:val="de-DE"/>
            </w:rPr>
            <w:t xml:space="preserve"> </w:t>
          </w:r>
        </w:p>
        <w:p w14:paraId="0F254B4D">
          <w:pPr>
            <w:wordWrap w:val="0"/>
            <w:spacing w:before="0" w:after="0"/>
            <w:jc w:val="right"/>
            <w:rPr>
              <w:rFonts w:hint="default"/>
              <w:lang w:val="de-DE"/>
            </w:rPr>
          </w:pPr>
          <w:r>
            <w:rPr>
              <w:rFonts w:ascii="Calibri" w:hAnsi="Calibri" w:eastAsia="Calibri" w:cs="Calibri"/>
              <w:color w:val="666666"/>
              <w:sz w:val="15"/>
              <w:szCs w:val="15"/>
            </w:rPr>
            <w:t>Facharzt für Orthopädie und Traumatologie  |  Facharzt für Unfallchirurgie</w:t>
          </w:r>
          <w:r>
            <w:rPr>
              <w:rFonts w:hint="default" w:ascii="Calibri" w:hAnsi="Calibri" w:eastAsia="Calibri" w:cs="Calibri"/>
              <w:color w:val="666666"/>
              <w:sz w:val="15"/>
              <w:szCs w:val="15"/>
              <w:lang w:val="de-DE"/>
            </w:rPr>
            <w:t xml:space="preserve"> </w:t>
          </w:r>
        </w:p>
        <w:p w14:paraId="38E00E37">
          <w:pPr>
            <w:spacing w:before="0" w:after="0"/>
            <w:jc w:val="center"/>
            <w:rPr>
              <w:rFonts w:hint="default"/>
              <w:lang w:val="de-DE"/>
            </w:rPr>
          </w:pPr>
          <w:r>
            <w:rPr>
              <w:rFonts w:hint="default" w:ascii="Calibri" w:hAnsi="Calibri" w:eastAsia="Calibri" w:cs="Calibri"/>
              <w:color w:val="666666"/>
              <w:sz w:val="15"/>
              <w:szCs w:val="15"/>
              <w:lang w:val="de-DE"/>
            </w:rPr>
            <w:t xml:space="preserve">                                                                     </w:t>
          </w:r>
          <w:r>
            <w:rPr>
              <w:rFonts w:ascii="Calibri" w:hAnsi="Calibri" w:eastAsia="Calibri" w:cs="Calibri"/>
              <w:color w:val="666666"/>
              <w:sz w:val="15"/>
              <w:szCs w:val="15"/>
            </w:rPr>
            <w:t>Am Hof 11 Top 9  |  1010 Wien  |  Tel.:</w:t>
          </w:r>
          <w:r>
            <w:rPr>
              <w:rFonts w:ascii="Calibri" w:hAnsi="Calibri" w:eastAsia="Calibri" w:cs="Calibri"/>
              <w:b/>
              <w:bCs/>
              <w:color w:val="666666"/>
              <w:sz w:val="15"/>
              <w:szCs w:val="15"/>
            </w:rPr>
            <w:t xml:space="preserve"> +43 664 328 44 65</w:t>
          </w:r>
          <w:r>
            <w:rPr>
              <w:rFonts w:hint="default" w:ascii="Calibri" w:hAnsi="Calibri" w:eastAsia="Calibri" w:cs="Calibri"/>
              <w:color w:val="666666"/>
              <w:sz w:val="15"/>
              <w:szCs w:val="15"/>
              <w:lang w:val="de-DE"/>
            </w:rPr>
            <w:t xml:space="preserve">     </w:t>
          </w:r>
        </w:p>
        <w:p w14:paraId="3D2A998F">
          <w:pPr>
            <w:wordWrap w:val="0"/>
            <w:spacing w:before="0" w:after="0"/>
            <w:jc w:val="right"/>
            <w:rPr>
              <w:rFonts w:hint="default"/>
              <w:lang w:val="de-DE"/>
            </w:rPr>
          </w:pPr>
          <w:r>
            <w:rPr>
              <w:rFonts w:ascii="Calibri" w:hAnsi="Calibri" w:eastAsia="Calibri" w:cs="Calibri"/>
              <w:color w:val="9A7B2F"/>
              <w:sz w:val="15"/>
              <w:szCs w:val="15"/>
            </w:rPr>
            <w:t>ordination@dr-elmarto.at  |  www.dr-elmarto.at</w:t>
          </w:r>
          <w:r>
            <w:rPr>
              <w:rFonts w:hint="default" w:ascii="Calibri" w:hAnsi="Calibri" w:eastAsia="Calibri" w:cs="Calibri"/>
              <w:color w:val="9A7B2F"/>
              <w:sz w:val="15"/>
              <w:szCs w:val="15"/>
              <w:lang w:val="de-DE"/>
            </w:rPr>
            <w:t xml:space="preserve"> </w:t>
          </w:r>
        </w:p>
      </w:tc>
    </w:tr>
  </w:tbl>
  <w:p w14:paraId="4C47FA82">
    <w:pPr>
      <w:pBdr>
        <w:bottom w:val="single" w:color="B8952A" w:sz="12" w:space="1"/>
      </w:pBdr>
      <w:spacing w:before="6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›"/>
      <w:lvlJc w:val="left"/>
      <w:pPr>
        <w:ind w:left="420" w:hanging="280"/>
      </w:pPr>
      <w:rPr>
        <w:rFonts w:ascii="Arial" w:hAnsi="Arial" w:eastAsia="Arial" w:cs="Arial"/>
        <w:color w:val="B8952A"/>
        <w:sz w:val="26"/>
        <w:szCs w:val="26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74C2609"/>
    <w:rsid w:val="5EC2745F"/>
    <w:rsid w:val="7B582B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Strong"/>
    <w:qFormat/>
    <w:uiPriority w:val="0"/>
    <w:rPr>
      <w:b/>
      <w:bCs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paragraph" w:styleId="14">
    <w:name w:val="endnote text"/>
    <w:link w:val="2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5">
    <w:name w:val="footnote text"/>
    <w:link w:val="1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6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17">
    <w:name w:val="Title"/>
    <w:qFormat/>
    <w:uiPriority w:val="0"/>
    <w:rPr>
      <w:sz w:val="56"/>
      <w:szCs w:val="56"/>
    </w:rPr>
  </w:style>
  <w:style w:type="paragraph" w:styleId="18">
    <w:name w:val="List Paragraph"/>
    <w:qFormat/>
    <w:uiPriority w:val="0"/>
    <w:rPr>
      <w:sz w:val="21"/>
      <w:szCs w:val="22"/>
    </w:rPr>
  </w:style>
  <w:style w:type="character" w:customStyle="1" w:styleId="19">
    <w:name w:val="Footnote Text Char"/>
    <w:link w:val="15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241</Words>
  <Characters>1520</Characters>
  <TotalTime>61</TotalTime>
  <ScaleCrop>false</ScaleCrop>
  <LinksUpToDate>false</LinksUpToDate>
  <CharactersWithSpaces>1735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2026-04-20T22:06:00Z</dcterms:created>
  <dc:creator>Un-named</dc:creator>
  <cp:lastModifiedBy>OS Premium Account</cp:lastModifiedBy>
  <dcterms:modified xsi:type="dcterms:W3CDTF">2026-04-20T23:13:46Z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eyJoZGlkIjoiZTdmYzMyMDcyOWY0ZjJjZjIzYTU2ZDQ4OWJjNzcxY2IiLCJ1c2VySWQiOiI3Njk2NTgyNDI4NTM5In0=</vt:lpwstr>
  </property>
  <property fmtid="{D5CDD505-2E9C-101B-9397-08002B2CF9AE}" pid="3" name="KSOProductBuildVer">
    <vt:lpwstr>1031-12.1.0.25242</vt:lpwstr>
  </property>
  <property fmtid="{D5CDD505-2E9C-101B-9397-08002B2CF9AE}" pid="4" name="ICV">
    <vt:lpwstr>4268363E0C2E4FD9934205B1448EFEB6_13</vt:lpwstr>
  </property>
</Properties>
</file>