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2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  <w:rPr>
          <w:rFonts w:ascii="Georgia" w:hAnsi="Georgia" w:eastAsia="Georgia" w:cs="Georgia"/>
          <w:color w:val="101010"/>
          <w:sz w:val="20"/>
          <w:szCs w:val="20"/>
        </w:rPr>
      </w:pPr>
    </w:p>
    <w:p w14:paraId="49EE7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/>
        <w:jc w:val="center"/>
        <w:textAlignment w:val="auto"/>
      </w:pPr>
      <w:r>
        <w:rPr>
          <w:rFonts w:ascii="Georgia" w:hAnsi="Georgia" w:eastAsia="Georgia" w:cs="Georgia"/>
          <w:color w:val="101010"/>
          <w:sz w:val="44"/>
          <w:szCs w:val="44"/>
        </w:rPr>
        <w:t>Vitamin C</w:t>
      </w:r>
      <w:r>
        <w:rPr>
          <w:rFonts w:hint="default" w:ascii="Georgia" w:hAnsi="Georgia" w:eastAsia="Georgia" w:cs="Georgia"/>
          <w:color w:val="101010"/>
          <w:sz w:val="44"/>
          <w:szCs w:val="44"/>
          <w:lang w:val="de-DE"/>
        </w:rPr>
        <w:t xml:space="preserve"> - </w:t>
      </w:r>
      <w:r>
        <w:rPr>
          <w:rFonts w:ascii="Georgia" w:hAnsi="Georgia" w:eastAsia="Georgia" w:cs="Georgia"/>
          <w:color w:val="B8952A"/>
          <w:sz w:val="44"/>
          <w:szCs w:val="44"/>
        </w:rPr>
        <w:t>Infusionstherapie</w:t>
      </w:r>
    </w:p>
    <w:p w14:paraId="0F426775">
      <w:pPr>
        <w:pBdr>
          <w:bottom w:val="single" w:color="DDD8CC" w:sz="8" w:space="1"/>
        </w:pBdr>
        <w:spacing w:before="0" w:after="60"/>
        <w:jc w:val="center"/>
        <w:rPr>
          <w:color w:val="auto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60"/>
          <w:sz w:val="24"/>
          <w:szCs w:val="24"/>
        </w:rPr>
        <w:t>Schneller fit  ·  Schneller zurück im Leben</w:t>
      </w:r>
    </w:p>
    <w:p w14:paraId="1F10B7D8">
      <w:pPr>
        <w:pBdr>
          <w:bottom w:val="single" w:color="DDD8CC" w:sz="8" w:space="1"/>
        </w:pBdr>
        <w:spacing w:before="0" w:after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-12065</wp:posOffset>
                </wp:positionH>
                <wp:positionV relativeFrom="paragraph">
                  <wp:posOffset>168275</wp:posOffset>
                </wp:positionV>
                <wp:extent cx="6502400" cy="6985"/>
                <wp:effectExtent l="0" t="7620" r="7620" b="13335"/>
                <wp:wrapNone/>
                <wp:docPr id="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51815" y="2355850"/>
                          <a:ext cx="6502400" cy="698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CC88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95pt;margin-top:13.25pt;height:0.55pt;width:512pt;z-index:251659264;mso-width-relative:page;mso-height-relative:page;" filled="f" stroked="t" coordsize="21600,21600" o:gfxdata="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5VzWjYAAAACQEAAA8AAAAAAAAA&#10;AQAgAAAAIgAAAGRycy9kb3ducmV2LnhtbFBLAQIUABQAAAAIAIdO4kA8YYZs2AEAAKsDAAAOAAAA&#10;AAAAAAEAIAAAACcBAABkcnMvZTJvRG9jLnhtbFBLBQYAAAAABgAGAFkBAABxBQAAAAA=&#10;">
                <v:fill on="f" focussize="0,0"/>
                <v:stroke weight="1.25pt" color="#DCC88B [3204]" joinstyle="round"/>
                <v:imagedata o:title=""/>
                <o:lock v:ext="edit" aspectratio="f"/>
              </v:line>
            </w:pict>
          </mc:Fallback>
        </mc:AlternateContent>
      </w:r>
    </w:p>
    <w:p w14:paraId="444F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</w:p>
    <w:p w14:paraId="05D78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 xml:space="preserve">Sehr geehrte Patientin, </w:t>
      </w:r>
    </w:p>
    <w:p w14:paraId="7C75A5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  <w:lang w:val="de-DE"/>
        </w:rPr>
        <w:t>S</w:t>
      </w:r>
      <w:r>
        <w:rPr>
          <w:rFonts w:hint="default" w:ascii="Times New Roman" w:hAnsi="Times New Roman" w:eastAsia="Calibri" w:cs="Times New Roman"/>
          <w:b/>
          <w:bCs/>
          <w:color w:val="1C1C1C"/>
          <w:sz w:val="24"/>
          <w:szCs w:val="24"/>
        </w:rPr>
        <w:t>ehr geehrter Patient,</w:t>
      </w:r>
    </w:p>
    <w:p w14:paraId="6D509F7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afterAutospacing="0"/>
        <w:jc w:val="both"/>
        <w:textAlignment w:val="auto"/>
      </w:pPr>
      <w:r>
        <w:rPr>
          <w:rFonts w:hint="default"/>
          <w:lang w:val="de-DE"/>
        </w:rPr>
        <w:t>w</w:t>
      </w:r>
      <w:r>
        <w:t xml:space="preserve">ir erweitern unser Therapieangebot um die </w:t>
      </w:r>
      <w:r>
        <w:rPr>
          <w:b/>
          <w:bCs/>
        </w:rPr>
        <w:t>Vitamin</w:t>
      </w:r>
      <w:r>
        <w:rPr>
          <w:rFonts w:hint="default"/>
          <w:b/>
          <w:bCs/>
          <w:lang w:val="de-DE"/>
        </w:rPr>
        <w:t xml:space="preserve"> </w:t>
      </w:r>
      <w:r>
        <w:rPr>
          <w:b/>
          <w:bCs/>
        </w:rPr>
        <w:t>C-Infusionstherapie</w:t>
      </w:r>
      <w:r>
        <w:rPr>
          <w:rFonts w:hint="default"/>
          <w:lang w:val="de-DE"/>
        </w:rPr>
        <w:t xml:space="preserve">, </w:t>
      </w:r>
      <w:r>
        <w:t>eine gezielte Möglichkeit, den Körper genau dann zu unterstützen, wenn er besonders gefordert ist.</w:t>
      </w:r>
    </w:p>
    <w:p w14:paraId="46FB52E4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jc w:val="both"/>
        <w:textAlignment w:val="auto"/>
      </w:pPr>
      <w:r>
        <w:t xml:space="preserve">Nach einer Operation läuft die Regeneration auf Hochtouren: Gewebe muss sich erneuern, Wunden schließen, das Immunsystem stabil bleiben. Vitamin C ist dabei ein </w:t>
      </w:r>
      <w:r>
        <w:rPr>
          <w:b/>
          <w:bCs/>
        </w:rPr>
        <w:t>zentraler Baustein</w:t>
      </w:r>
      <w:r>
        <w:rPr>
          <w:rFonts w:hint="default"/>
          <w:lang w:val="de-DE"/>
        </w:rPr>
        <w:t>. E</w:t>
      </w:r>
      <w:r>
        <w:t>s unterstützt die Kollagenbildung für stabiles Gewebe, trägt zum Schutz der Zellen vor oxidativem Stress bei und begleitet den natürlichen Heilungsprozess.</w:t>
      </w:r>
      <w:r>
        <w:rPr>
          <w:rFonts w:hint="default"/>
          <w:lang w:val="de-DE"/>
        </w:rPr>
        <w:t xml:space="preserve"> </w:t>
      </w:r>
      <w:r>
        <w:rPr>
          <w:b/>
          <w:bCs/>
        </w:rPr>
        <w:t>Auch vorbeugend</w:t>
      </w:r>
      <w:r>
        <w:t>, etwa bei erhöhter körperlicher Belastung</w:t>
      </w:r>
      <w:r>
        <w:rPr>
          <w:rFonts w:hint="default"/>
          <w:lang w:val="de-DE"/>
        </w:rPr>
        <w:t xml:space="preserve"> oder vor geplanten intensiven Belastungsphasen,</w:t>
      </w:r>
      <w:bookmarkStart w:id="0" w:name="_GoBack"/>
      <w:bookmarkEnd w:id="0"/>
      <w:r>
        <w:rPr>
          <w:rFonts w:hint="default"/>
          <w:lang w:val="de-DE"/>
        </w:rPr>
        <w:t xml:space="preserve"> ist </w:t>
      </w:r>
      <w:r>
        <w:t>eine optimale Versorgung sinnvoll.</w:t>
      </w:r>
    </w:p>
    <w:p w14:paraId="3A3CA9A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</w:p>
    <w:tbl>
      <w:tblPr>
        <w:tblStyle w:val="9"/>
        <w:tblW w:w="10151" w:type="dxa"/>
        <w:tblInd w:w="1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1"/>
      </w:tblGrid>
      <w:tr w14:paraId="1E97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51" w:type="dxa"/>
            <w:tcBorders>
              <w:top w:val="single" w:color="D8C990" w:sz="4" w:space="0"/>
              <w:left w:val="single" w:color="B8952A" w:sz="18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B0058">
            <w:pPr>
              <w:spacing w:before="0" w:after="60"/>
              <w:rPr>
                <w:rFonts w:hint="default" w:ascii="Times New Roman" w:hAnsi="Times New Roman" w:cs="Times New Roman"/>
                <w:sz w:val="26"/>
                <w:szCs w:val="26"/>
                <w:lang w:val="de-DE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Der entscheidende Unterschied in der Vitamin</w:t>
            </w:r>
            <w:r>
              <w:rPr>
                <w:rFonts w:hint="default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b/>
                <w:bCs/>
                <w:color w:val="1C1C1C"/>
                <w:sz w:val="26"/>
                <w:szCs w:val="26"/>
                <w:lang w:val="de-DE"/>
              </w:rPr>
              <w:t>C-Versorgung</w:t>
            </w:r>
          </w:p>
          <w:p w14:paraId="018A2B17">
            <w:pPr>
              <w:spacing w:before="0" w:after="0"/>
              <w:jc w:val="both"/>
            </w:pPr>
            <w:r>
              <w:rPr>
                <w:sz w:val="24"/>
                <w:szCs w:val="24"/>
              </w:rPr>
              <w:t>Oral aufgenommenes Vitamin C ist durch die begrenzte Aufnahmefähigkeit des Darms eingeschränkt</w:t>
            </w:r>
            <w:r>
              <w:rPr>
                <w:rFonts w:hint="default"/>
                <w:sz w:val="24"/>
                <w:szCs w:val="24"/>
                <w:lang w:val="de-DE"/>
              </w:rPr>
              <w:t>. Nur ein geringer Anteil wird tatsächlich in den Blutkreislauf aufgenommen</w:t>
            </w:r>
            <w:r>
              <w:rPr>
                <w:sz w:val="24"/>
                <w:szCs w:val="24"/>
              </w:rPr>
              <w:t>.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 </w:t>
            </w:r>
            <w:r>
              <w:rPr>
                <w:sz w:val="24"/>
                <w:szCs w:val="24"/>
              </w:rPr>
              <w:t xml:space="preserve">Eine intravenöse 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Verabreichung </w:t>
            </w:r>
            <w:r>
              <w:rPr>
                <w:sz w:val="24"/>
                <w:szCs w:val="24"/>
              </w:rPr>
              <w:t>umgeht diese natürliche Barriere: Hochdosiertes Vitamin C gelang</w:t>
            </w:r>
            <w:r>
              <w:rPr>
                <w:b w:val="0"/>
                <w:bCs w:val="0"/>
                <w:sz w:val="24"/>
                <w:szCs w:val="24"/>
              </w:rPr>
              <w:t>t direkt in Ihre Blutbahn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und steht dem Körper nahezu vollständig zur Verfügung</w:t>
            </w:r>
            <w:r>
              <w:rPr>
                <w:rFonts w:hint="default"/>
                <w:sz w:val="24"/>
                <w:szCs w:val="24"/>
                <w:lang w:val="de-DE"/>
              </w:rPr>
              <w:t xml:space="preserve">. </w:t>
            </w:r>
            <w:r>
              <w:rPr>
                <w:rFonts w:hint="default"/>
                <w:b/>
                <w:bCs/>
                <w:sz w:val="24"/>
                <w:szCs w:val="24"/>
                <w:lang w:val="de-DE"/>
              </w:rPr>
              <w:t>E</w:t>
            </w:r>
            <w:r>
              <w:rPr>
                <w:b/>
                <w:bCs/>
                <w:sz w:val="24"/>
                <w:szCs w:val="24"/>
              </w:rPr>
              <w:t xml:space="preserve">ffizient, gezielt </w:t>
            </w:r>
            <w:r>
              <w:rPr>
                <w:b w:val="0"/>
                <w:bCs w:val="0"/>
                <w:sz w:val="24"/>
                <w:szCs w:val="24"/>
              </w:rPr>
              <w:t xml:space="preserve">und </w:t>
            </w:r>
            <w:r>
              <w:rPr>
                <w:b/>
                <w:bCs/>
                <w:sz w:val="24"/>
                <w:szCs w:val="24"/>
              </w:rPr>
              <w:t>ohne unnötige Verluste.</w:t>
            </w:r>
          </w:p>
        </w:tc>
      </w:tr>
    </w:tbl>
    <w:p w14:paraId="40BE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67" w:type="dxa"/>
        <w:tblInd w:w="131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1"/>
        <w:gridCol w:w="240"/>
        <w:gridCol w:w="5016"/>
      </w:tblGrid>
      <w:tr w14:paraId="7CF4573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11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FE907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Ihre Vorteile</w:t>
            </w:r>
          </w:p>
          <w:p w14:paraId="728CA08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Direkte Aufnahme über die Blutbahn</w:t>
            </w:r>
          </w:p>
          <w:p w14:paraId="45A4429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Deutlich höhere Dosierung möglich</w:t>
            </w:r>
          </w:p>
          <w:p w14:paraId="0C18B95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Sofortige Versorgung des Körpers</w:t>
            </w:r>
          </w:p>
          <w:p w14:paraId="00C88811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Umgehung des Magen-Darm-Trakts</w:t>
            </w:r>
          </w:p>
          <w:p w14:paraId="0694B41E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/>
                <w:sz w:val="24"/>
                <w:szCs w:val="24"/>
                <w:lang w:val="de-DE"/>
              </w:rPr>
              <w:t>Starke antioxidative Wirkung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FA411"/>
        </w:tc>
        <w:tc>
          <w:tcPr>
            <w:tcW w:w="5016" w:type="dxa"/>
            <w:tcBorders>
              <w:top w:val="single" w:color="DDD8CC" w:sz="8" w:space="0"/>
              <w:left w:val="single" w:color="DDD8CC" w:sz="8" w:space="0"/>
              <w:bottom w:val="single" w:color="DDD8CC" w:sz="8" w:space="0"/>
              <w:right w:val="single" w:color="DDD8CC" w:sz="8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08FD3">
            <w:pPr>
              <w:pBdr>
                <w:bottom w:val="single" w:color="D8C990" w:sz="2" w:space="2"/>
              </w:pBdr>
              <w:spacing w:before="0" w:after="80"/>
            </w:pPr>
            <w:r>
              <w:rPr>
                <w:rFonts w:ascii="Georgia" w:hAnsi="Georgia" w:eastAsia="Georgia" w:cs="Georgia"/>
                <w:b/>
                <w:bCs/>
                <w:caps/>
                <w:color w:val="9A7B2F"/>
                <w:spacing w:val="60"/>
                <w:sz w:val="22"/>
                <w:szCs w:val="22"/>
              </w:rPr>
              <w:t>Nach Operationen</w:t>
            </w:r>
          </w:p>
          <w:p w14:paraId="47BBAFD6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Weniger postoperative Schmerzen</w:t>
            </w:r>
          </w:p>
          <w:p w14:paraId="44CC5C74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Beschleunigte Wundheilung</w:t>
            </w:r>
          </w:p>
          <w:p w14:paraId="0E1338F8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Reduktion von Entzündungen</w:t>
            </w:r>
          </w:p>
          <w:p w14:paraId="361392FB">
            <w:pPr>
              <w:pStyle w:val="19"/>
              <w:numPr>
                <w:ilvl w:val="0"/>
                <w:numId w:val="1"/>
              </w:numPr>
              <w:spacing w:before="30" w:after="3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Stärkung des Immunsystems</w:t>
            </w:r>
          </w:p>
          <w:p w14:paraId="606A4512">
            <w:pPr>
              <w:pStyle w:val="19"/>
              <w:numPr>
                <w:ilvl w:val="0"/>
                <w:numId w:val="1"/>
              </w:numPr>
              <w:spacing w:before="30" w:after="30"/>
            </w:pPr>
            <w:r>
              <w:rPr>
                <w:rFonts w:hint="default" w:ascii="Times New Roman" w:hAnsi="Times New Roman" w:eastAsia="Calibri" w:cs="Times New Roman"/>
                <w:color w:val="1C1C1C"/>
                <w:sz w:val="24"/>
                <w:szCs w:val="24"/>
              </w:rPr>
              <w:t>Schnellere Erholung &amp; weniger Komplikationen</w:t>
            </w:r>
          </w:p>
        </w:tc>
      </w:tr>
    </w:tbl>
    <w:p w14:paraId="77D0A2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0"/>
        <w:textAlignment w:val="auto"/>
      </w:pPr>
    </w:p>
    <w:tbl>
      <w:tblPr>
        <w:tblStyle w:val="9"/>
        <w:tblW w:w="10175" w:type="dxa"/>
        <w:tblInd w:w="143" w:type="dxa"/>
        <w:tblBorders>
          <w:top w:val="single" w:color="DDD8CC" w:sz="12" w:space="0"/>
          <w:left w:val="single" w:color="DDD8CC" w:sz="12" w:space="0"/>
          <w:bottom w:val="single" w:color="DDD8CC" w:sz="12" w:space="0"/>
          <w:right w:val="single" w:color="DDD8CC" w:sz="12" w:space="0"/>
          <w:insideH w:val="single" w:color="DDD8CC" w:sz="12" w:space="0"/>
          <w:insideV w:val="single" w:color="DDD8CC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38"/>
        <w:gridCol w:w="5137"/>
      </w:tblGrid>
      <w:tr w14:paraId="6D72ED0E">
        <w:tblPrEx>
          <w:tblBorders>
            <w:top w:val="single" w:color="DDD8CC" w:sz="12" w:space="0"/>
            <w:left w:val="single" w:color="DDD8CC" w:sz="12" w:space="0"/>
            <w:bottom w:val="single" w:color="DDD8CC" w:sz="12" w:space="0"/>
            <w:right w:val="single" w:color="DDD8CC" w:sz="12" w:space="0"/>
            <w:insideH w:val="single" w:color="DDD8CC" w:sz="12" w:space="0"/>
            <w:insideV w:val="single" w:color="DDD8CC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38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B562D90">
            <w:pPr>
              <w:spacing w:before="0" w:after="40"/>
              <w:jc w:val="center"/>
              <w:rPr>
                <w:rFonts w:hint="default" w:ascii="Georgia" w:hAnsi="Georgia" w:cs="Georgia"/>
              </w:rPr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DAUER</w:t>
            </w:r>
          </w:p>
          <w:p w14:paraId="292799A0"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ca. 30 Minuten pro Infusion</w:t>
            </w:r>
          </w:p>
        </w:tc>
        <w:tc>
          <w:tcPr>
            <w:tcW w:w="5137" w:type="dxa"/>
            <w:tcBorders>
              <w:tl2br w:val="nil"/>
              <w:tr2bl w:val="nil"/>
            </w:tcBorders>
            <w:shd w:val="clear" w:color="auto" w:fill="E5E1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34C0C">
            <w:pPr>
              <w:spacing w:before="0" w:after="40"/>
              <w:jc w:val="center"/>
            </w:pPr>
            <w:r>
              <w:rPr>
                <w:rFonts w:hint="default" w:ascii="Georgia" w:hAnsi="Georgia" w:eastAsia="Calibri" w:cs="Georgia"/>
                <w:b/>
                <w:bCs/>
                <w:caps/>
                <w:color w:val="9A7B2F"/>
                <w:spacing w:val="80"/>
                <w:sz w:val="18"/>
                <w:szCs w:val="18"/>
              </w:rPr>
              <w:t>WIEDERHOLUNGEN</w:t>
            </w:r>
          </w:p>
          <w:p w14:paraId="1CBACFF0">
            <w:pPr>
              <w:spacing w:before="0" w:after="0"/>
              <w:jc w:val="center"/>
            </w:pP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4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>–</w:t>
            </w:r>
            <w:r>
              <w:rPr>
                <w:rFonts w:hint="default" w:ascii="Georgia" w:hAnsi="Georgia" w:eastAsia="Georgia" w:cs="Georgia"/>
                <w:color w:val="1C1C1C"/>
                <w:sz w:val="22"/>
                <w:szCs w:val="22"/>
                <w:lang w:val="de-DE"/>
              </w:rPr>
              <w:t>5</w:t>
            </w:r>
            <w:r>
              <w:rPr>
                <w:rFonts w:ascii="Georgia" w:hAnsi="Georgia" w:eastAsia="Georgia" w:cs="Georgia"/>
                <w:color w:val="1C1C1C"/>
                <w:sz w:val="22"/>
                <w:szCs w:val="22"/>
              </w:rPr>
              <w:t xml:space="preserve"> Infusionen über 4–6 Wochen</w:t>
            </w:r>
          </w:p>
        </w:tc>
      </w:tr>
    </w:tbl>
    <w:p w14:paraId="1F133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0B62B9">
      <w:pPr>
        <w:spacing w:before="120"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Vor jeder Behandlung nehmen wir uns Zeit für Sie:</w:t>
      </w:r>
      <w:r>
        <w:rPr>
          <w:rFonts w:hint="default" w:ascii="Times New Roman" w:hAnsi="Times New Roman" w:cs="Times New Roman"/>
          <w:sz w:val="24"/>
          <w:szCs w:val="24"/>
        </w:rPr>
        <w:t xml:space="preserve"> In einem ausführlichen Vorgespräch klären wir Ihre individuelle Situation und informieren Sie transparent über die Therapie. </w:t>
      </w:r>
    </w:p>
    <w:p w14:paraId="780CF6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5749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10175" w:type="dxa"/>
        <w:tblInd w:w="191" w:type="dxa"/>
        <w:tblBorders>
          <w:top w:val="single" w:color="D8C990" w:sz="4" w:space="0"/>
          <w:left w:val="single" w:color="D8C990" w:sz="4" w:space="0"/>
          <w:bottom w:val="single" w:color="D8C990" w:sz="4" w:space="0"/>
          <w:right w:val="single" w:color="D8C99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75"/>
      </w:tblGrid>
      <w:tr w14:paraId="609BEF6D">
        <w:tblPrEx>
          <w:tblBorders>
            <w:top w:val="single" w:color="D8C990" w:sz="4" w:space="0"/>
            <w:left w:val="single" w:color="D8C990" w:sz="4" w:space="0"/>
            <w:bottom w:val="single" w:color="D8C990" w:sz="4" w:space="0"/>
            <w:right w:val="single" w:color="D8C99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175" w:type="dxa"/>
            <w:tcBorders>
              <w:top w:val="single" w:color="D8C990" w:sz="4" w:space="0"/>
              <w:left w:val="single" w:color="D8C990" w:sz="4" w:space="0"/>
              <w:bottom w:val="single" w:color="D8C990" w:sz="4" w:space="0"/>
              <w:right w:val="single" w:color="D8C990" w:sz="4" w:space="0"/>
            </w:tcBorders>
            <w:shd w:val="clear" w:color="auto" w:fill="F7F2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B8639B">
            <w:pPr>
              <w:spacing w:before="0" w:after="60"/>
              <w:jc w:val="center"/>
            </w:pPr>
            <w:r>
              <w:rPr>
                <w:rFonts w:hint="default" w:ascii="Georgia" w:hAnsi="Georgia" w:cs="Georgia"/>
                <w:b/>
                <w:bCs/>
                <w:color w:val="9A7B2F"/>
                <w:sz w:val="26"/>
                <w:szCs w:val="26"/>
                <w:lang w:val="de-DE"/>
              </w:rPr>
              <w:t>Unser gesamtes Team steht Ihnen bei Fragen und Terminwünschen jederzeit zur Verfügung.</w:t>
            </w:r>
          </w:p>
        </w:tc>
      </w:tr>
    </w:tbl>
    <w:p w14:paraId="1CEE0523"/>
    <w:sectPr>
      <w:headerReference r:id="rId3" w:type="default"/>
      <w:pgSz w:w="11906" w:h="16838"/>
      <w:pgMar w:top="574" w:right="851" w:bottom="724" w:left="85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204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3984"/>
      <w:gridCol w:w="6220"/>
    </w:tblGrid>
    <w:tr w14:paraId="16CAC369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val="1225" w:hRule="atLeast"/>
      </w:trPr>
      <w:tc>
        <w:tcPr>
          <w:tcW w:w="38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200" w:type="dxa"/>
          </w:tcMar>
          <w:vAlign w:val="center"/>
        </w:tcPr>
        <w:p w14:paraId="6E5D2AC2">
          <w:pPr>
            <w:spacing w:before="0" w:after="0"/>
          </w:pPr>
          <w:r>
            <w:rPr>
              <w:rFonts w:hint="default"/>
              <w:lang w:val="de-DE"/>
            </w:rPr>
            <w:drawing>
              <wp:inline distT="0" distB="0" distL="114300" distR="114300">
                <wp:extent cx="2401570" cy="738505"/>
                <wp:effectExtent l="0" t="0" r="1270" b="1905"/>
                <wp:docPr id="6" name="Bild 6" descr="Neues_Logo_004_transparent_FINAL_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 6" descr="Neues_Logo_004_transparent_FINAL_JPE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1570" cy="738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D720D2">
          <w:pPr>
            <w:wordWrap w:val="0"/>
            <w:spacing w:before="0" w:after="3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b/>
              <w:bCs/>
              <w:color w:val="1C1C1C"/>
              <w:sz w:val="18"/>
              <w:szCs w:val="18"/>
            </w:rPr>
            <w:t>OA Dr. med. univ. Shady El Marto WDM</w:t>
          </w:r>
          <w:r>
            <w:rPr>
              <w:rFonts w:hint="default" w:ascii="Calibri" w:hAnsi="Calibri" w:eastAsia="Calibri" w:cs="Calibri"/>
              <w:b/>
              <w:bCs/>
              <w:color w:val="1C1C1C"/>
              <w:sz w:val="18"/>
              <w:szCs w:val="18"/>
              <w:lang w:val="de-DE"/>
            </w:rPr>
            <w:t xml:space="preserve"> </w:t>
          </w:r>
        </w:p>
        <w:p w14:paraId="60F9B882">
          <w:pPr>
            <w:wordWrap w:val="0"/>
            <w:spacing w:before="0" w:after="0"/>
            <w:jc w:val="right"/>
            <w:rPr>
              <w:rFonts w:hint="default"/>
              <w:sz w:val="18"/>
              <w:szCs w:val="18"/>
              <w:lang w:val="de-DE"/>
            </w:rPr>
          </w:pP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Facharzt für Orthopädie und Traumatologie  |  Facharzt für Unfallchirurgie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</w:t>
          </w:r>
        </w:p>
        <w:p w14:paraId="1045C982">
          <w:pPr>
            <w:spacing w:before="0" w:after="0"/>
            <w:jc w:val="center"/>
            <w:rPr>
              <w:rFonts w:hint="default"/>
              <w:sz w:val="18"/>
              <w:szCs w:val="18"/>
              <w:lang w:val="de-DE"/>
            </w:rPr>
          </w:pP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                                         </w:t>
          </w:r>
          <w:r>
            <w:rPr>
              <w:rFonts w:ascii="Calibri" w:hAnsi="Calibri" w:eastAsia="Calibri" w:cs="Calibri"/>
              <w:color w:val="666666"/>
              <w:sz w:val="18"/>
              <w:szCs w:val="18"/>
            </w:rPr>
            <w:t>Am Hof 11 Top 9  |  1010 Wien  |  Tel.:</w:t>
          </w:r>
          <w:r>
            <w:rPr>
              <w:rFonts w:ascii="Calibri" w:hAnsi="Calibri" w:eastAsia="Calibri" w:cs="Calibri"/>
              <w:b/>
              <w:bCs/>
              <w:color w:val="666666"/>
              <w:sz w:val="18"/>
              <w:szCs w:val="18"/>
            </w:rPr>
            <w:t xml:space="preserve"> +43 664 328 44 65</w:t>
          </w:r>
          <w:r>
            <w:rPr>
              <w:rFonts w:hint="default" w:ascii="Calibri" w:hAnsi="Calibri" w:eastAsia="Calibri" w:cs="Calibri"/>
              <w:color w:val="666666"/>
              <w:sz w:val="18"/>
              <w:szCs w:val="18"/>
              <w:lang w:val="de-DE"/>
            </w:rPr>
            <w:t xml:space="preserve">     </w:t>
          </w:r>
        </w:p>
        <w:p w14:paraId="7CD6A3BC">
          <w:pPr>
            <w:wordWrap w:val="0"/>
            <w:spacing w:before="0" w:after="0"/>
            <w:jc w:val="right"/>
            <w:rPr>
              <w:rFonts w:hint="default"/>
              <w:lang w:val="de-DE"/>
            </w:rPr>
          </w:pPr>
          <w:r>
            <w:rPr>
              <w:rFonts w:ascii="Calibri" w:hAnsi="Calibri" w:eastAsia="Calibri" w:cs="Calibri"/>
              <w:color w:val="9A7B2F"/>
              <w:sz w:val="18"/>
              <w:szCs w:val="18"/>
            </w:rPr>
            <w:t>ordination@dr-elmarto.at  |  www.dr-elmarto.at</w:t>
          </w:r>
        </w:p>
      </w:tc>
    </w:tr>
  </w:tbl>
  <w:p w14:paraId="4C47FA82">
    <w:pPr>
      <w:pBdr>
        <w:bottom w:val="single" w:color="B8952A" w:sz="12" w:space="1"/>
      </w:pBdr>
      <w:spacing w:before="6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›"/>
      <w:lvlJc w:val="left"/>
      <w:pPr>
        <w:ind w:left="420" w:hanging="280"/>
      </w:pPr>
      <w:rPr>
        <w:rFonts w:ascii="Arial" w:hAnsi="Arial" w:eastAsia="Arial" w:cs="Arial"/>
        <w:color w:val="B8952A"/>
        <w:sz w:val="26"/>
        <w:szCs w:val="2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753A3D"/>
    <w:rsid w:val="01590644"/>
    <w:rsid w:val="074C2609"/>
    <w:rsid w:val="0FCF1D14"/>
    <w:rsid w:val="10F442DE"/>
    <w:rsid w:val="15C64B46"/>
    <w:rsid w:val="189A38FA"/>
    <w:rsid w:val="251D7B5D"/>
    <w:rsid w:val="2C8E6CA9"/>
    <w:rsid w:val="32F31EA6"/>
    <w:rsid w:val="353B041A"/>
    <w:rsid w:val="445C4E37"/>
    <w:rsid w:val="4C4E08CE"/>
    <w:rsid w:val="519C21AA"/>
    <w:rsid w:val="54421A56"/>
    <w:rsid w:val="54D6013E"/>
    <w:rsid w:val="56005B14"/>
    <w:rsid w:val="574D1E50"/>
    <w:rsid w:val="58E80569"/>
    <w:rsid w:val="59643735"/>
    <w:rsid w:val="5C46562F"/>
    <w:rsid w:val="5EC2745F"/>
    <w:rsid w:val="628D580E"/>
    <w:rsid w:val="7AA34743"/>
    <w:rsid w:val="7B582B59"/>
    <w:rsid w:val="7CEB7B00"/>
    <w:rsid w:val="7ED469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link w:val="21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5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9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248</Words>
  <Characters>1667</Characters>
  <TotalTime>127</TotalTime>
  <ScaleCrop>false</ScaleCrop>
  <LinksUpToDate>false</LinksUpToDate>
  <CharactersWithSpaces>1893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2026-04-20T22:06:00Z</dcterms:created>
  <dc:creator>Un-named</dc:creator>
  <cp:lastModifiedBy>OS Premium Account</cp:lastModifiedBy>
  <dcterms:modified xsi:type="dcterms:W3CDTF">2026-05-12T14:37:12Z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eyJoZGlkIjoiZTdmYzMyMDcyOWY0ZjJjZjIzYTU2ZDQ4OWJjNzcxY2IiLCJ1c2VySWQiOiI3Njk2NTgyNDI4NTM5In0=</vt:lpwstr>
  </property>
  <property fmtid="{D5CDD505-2E9C-101B-9397-08002B2CF9AE}" pid="3" name="KSOProductBuildVer">
    <vt:lpwstr>1031-12.1.0.25242</vt:lpwstr>
  </property>
  <property fmtid="{D5CDD505-2E9C-101B-9397-08002B2CF9AE}" pid="4" name="ICV">
    <vt:lpwstr>182E31F6759643BAB4766DF054BE8C76_13</vt:lpwstr>
  </property>
</Properties>
</file>