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80"/>
        <w:jc w:val="center"/>
      </w:pPr>
      <w:r>
        <w:rPr>
          <w:rFonts w:ascii="DejaVu Sans" w:hAnsi="DejaVu Sans" w:eastAsia="DejaVu Sans"/>
          <w:b/>
          <w:color w:val="A63D2F"/>
          <w:sz w:val="22"/>
        </w:rPr>
        <w:t>LÁ SỐ VIỆT</w:t>
      </w:r>
    </w:p>
    <w:p>
      <w:pPr>
        <w:pStyle w:val="Title"/>
        <w:spacing w:after="200"/>
        <w:jc w:val="center"/>
      </w:pPr>
      <w:r>
        <w:t>Brand &amp; Experience</w:t>
        <w:br/>
        <w:t>Guideline</w:t>
      </w:r>
    </w:p>
    <w:p>
      <w:pPr>
        <w:spacing w:after="560"/>
        <w:jc w:val="center"/>
      </w:pPr>
      <w:r>
        <w:rPr>
          <w:rFonts w:ascii="DejaVu Serif" w:hAnsi="DejaVu Serif" w:eastAsia="DejaVu Serif"/>
          <w:i/>
          <w:color w:val="5E6873"/>
          <w:sz w:val="29"/>
        </w:rPr>
        <w:t>Nền tảng lập và luận giải lá số dành cho người Việt</w:t>
      </w:r>
    </w:p>
    <w:p>
      <w:pPr>
        <w:spacing w:before="80" w:after="180"/>
        <w:ind w:left="202" w:right="115"/>
        <w:shd w:fill="F7F1E5"/>
        <w:pBdr>
          <w:left w:val="single" w:sz="18" w:space="8" w:color="A63D2F"/>
        </w:pBdr>
      </w:pPr>
      <w:r>
        <w:rPr>
          <w:rFonts w:ascii="DejaVu Sans" w:hAnsi="DejaVu Sans" w:eastAsia="DejaVu Sans"/>
          <w:b/>
          <w:color w:val="A63D2F"/>
          <w:sz w:val="18"/>
        </w:rPr>
        <w:t xml:space="preserve">NORTH STAR  </w:t>
      </w:r>
      <w:r>
        <w:rPr>
          <w:rFonts w:ascii="DejaVu Sans" w:hAnsi="DejaVu Sans" w:eastAsia="DejaVu Sans"/>
          <w:color w:val="14263D"/>
          <w:sz w:val="20"/>
        </w:rPr>
        <w:t>Thư viện tri thức Việt đương đại: tĩnh, sáng rõ, có căn cứ và trả quyền lựa chọn về cho người dùng.</w:t>
      </w:r>
    </w:p>
    <w:p>
      <w:pPr>
        <w:spacing w:before="600"/>
        <w:jc w:val="center"/>
      </w:pPr>
      <w:r>
        <w:rPr>
          <w:rFonts w:ascii="DejaVu Sans" w:hAnsi="DejaVu Sans" w:eastAsia="DejaVu Sans"/>
          <w:b/>
          <w:color w:val="5E6873"/>
          <w:sz w:val="18"/>
        </w:rPr>
        <w:t>VERSION 1.0  •  MVP / PHASE 1  •  31 AUGUST 2026</w:t>
      </w:r>
    </w:p>
    <w:p>
      <w:pPr>
        <w:jc w:val="center"/>
      </w:pPr>
      <w:r>
        <w:rPr>
          <w:rFonts w:ascii="DejaVu Sans" w:hAnsi="DejaVu Sans" w:eastAsia="DejaVu Sans"/>
          <w:color w:val="5E6873"/>
          <w:sz w:val="18"/>
        </w:rPr>
        <w:t>Dành cho Founder, Product, Design, Content, Growth và Engineering</w:t>
      </w:r>
    </w:p>
    <w:p>
      <w:pPr>
        <w:sectPr>
          <w:headerReference w:type="default" r:id="rId9"/>
          <w:footerReference w:type="default" r:id="rId10"/>
          <w:pgSz w:w="12240" w:h="15840"/>
          <w:pgMar w:top="1224" w:right="1296" w:bottom="1152" w:left="1296" w:header="547" w:footer="547" w:gutter="0"/>
          <w:cols w:space="720"/>
          <w:titlePg/>
          <w:docGrid w:linePitch="360"/>
        </w:sectPr>
      </w:pPr>
    </w:p>
    <w:p>
      <w:pPr>
        <w:pStyle w:val="Heading1"/>
      </w:pPr>
      <w:r>
        <w:t>Cách dùng guideline này</w:t>
      </w:r>
    </w:p>
    <w:p>
      <w:pPr>
        <w:pStyle w:val="Lead"/>
      </w:pPr>
      <w:r>
        <w:t>Đây là “hiến pháp thương hiệu” cho Lá Số Việt. Mọi quyết định về sản phẩm, nội dung, giao diện, growth và vận hành phải truy được về một nguyên tắc trong tài liệu này.</w:t>
      </w:r>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trPr>
        <w:tc>
          <w:tcPr>
            <w:tcW w:type="dxa" w:w="1800"/>
            <w:shd w:fill="14263D"/>
            <w:tcMar>
              <w:top w:w="100" w:type="dxa"/>
              <w:start w:w="120" w:type="dxa"/>
              <w:bottom w:w="100" w:type="dxa"/>
              <w:end w:w="120" w:type="dxa"/>
            </w:tcMar>
            <w:vAlign w:val="center"/>
          </w:tcPr>
          <w:p>
            <w:pPr>
              <w:spacing w:after="0"/>
            </w:pPr>
            <w:r>
              <w:rPr>
                <w:rFonts w:ascii="DejaVu Sans" w:hAnsi="DejaVu Sans" w:eastAsia="DejaVu Sans"/>
                <w:b/>
                <w:color w:val="FFFFFF"/>
                <w:sz w:val="17"/>
              </w:rPr>
              <w:t>Lớp quyết định</w:t>
            </w:r>
          </w:p>
        </w:tc>
        <w:tc>
          <w:tcPr>
            <w:tcW w:type="dxa" w:w="3600"/>
            <w:shd w:fill="14263D"/>
            <w:tcMar>
              <w:top w:w="100" w:type="dxa"/>
              <w:start w:w="120" w:type="dxa"/>
              <w:bottom w:w="100" w:type="dxa"/>
              <w:end w:w="120" w:type="dxa"/>
            </w:tcMar>
            <w:vAlign w:val="center"/>
          </w:tcPr>
          <w:p>
            <w:pPr>
              <w:spacing w:after="0"/>
            </w:pPr>
            <w:r>
              <w:rPr>
                <w:rFonts w:ascii="DejaVu Sans" w:hAnsi="DejaVu Sans" w:eastAsia="DejaVu Sans"/>
                <w:b/>
                <w:color w:val="FFFFFF"/>
                <w:sz w:val="17"/>
              </w:rPr>
              <w:t>Ý nghĩa</w:t>
            </w:r>
          </w:p>
        </w:tc>
        <w:tc>
          <w:tcPr>
            <w:tcW w:type="dxa" w:w="3960"/>
            <w:shd w:fill="14263D"/>
            <w:tcMar>
              <w:top w:w="100" w:type="dxa"/>
              <w:start w:w="120" w:type="dxa"/>
              <w:bottom w:w="100" w:type="dxa"/>
              <w:end w:w="120" w:type="dxa"/>
            </w:tcMar>
            <w:vAlign w:val="center"/>
          </w:tcPr>
          <w:p>
            <w:pPr>
              <w:spacing w:after="0"/>
            </w:pPr>
            <w:r>
              <w:rPr>
                <w:rFonts w:ascii="DejaVu Sans" w:hAnsi="DejaVu Sans" w:eastAsia="DejaVu Sans"/>
                <w:b/>
                <w:color w:val="FFFFFF"/>
                <w:sz w:val="17"/>
              </w:rPr>
              <w:t>Cách xử lý</w:t>
            </w:r>
          </w:p>
        </w:tc>
      </w:tr>
      <w:tr>
        <w:tc>
          <w:tcPr>
            <w:tcW w:type="dxa" w:w="1800"/>
            <w:shd w:fill="FFFDF7"/>
            <w:tcMar>
              <w:top w:w="100" w:type="dxa"/>
              <w:start w:w="120" w:type="dxa"/>
              <w:bottom w:w="100" w:type="dxa"/>
              <w:end w:w="120" w:type="dxa"/>
            </w:tcMar>
            <w:vAlign w:val="center"/>
          </w:tcPr>
          <w:p>
            <w:pPr>
              <w:spacing w:after="0" w:line="269" w:lineRule="auto"/>
            </w:pPr>
            <w:r>
              <w:rPr>
                <w:rFonts w:ascii="DejaVu Sans" w:hAnsi="DejaVu Sans" w:eastAsia="DejaVu Sans"/>
                <w:b/>
                <w:color w:val="263445"/>
                <w:sz w:val="17"/>
              </w:rPr>
              <w:t>LOCKED — Bất biến</w:t>
            </w:r>
          </w:p>
        </w:tc>
        <w:tc>
          <w:tcPr>
            <w:tcW w:type="dxa" w:w="36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Định vị, đạo đức, lời hứa, trust/safety và nguyên tắc không định mệnh hóa.</w:t>
            </w:r>
          </w:p>
        </w:tc>
        <w:tc>
          <w:tcPr>
            <w:tcW w:type="dxa" w:w="39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Chỉ đổi khi founder cập nhật decision log với lý do và bằng chứng.</w:t>
            </w:r>
          </w:p>
        </w:tc>
      </w:tr>
      <w:tr>
        <w:tc>
          <w:tcPr>
            <w:tcW w:type="dxa" w:w="1800"/>
            <w:shd w:fill="FFFFFF"/>
            <w:tcMar>
              <w:top w:w="100" w:type="dxa"/>
              <w:start w:w="120" w:type="dxa"/>
              <w:bottom w:w="100" w:type="dxa"/>
              <w:end w:w="120" w:type="dxa"/>
            </w:tcMar>
            <w:vAlign w:val="center"/>
          </w:tcPr>
          <w:p>
            <w:pPr>
              <w:spacing w:after="0" w:line="269" w:lineRule="auto"/>
            </w:pPr>
            <w:r>
              <w:rPr>
                <w:rFonts w:ascii="DejaVu Sans" w:hAnsi="DejaVu Sans" w:eastAsia="DejaVu Sans"/>
                <w:b/>
                <w:color w:val="263445"/>
                <w:sz w:val="17"/>
              </w:rPr>
              <w:t>STANDARD — Chuẩn hệ thống</w:t>
            </w:r>
          </w:p>
        </w:tc>
        <w:tc>
          <w:tcPr>
            <w:tcW w:type="dxa" w:w="36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Màu, font, component, voice, layout và pattern đã đủ tốt để triển khai.</w:t>
            </w:r>
          </w:p>
        </w:tc>
        <w:tc>
          <w:tcPr>
            <w:tcW w:type="dxa" w:w="39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Tuân thủ mặc định; ngoại lệ phải có tên, lý do và owner.</w:t>
            </w:r>
          </w:p>
        </w:tc>
      </w:tr>
      <w:tr>
        <w:tc>
          <w:tcPr>
            <w:tcW w:type="dxa" w:w="1800"/>
            <w:shd w:fill="FFFDF7"/>
            <w:tcMar>
              <w:top w:w="100" w:type="dxa"/>
              <w:start w:w="120" w:type="dxa"/>
              <w:bottom w:w="100" w:type="dxa"/>
              <w:end w:w="120" w:type="dxa"/>
            </w:tcMar>
            <w:vAlign w:val="center"/>
          </w:tcPr>
          <w:p>
            <w:pPr>
              <w:spacing w:after="0" w:line="269" w:lineRule="auto"/>
            </w:pPr>
            <w:r>
              <w:rPr>
                <w:rFonts w:ascii="DejaVu Sans" w:hAnsi="DejaVu Sans" w:eastAsia="DejaVu Sans"/>
                <w:b/>
                <w:color w:val="263445"/>
                <w:sz w:val="17"/>
              </w:rPr>
              <w:t>HYPOTHESIS — Cần test</w:t>
            </w:r>
          </w:p>
        </w:tc>
        <w:tc>
          <w:tcPr>
            <w:tcW w:type="dxa" w:w="36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Thông điệp challenger, hành vi “người Việt”, cách hiển thị mobile, giá và conversion.</w:t>
            </w:r>
          </w:p>
        </w:tc>
        <w:tc>
          <w:tcPr>
            <w:tcW w:type="dxa" w:w="39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Đo bằng user research/analytics; không biến thành chân lý thương hiệu.</w:t>
            </w:r>
          </w:p>
        </w:tc>
      </w:tr>
    </w:tbl>
    <w:p>
      <w:pPr>
        <w:spacing w:after="40"/>
      </w:pPr>
    </w:p>
    <w:p>
      <w:pPr>
        <w:spacing w:before="80" w:after="180"/>
        <w:ind w:left="202" w:right="115"/>
        <w:shd w:fill="F3DDD4"/>
        <w:pBdr>
          <w:left w:val="single" w:sz="18" w:space="8" w:color="81271F"/>
        </w:pBdr>
      </w:pPr>
      <w:r>
        <w:rPr>
          <w:rFonts w:ascii="DejaVu Sans" w:hAnsi="DejaVu Sans" w:eastAsia="DejaVu Sans"/>
          <w:b/>
          <w:color w:val="81271F"/>
          <w:sz w:val="18"/>
        </w:rPr>
        <w:t xml:space="preserve">QUY TẮC ƯU TIÊN  </w:t>
      </w:r>
      <w:r>
        <w:rPr>
          <w:rFonts w:ascii="DejaVu Sans" w:hAnsi="DejaVu Sans" w:eastAsia="DejaVu Sans"/>
          <w:color w:val="14263D"/>
          <w:sz w:val="20"/>
        </w:rPr>
        <w:t>Khi conversion xung đột với niềm tin, quyền riêng tư hoặc sự an toàn tâm lý, trust/safety thắng. Không dùng nỗi sợ để đổi lấy doanh thu ngắn hạn.</w:t>
      </w:r>
    </w:p>
    <w:p>
      <w:pPr>
        <w:pStyle w:val="Heading2"/>
      </w:pPr>
      <w:r>
        <w:t>Mục lục</w:t>
      </w:r>
    </w:p>
    <w:p>
      <w:pPr>
        <w:spacing w:after="60"/>
      </w:pPr>
      <w:r>
        <w:rPr>
          <w:rFonts w:ascii="DejaVu Sans" w:hAnsi="DejaVu Sans" w:eastAsia="DejaVu Sans"/>
          <w:b/>
          <w:color w:val="14263D"/>
          <w:sz w:val="20"/>
        </w:rPr>
        <w:t>01. Brand foundation — nền tảng chiến lược</w:t>
      </w:r>
    </w:p>
    <w:p>
      <w:pPr>
        <w:spacing w:after="60"/>
      </w:pPr>
      <w:r>
        <w:rPr>
          <w:rFonts w:ascii="DejaVu Sans" w:hAnsi="DejaVu Sans" w:eastAsia="DejaVu Sans"/>
          <w:b/>
          <w:color w:val="14263D"/>
          <w:sz w:val="20"/>
        </w:rPr>
        <w:t>02. Audience &amp; behavioral truth — người dùng và hành vi</w:t>
      </w:r>
    </w:p>
    <w:p>
      <w:pPr>
        <w:spacing w:after="60"/>
      </w:pPr>
      <w:r>
        <w:rPr>
          <w:rFonts w:ascii="DejaVu Sans" w:hAnsi="DejaVu Sans" w:eastAsia="DejaVu Sans"/>
          <w:b/>
          <w:color w:val="14263D"/>
          <w:sz w:val="20"/>
        </w:rPr>
        <w:t>03. Mood, personality &amp; creative concept</w:t>
      </w:r>
    </w:p>
    <w:p>
      <w:pPr>
        <w:spacing w:after="60"/>
      </w:pPr>
      <w:r>
        <w:rPr>
          <w:rFonts w:ascii="DejaVu Sans" w:hAnsi="DejaVu Sans" w:eastAsia="DejaVu Sans"/>
          <w:b/>
          <w:color w:val="14263D"/>
          <w:sz w:val="20"/>
        </w:rPr>
        <w:t>04. Tone of voice &amp; messaging system</w:t>
      </w:r>
    </w:p>
    <w:p>
      <w:pPr>
        <w:spacing w:after="60"/>
      </w:pPr>
      <w:r>
        <w:rPr>
          <w:rFonts w:ascii="DejaVu Sans" w:hAnsi="DejaVu Sans" w:eastAsia="DejaVu Sans"/>
          <w:b/>
          <w:color w:val="14263D"/>
          <w:sz w:val="20"/>
        </w:rPr>
        <w:t>05. Visual identity system</w:t>
      </w:r>
    </w:p>
    <w:p>
      <w:pPr>
        <w:spacing w:after="60"/>
      </w:pPr>
      <w:r>
        <w:rPr>
          <w:rFonts w:ascii="DejaVu Sans" w:hAnsi="DejaVu Sans" w:eastAsia="DejaVu Sans"/>
          <w:b/>
          <w:color w:val="14263D"/>
          <w:sz w:val="20"/>
        </w:rPr>
        <w:t>06. Product experience principles</w:t>
      </w:r>
    </w:p>
    <w:p>
      <w:pPr>
        <w:spacing w:after="60"/>
      </w:pPr>
      <w:r>
        <w:rPr>
          <w:rFonts w:ascii="DejaVu Sans" w:hAnsi="DejaVu Sans" w:eastAsia="DejaVu Sans"/>
          <w:b/>
          <w:color w:val="14263D"/>
          <w:sz w:val="20"/>
        </w:rPr>
        <w:t>07. Trust, privacy &amp; safety by design</w:t>
      </w:r>
    </w:p>
    <w:p>
      <w:pPr>
        <w:spacing w:after="60"/>
      </w:pPr>
      <w:r>
        <w:rPr>
          <w:rFonts w:ascii="DejaVu Sans" w:hAnsi="DejaVu Sans" w:eastAsia="DejaVu Sans"/>
          <w:b/>
          <w:color w:val="14263D"/>
          <w:sz w:val="20"/>
        </w:rPr>
        <w:t>08. Component and content recipes</w:t>
      </w:r>
    </w:p>
    <w:p>
      <w:pPr>
        <w:spacing w:after="60"/>
      </w:pPr>
      <w:r>
        <w:rPr>
          <w:rFonts w:ascii="DejaVu Sans" w:hAnsi="DejaVu Sans" w:eastAsia="DejaVu Sans"/>
          <w:b/>
          <w:color w:val="14263D"/>
          <w:sz w:val="20"/>
        </w:rPr>
        <w:t>09. Validation roadmap &amp; metrics</w:t>
      </w:r>
    </w:p>
    <w:p>
      <w:pPr>
        <w:spacing w:after="60"/>
      </w:pPr>
      <w:r>
        <w:rPr>
          <w:rFonts w:ascii="DejaVu Sans" w:hAnsi="DejaVu Sans" w:eastAsia="DejaVu Sans"/>
          <w:b/>
          <w:color w:val="14263D"/>
          <w:sz w:val="20"/>
        </w:rPr>
        <w:t>10. Governance &amp; decision checklist</w:t>
      </w:r>
    </w:p>
    <w:p>
      <w:pPr>
        <w:spacing w:after="60"/>
      </w:pPr>
      <w:r>
        <w:rPr>
          <w:rFonts w:ascii="DejaVu Sans" w:hAnsi="DejaVu Sans" w:eastAsia="DejaVu Sans"/>
          <w:b w:val="0"/>
          <w:color w:val="14263D"/>
          <w:sz w:val="20"/>
        </w:rPr>
        <w:t>Appendix A. Copy library</w:t>
      </w:r>
    </w:p>
    <w:p>
      <w:pPr>
        <w:spacing w:after="60"/>
      </w:pPr>
      <w:r>
        <w:rPr>
          <w:rFonts w:ascii="DejaVu Sans" w:hAnsi="DejaVu Sans" w:eastAsia="DejaVu Sans"/>
          <w:b w:val="0"/>
          <w:color w:val="14263D"/>
          <w:sz w:val="20"/>
        </w:rPr>
        <w:t>Appendix B. Evidence &amp; sources</w:t>
      </w:r>
    </w:p>
    <w:p>
      <w:pPr>
        <w:pStyle w:val="Heading1"/>
      </w:pPr>
      <w:r>
        <w:t>01. Brand foundation — nền tảng chiến lược</w:t>
      </w:r>
    </w:p>
    <w:p>
      <w:pPr>
        <w:pStyle w:val="Heading2"/>
      </w:pPr>
      <w:r>
        <w:t>1.1 Brand role</w:t>
      </w:r>
    </w:p>
    <w:p>
      <w:pPr>
        <w:spacing w:before="80" w:after="180"/>
        <w:ind w:left="202" w:right="115"/>
        <w:shd w:fill="EEE5D6"/>
        <w:pBdr>
          <w:left w:val="single" w:sz="18" w:space="8" w:color="A63D2F"/>
        </w:pBdr>
      </w:pPr>
      <w:r>
        <w:rPr>
          <w:rFonts w:ascii="DejaVu Sans" w:hAnsi="DejaVu Sans" w:eastAsia="DejaVu Sans"/>
          <w:b/>
          <w:color w:val="A63D2F"/>
          <w:sz w:val="18"/>
        </w:rPr>
        <w:t xml:space="preserve">QUYẾT ĐỊNH KHÓA  </w:t>
      </w:r>
      <w:r>
        <w:rPr>
          <w:rFonts w:ascii="DejaVu Sans" w:hAnsi="DejaVu Sans" w:eastAsia="DejaVu Sans"/>
          <w:color w:val="14263D"/>
          <w:sz w:val="20"/>
        </w:rPr>
        <w:t>Lá Số Việt là người dẫn giải có căn cứ — không phải “thầy bói AI”, không phải công cụ tính toán lạnh lùng và không phải cỗ máy phán tương lai.</w:t>
      </w:r>
    </w:p>
    <w:p>
      <w:pPr>
        <w:keepLines w:val="0"/>
      </w:pPr>
      <w:r>
        <w:rPr>
          <w:rFonts w:ascii="DejaVu Sans" w:hAnsi="DejaVu Sans" w:eastAsia="DejaVu Sans"/>
          <w:i w:val="0"/>
          <w:color w:val="263445"/>
          <w:sz w:val="20"/>
        </w:rPr>
        <w:t>Vai trò của thương hiệu là giúp người dùng hiểu cấu trúc lá số, đối chiếu với trải nghiệm thực tế và nhìn thấy điều họ có thể chủ động. Thương hiệu không thay người dùng ra quyết định.</w:t>
      </w:r>
    </w:p>
    <w:p>
      <w:pPr>
        <w:pStyle w:val="Heading2"/>
      </w:pPr>
      <w:r>
        <w:t>1.2 Brand essence</w:t>
      </w:r>
    </w:p>
    <w:p>
      <w:pPr>
        <w:pStyle w:val="Lead"/>
      </w:pPr>
      <w:r>
        <w:t>Hiểu mình có căn cứ.</w:t>
      </w:r>
    </w:p>
    <w:p>
      <w:pPr>
        <w:keepLines w:val="0"/>
      </w:pPr>
      <w:r>
        <w:rPr>
          <w:rFonts w:ascii="DejaVu Sans" w:hAnsi="DejaVu Sans" w:eastAsia="DejaVu Sans"/>
          <w:i w:val="0"/>
          <w:color w:val="263445"/>
          <w:sz w:val="20"/>
        </w:rPr>
        <w:t>Essence này cô đọng bốn giá trị: cá nhân hóa thật, diễn giải rõ, truy nguyên được và không tước quyền tự quyết. Nó phải hiện diện trong sản phẩm ngay cả khi logo, chiến dịch hoặc giao diện thay đổi.</w:t>
      </w:r>
    </w:p>
    <w:p>
      <w:pPr>
        <w:pStyle w:val="Heading2"/>
      </w:pPr>
      <w:r>
        <w:t>1.3 Purpose, vision, mission</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4263D"/>
            <w:tcMar>
              <w:top w:w="100" w:type="dxa"/>
              <w:start w:w="120" w:type="dxa"/>
              <w:bottom w:w="100" w:type="dxa"/>
              <w:end w:w="120" w:type="dxa"/>
            </w:tcMar>
            <w:vAlign w:val="center"/>
          </w:tcPr>
          <w:p>
            <w:pPr>
              <w:spacing w:after="0"/>
            </w:pPr>
            <w:r>
              <w:rPr>
                <w:rFonts w:ascii="DejaVu Sans" w:hAnsi="DejaVu Sans" w:eastAsia="DejaVu Sans"/>
                <w:b/>
                <w:color w:val="FFFFFF"/>
                <w:sz w:val="18"/>
              </w:rPr>
              <w:t>Tầng</w:t>
            </w:r>
          </w:p>
        </w:tc>
        <w:tc>
          <w:tcPr>
            <w:tcW w:type="dxa" w:w="7560"/>
            <w:shd w:fill="14263D"/>
            <w:tcMar>
              <w:top w:w="100" w:type="dxa"/>
              <w:start w:w="120" w:type="dxa"/>
              <w:bottom w:w="100" w:type="dxa"/>
              <w:end w:w="120" w:type="dxa"/>
            </w:tcMar>
            <w:vAlign w:val="center"/>
          </w:tcPr>
          <w:p>
            <w:pPr>
              <w:spacing w:after="0"/>
            </w:pPr>
            <w:r>
              <w:rPr>
                <w:rFonts w:ascii="DejaVu Sans" w:hAnsi="DejaVu Sans" w:eastAsia="DejaVu Sans"/>
                <w:b/>
                <w:color w:val="FFFFFF"/>
                <w:sz w:val="18"/>
              </w:rPr>
              <w:t>Tuyên bố</w:t>
            </w:r>
          </w:p>
        </w:tc>
      </w:tr>
      <w:tr>
        <w:tc>
          <w:tcPr>
            <w:tcW w:type="dxa" w:w="1800"/>
            <w:shd w:fill="FFFDF7"/>
            <w:tcMar>
              <w:top w:w="100" w:type="dxa"/>
              <w:start w:w="120" w:type="dxa"/>
              <w:bottom w:w="100" w:type="dxa"/>
              <w:end w:w="120" w:type="dxa"/>
            </w:tcMar>
            <w:vAlign w:val="center"/>
          </w:tcPr>
          <w:p>
            <w:pPr>
              <w:spacing w:after="0" w:line="269" w:lineRule="auto"/>
            </w:pPr>
            <w:r>
              <w:rPr>
                <w:rFonts w:ascii="DejaVu Sans" w:hAnsi="DejaVu Sans" w:eastAsia="DejaVu Sans"/>
                <w:b/>
                <w:color w:val="263445"/>
                <w:sz w:val="18"/>
              </w:rPr>
              <w:t>Purpose</w:t>
            </w:r>
          </w:p>
        </w:tc>
        <w:tc>
          <w:tcPr>
            <w:tcW w:type="dxa" w:w="75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Giúp người Việt biến sự phức tạp của lá số thành một góc nhìn rõ ràng để tự hiểu và chủ động hơn.</w:t>
            </w:r>
          </w:p>
        </w:tc>
      </w:tr>
      <w:tr>
        <w:tc>
          <w:tcPr>
            <w:tcW w:type="dxa" w:w="1800"/>
            <w:shd w:fill="FFFFFF"/>
            <w:tcMar>
              <w:top w:w="100" w:type="dxa"/>
              <w:start w:w="120" w:type="dxa"/>
              <w:bottom w:w="100" w:type="dxa"/>
              <w:end w:w="120" w:type="dxa"/>
            </w:tcMar>
            <w:vAlign w:val="center"/>
          </w:tcPr>
          <w:p>
            <w:pPr>
              <w:spacing w:after="0" w:line="269" w:lineRule="auto"/>
            </w:pPr>
            <w:r>
              <w:rPr>
                <w:rFonts w:ascii="DejaVu Sans" w:hAnsi="DejaVu Sans" w:eastAsia="DejaVu Sans"/>
                <w:b/>
                <w:color w:val="263445"/>
                <w:sz w:val="18"/>
              </w:rPr>
              <w:t>Vision</w:t>
            </w:r>
          </w:p>
        </w:tc>
        <w:tc>
          <w:tcPr>
            <w:tcW w:type="dxa" w:w="75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Trở thành nền tảng tin cậy nhất tại Việt Nam để khám phá nhiều hệ quy chiếu Đông–Tây trên một hồ sơ sinh, với phương pháp riêng của từng hệ được tôn trọng.</w:t>
            </w:r>
          </w:p>
        </w:tc>
      </w:tr>
      <w:tr>
        <w:tc>
          <w:tcPr>
            <w:tcW w:type="dxa" w:w="1800"/>
            <w:shd w:fill="FFFDF7"/>
            <w:tcMar>
              <w:top w:w="100" w:type="dxa"/>
              <w:start w:w="120" w:type="dxa"/>
              <w:bottom w:w="100" w:type="dxa"/>
              <w:end w:w="120" w:type="dxa"/>
            </w:tcMar>
            <w:vAlign w:val="center"/>
          </w:tcPr>
          <w:p>
            <w:pPr>
              <w:spacing w:after="0" w:line="269" w:lineRule="auto"/>
            </w:pPr>
            <w:r>
              <w:rPr>
                <w:rFonts w:ascii="DejaVu Sans" w:hAnsi="DejaVu Sans" w:eastAsia="DejaVu Sans"/>
                <w:b/>
                <w:color w:val="263445"/>
                <w:sz w:val="18"/>
              </w:rPr>
              <w:t>Mission — Phase 1</w:t>
            </w:r>
          </w:p>
        </w:tc>
        <w:tc>
          <w:tcPr>
            <w:tcW w:type="dxa" w:w="75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Lập lá số Tử Vi chính xác theo rule set công bố; tạo trải nghiệm miễn phí có giá trị; bán chiều sâu bằng báo cáo rõ căn cứ, an toàn và giao ngay online.</w:t>
            </w:r>
          </w:p>
        </w:tc>
      </w:tr>
    </w:tbl>
    <w:p>
      <w:pPr>
        <w:spacing w:after="40"/>
      </w:pPr>
    </w:p>
    <w:p>
      <w:pPr>
        <w:pStyle w:val="Heading2"/>
      </w:pPr>
      <w:r>
        <w:t>1.4 Positioning statement</w:t>
      </w:r>
    </w:p>
    <w:p>
      <w:pPr>
        <w:spacing w:before="80" w:after="180"/>
        <w:ind w:left="202" w:right="115"/>
        <w:shd w:fill="F7F1E5"/>
        <w:pBdr>
          <w:left w:val="single" w:sz="18" w:space="8" w:color="14263D"/>
        </w:pBdr>
      </w:pPr>
      <w:r>
        <w:rPr>
          <w:rFonts w:ascii="DejaVu Sans" w:hAnsi="DejaVu Sans" w:eastAsia="DejaVu Sans"/>
          <w:b/>
          <w:color w:val="14263D"/>
          <w:sz w:val="18"/>
        </w:rPr>
        <w:t xml:space="preserve">ĐỊNH VỊ  </w:t>
      </w:r>
      <w:r>
        <w:rPr>
          <w:rFonts w:ascii="DejaVu Sans" w:hAnsi="DejaVu Sans" w:eastAsia="DejaVu Sans"/>
          <w:color w:val="14263D"/>
          <w:sz w:val="20"/>
        </w:rPr>
        <w:t>Dành cho người Việt đang tìm sự rõ ràng về bản thân, quan hệ hoặc một giai đoạn nhiều bất định, Lá Số Việt là nền tảng lập và luận giải lá số bằng tiếng Việt rõ ràng, truy nguyên được căn cứ. Khác với trải nghiệm coi bói dựa vào uy quyền hoặc nỗi sợ, Lá Số Việt tách bạch tính toán, quy tắc diễn giải và AI, đồng thời trả quyền quyết định về cho người dùng.</w:t>
      </w:r>
    </w:p>
    <w:p>
      <w:pPr>
        <w:pStyle w:val="Heading2"/>
      </w:pPr>
      <w:r>
        <w:t>1.5 Brand promise &amp; reasons to believe</w:t>
      </w:r>
    </w:p>
    <w:p>
      <w:pPr>
        <w:numPr>
          <w:ilvl w:val="0"/>
          <w:numId w:val="10"/>
        </w:numPr>
      </w:pPr>
      <w:r>
        <w:rPr>
          <w:rFonts w:ascii="DejaVu Sans" w:hAnsi="DejaVu Sans" w:eastAsia="DejaVu Sans"/>
          <w:b/>
          <w:color w:val="14263D"/>
          <w:sz w:val="20"/>
        </w:rPr>
        <w:t xml:space="preserve">Lời hứa chức năng: </w:t>
      </w:r>
      <w:r>
        <w:rPr>
          <w:rFonts w:ascii="DejaVu Sans" w:hAnsi="DejaVu Sans" w:eastAsia="DejaVu Sans"/>
          <w:color w:val="263445"/>
          <w:sz w:val="20"/>
        </w:rPr>
        <w:t>lập lá số theo dữ liệu đầu vào và phương pháp được công bố; báo cáo có cấu trúc và dễ đọc.</w:t>
      </w:r>
    </w:p>
    <w:p>
      <w:pPr>
        <w:numPr>
          <w:ilvl w:val="0"/>
          <w:numId w:val="10"/>
        </w:numPr>
      </w:pPr>
      <w:r>
        <w:rPr>
          <w:rFonts w:ascii="DejaVu Sans" w:hAnsi="DejaVu Sans" w:eastAsia="DejaVu Sans"/>
          <w:b/>
          <w:color w:val="14263D"/>
          <w:sz w:val="20"/>
        </w:rPr>
        <w:t xml:space="preserve">Lời hứa cảm xúc: </w:t>
      </w:r>
      <w:r>
        <w:rPr>
          <w:rFonts w:ascii="DejaVu Sans" w:hAnsi="DejaVu Sans" w:eastAsia="DejaVu Sans"/>
          <w:color w:val="263445"/>
          <w:sz w:val="20"/>
        </w:rPr>
        <w:t>người dùng cảm thấy được tôn trọng, bớt mơ hồ và vẫn giữ quyền lựa chọn.</w:t>
      </w:r>
    </w:p>
    <w:p>
      <w:pPr>
        <w:numPr>
          <w:ilvl w:val="0"/>
          <w:numId w:val="10"/>
        </w:numPr>
      </w:pPr>
      <w:r>
        <w:rPr>
          <w:rFonts w:ascii="DejaVu Sans" w:hAnsi="DejaVu Sans" w:eastAsia="DejaVu Sans"/>
          <w:b/>
          <w:color w:val="14263D"/>
          <w:sz w:val="20"/>
        </w:rPr>
        <w:t xml:space="preserve">Lời hứa đạo đức: </w:t>
      </w:r>
      <w:r>
        <w:rPr>
          <w:rFonts w:ascii="DejaVu Sans" w:hAnsi="DejaVu Sans" w:eastAsia="DejaVu Sans"/>
          <w:color w:val="263445"/>
          <w:sz w:val="20"/>
        </w:rPr>
        <w:t>không phán định, không dọa để upsell, không giả chuyên gia, không giấu AI.</w:t>
      </w:r>
    </w:p>
    <w:p>
      <w:pPr>
        <w:numPr>
          <w:ilvl w:val="0"/>
          <w:numId w:val="10"/>
        </w:numPr>
      </w:pPr>
      <w:r>
        <w:rPr>
          <w:rFonts w:ascii="DejaVu Sans" w:hAnsi="DejaVu Sans" w:eastAsia="DejaVu Sans"/>
          <w:b/>
          <w:color w:val="14263D"/>
          <w:sz w:val="20"/>
        </w:rPr>
        <w:t xml:space="preserve">Bằng chứng sản phẩm: </w:t>
      </w:r>
      <w:r>
        <w:rPr>
          <w:rFonts w:ascii="DejaVu Sans" w:hAnsi="DejaVu Sans" w:eastAsia="DejaVu Sans"/>
          <w:color w:val="263445"/>
          <w:sz w:val="20"/>
        </w:rPr>
        <w:t>engine/version, evidence key, “Vì sao có nhận định này?”, giới hạn giờ sinh, report bất biến và dữ liệu riêng tư.</w:t>
      </w:r>
    </w:p>
    <w:p>
      <w:pPr>
        <w:pStyle w:val="Heading2"/>
      </w:pPr>
      <w:r>
        <w:t>1.6 Brand architecture</w:t>
      </w:r>
    </w:p>
    <w:p>
      <w:pPr>
        <w:numPr>
          <w:ilvl w:val="0"/>
          <w:numId w:val="10"/>
        </w:numPr>
      </w:pPr>
      <w:r>
        <w:rPr>
          <w:rFonts w:ascii="DejaVu Sans" w:hAnsi="DejaVu Sans" w:eastAsia="DejaVu Sans"/>
          <w:b/>
          <w:color w:val="14263D"/>
          <w:sz w:val="20"/>
        </w:rPr>
        <w:t xml:space="preserve">Master brand: </w:t>
      </w:r>
      <w:r>
        <w:rPr>
          <w:rFonts w:ascii="DejaVu Sans" w:hAnsi="DejaVu Sans" w:eastAsia="DejaVu Sans"/>
          <w:color w:val="263445"/>
          <w:sz w:val="20"/>
        </w:rPr>
        <w:t>Lá Số Việt — luôn đủ dấu; domain canonical là lasoviet.vn.</w:t>
      </w:r>
    </w:p>
    <w:p>
      <w:pPr>
        <w:numPr>
          <w:ilvl w:val="0"/>
          <w:numId w:val="10"/>
        </w:numPr>
      </w:pPr>
      <w:r>
        <w:rPr>
          <w:rFonts w:ascii="DejaVu Sans" w:hAnsi="DejaVu Sans" w:eastAsia="DejaVu Sans"/>
          <w:b/>
          <w:color w:val="14263D"/>
          <w:sz w:val="20"/>
        </w:rPr>
        <w:t xml:space="preserve">Category: </w:t>
      </w:r>
      <w:r>
        <w:rPr>
          <w:rFonts w:ascii="DejaVu Sans" w:hAnsi="DejaVu Sans" w:eastAsia="DejaVu Sans"/>
          <w:color w:val="263445"/>
          <w:sz w:val="20"/>
        </w:rPr>
        <w:t>nền tảng lập và luận giải lá số.</w:t>
      </w:r>
    </w:p>
    <w:p>
      <w:pPr>
        <w:numPr>
          <w:ilvl w:val="0"/>
          <w:numId w:val="10"/>
        </w:numPr>
      </w:pPr>
      <w:r>
        <w:rPr>
          <w:rFonts w:ascii="DejaVu Sans" w:hAnsi="DejaVu Sans" w:eastAsia="DejaVu Sans"/>
          <w:b/>
          <w:color w:val="14263D"/>
          <w:sz w:val="20"/>
        </w:rPr>
        <w:t xml:space="preserve">Hiện tại: </w:t>
      </w:r>
      <w:r>
        <w:rPr>
          <w:rFonts w:ascii="DejaVu Sans" w:hAnsi="DejaVu Sans" w:eastAsia="DejaVu Sans"/>
          <w:color w:val="263445"/>
          <w:sz w:val="20"/>
        </w:rPr>
        <w:t>Tử Vi là paid MVP và lời hứa sản phẩm đang có.</w:t>
      </w:r>
    </w:p>
    <w:p>
      <w:pPr>
        <w:numPr>
          <w:ilvl w:val="0"/>
          <w:numId w:val="10"/>
        </w:numPr>
      </w:pPr>
      <w:r>
        <w:rPr>
          <w:rFonts w:ascii="DejaVu Sans" w:hAnsi="DejaVu Sans" w:eastAsia="DejaVu Sans"/>
          <w:b/>
          <w:color w:val="14263D"/>
          <w:sz w:val="20"/>
        </w:rPr>
        <w:t xml:space="preserve">Tương lai: </w:t>
      </w:r>
      <w:r>
        <w:rPr>
          <w:rFonts w:ascii="DejaVu Sans" w:hAnsi="DejaVu Sans" w:eastAsia="DejaVu Sans"/>
          <w:color w:val="263445"/>
          <w:sz w:val="20"/>
        </w:rPr>
        <w:t>Bát Tự, Bản đồ sao, Kinh Dịch và tổng hợp Đông–Tây chỉ được truyền thông như sản phẩm hiện hữu khi engine/evidence đã sẵn sàng.</w:t>
      </w:r>
    </w:p>
    <w:p>
      <w:pPr>
        <w:numPr>
          <w:ilvl w:val="0"/>
          <w:numId w:val="10"/>
        </w:numPr>
      </w:pPr>
      <w:r>
        <w:rPr>
          <w:rFonts w:ascii="DejaVu Sans" w:hAnsi="DejaVu Sans" w:eastAsia="DejaVu Sans"/>
          <w:b/>
          <w:color w:val="14263D"/>
          <w:sz w:val="20"/>
        </w:rPr>
        <w:t xml:space="preserve">AI: </w:t>
      </w:r>
      <w:r>
        <w:rPr>
          <w:rFonts w:ascii="DejaVu Sans" w:hAnsi="DejaVu Sans" w:eastAsia="DejaVu Sans"/>
          <w:color w:val="263445"/>
          <w:sz w:val="20"/>
        </w:rPr>
        <w:t>là cơ chế tổ chức và diễn giải; không nằm trong tên thương hiệu hoặc hero.</w:t>
      </w:r>
    </w:p>
    <w:p>
      <w:pPr>
        <w:pStyle w:val="Heading2"/>
      </w:pPr>
      <w:r>
        <w:t>1.7 What we are / What we are not</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14263D"/>
            <w:tcMar>
              <w:top w:w="100" w:type="dxa"/>
              <w:start w:w="120" w:type="dxa"/>
              <w:bottom w:w="100" w:type="dxa"/>
              <w:end w:w="120" w:type="dxa"/>
            </w:tcMar>
            <w:vAlign w:val="center"/>
          </w:tcPr>
          <w:p>
            <w:pPr>
              <w:spacing w:after="0"/>
            </w:pPr>
            <w:r>
              <w:rPr>
                <w:rFonts w:ascii="DejaVu Sans" w:hAnsi="DejaVu Sans" w:eastAsia="DejaVu Sans"/>
                <w:b/>
                <w:color w:val="FFFFFF"/>
                <w:sz w:val="18"/>
              </w:rPr>
              <w:t>Lá Số Việt là</w:t>
            </w:r>
          </w:p>
        </w:tc>
        <w:tc>
          <w:tcPr>
            <w:tcW w:type="dxa" w:w="4680"/>
            <w:shd w:fill="14263D"/>
            <w:tcMar>
              <w:top w:w="100" w:type="dxa"/>
              <w:start w:w="120" w:type="dxa"/>
              <w:bottom w:w="100" w:type="dxa"/>
              <w:end w:w="120" w:type="dxa"/>
            </w:tcMar>
            <w:vAlign w:val="center"/>
          </w:tcPr>
          <w:p>
            <w:pPr>
              <w:spacing w:after="0"/>
            </w:pPr>
            <w:r>
              <w:rPr>
                <w:rFonts w:ascii="DejaVu Sans" w:hAnsi="DejaVu Sans" w:eastAsia="DejaVu Sans"/>
                <w:b/>
                <w:color w:val="FFFFFF"/>
                <w:sz w:val="18"/>
              </w:rPr>
              <w:t>Lá Số Việt không là</w:t>
            </w:r>
          </w:p>
        </w:tc>
      </w:tr>
      <w:tr>
        <w:tc>
          <w:tcPr>
            <w:tcW w:type="dxa" w:w="468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Một nền tảng tri thức và tự chiêm nghiệm</w:t>
            </w:r>
          </w:p>
        </w:tc>
        <w:tc>
          <w:tcPr>
            <w:tcW w:type="dxa" w:w="468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Một “thầy” có quyền phán quyết</w:t>
            </w:r>
          </w:p>
        </w:tc>
      </w:tr>
      <w:tr>
        <w:tc>
          <w:tcPr>
            <w:tcW w:type="dxa" w:w="468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Cá nhân hóa dựa trên dữ liệu và evidence</w:t>
            </w:r>
          </w:p>
        </w:tc>
        <w:tc>
          <w:tcPr>
            <w:tcW w:type="dxa" w:w="468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Văn bản Barnum chung chung khoác áo cá nhân</w:t>
            </w:r>
          </w:p>
        </w:tc>
      </w:tr>
      <w:tr>
        <w:tc>
          <w:tcPr>
            <w:tcW w:type="dxa" w:w="468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Tĩnh, rõ, ấm và hiện đại</w:t>
            </w:r>
          </w:p>
        </w:tc>
        <w:tc>
          <w:tcPr>
            <w:tcW w:type="dxa" w:w="468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Tím neon, vũ trụ, khói và sân khấu huyền bí</w:t>
            </w:r>
          </w:p>
        </w:tc>
      </w:tr>
      <w:tr>
        <w:tc>
          <w:tcPr>
            <w:tcW w:type="dxa" w:w="468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Minh bạch về AI và giới hạn</w:t>
            </w:r>
          </w:p>
        </w:tc>
        <w:tc>
          <w:tcPr>
            <w:tcW w:type="dxa" w:w="468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Khoa học giả hoặc tuyên bố chính xác 99%</w:t>
            </w:r>
          </w:p>
        </w:tc>
      </w:tr>
      <w:tr>
        <w:tc>
          <w:tcPr>
            <w:tcW w:type="dxa" w:w="468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Bán chiều sâu và cấu trúc</w:t>
            </w:r>
          </w:p>
        </w:tc>
        <w:tc>
          <w:tcPr>
            <w:tcW w:type="dxa" w:w="468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Bán sự giải thoát khỏi nỗi sợ</w:t>
            </w:r>
          </w:p>
        </w:tc>
      </w:tr>
    </w:tbl>
    <w:p>
      <w:pPr>
        <w:spacing w:after="40"/>
      </w:pPr>
    </w:p>
    <w:p>
      <w:pPr>
        <w:pStyle w:val="Heading1"/>
      </w:pPr>
      <w:r>
        <w:t>02. Audience &amp; behavioral truth — người dùng và hành vi</w:t>
      </w:r>
    </w:p>
    <w:p>
      <w:pPr>
        <w:pStyle w:val="Heading2"/>
      </w:pPr>
      <w:r>
        <w:t>2.1 Phân khúc theo tình huống, không theo stereotype</w:t>
      </w:r>
    </w:p>
    <w:p>
      <w:pPr>
        <w:keepLines w:val="0"/>
      </w:pPr>
      <w:r>
        <w:rPr>
          <w:rFonts w:ascii="DejaVu Sans" w:hAnsi="DejaVu Sans" w:eastAsia="DejaVu Sans"/>
          <w:i w:val="0"/>
          <w:color w:val="263445"/>
          <w:sz w:val="20"/>
        </w:rPr>
        <w:t>Repo không chứng minh tuổi, giới, thu nhập hoặc vùng miền của người mua. Vì vậy guideline không dựng “chân dung người Việt” từ trực giác. Phân khúc đầu tiên dựa trên Job-to-be-Done và trạng thái bất định:</w:t>
      </w:r>
    </w:p>
    <w:tbl>
      <w:tblPr>
        <w:tblStyle w:val="TableGrid"/>
        <w:tblW w:type="dxa" w:w="9360"/>
        <w:jc w:val="left"/>
        <w:tblLayout w:type="fixed"/>
        <w:tblLook w:firstColumn="1" w:firstRow="1" w:lastColumn="0" w:lastRow="0" w:noHBand="0" w:noVBand="1" w:val="04A0"/>
        <w:tblInd w:w="120" w:type="dxa"/>
      </w:tblPr>
      <w:tblGrid>
        <w:gridCol w:w="2200"/>
        <w:gridCol w:w="3100"/>
        <w:gridCol w:w="4060"/>
      </w:tblGrid>
      <w:tr>
        <w:trPr>
          <w:tblHeader w:val="true"/>
        </w:trPr>
        <w:tc>
          <w:tcPr>
            <w:tcW w:type="dxa" w:w="2200"/>
            <w:shd w:fill="14263D"/>
            <w:tcMar>
              <w:top w:w="100" w:type="dxa"/>
              <w:start w:w="120" w:type="dxa"/>
              <w:bottom w:w="100" w:type="dxa"/>
              <w:end w:w="120" w:type="dxa"/>
            </w:tcMar>
            <w:vAlign w:val="center"/>
          </w:tcPr>
          <w:p>
            <w:pPr>
              <w:spacing w:after="0"/>
            </w:pPr>
            <w:r>
              <w:rPr>
                <w:rFonts w:ascii="DejaVu Sans" w:hAnsi="DejaVu Sans" w:eastAsia="DejaVu Sans"/>
                <w:b/>
                <w:color w:val="FFFFFF"/>
                <w:sz w:val="17"/>
              </w:rPr>
              <w:t>Job / Moment</w:t>
            </w:r>
          </w:p>
        </w:tc>
        <w:tc>
          <w:tcPr>
            <w:tcW w:type="dxa" w:w="3100"/>
            <w:shd w:fill="14263D"/>
            <w:tcMar>
              <w:top w:w="100" w:type="dxa"/>
              <w:start w:w="120" w:type="dxa"/>
              <w:bottom w:w="100" w:type="dxa"/>
              <w:end w:w="120" w:type="dxa"/>
            </w:tcMar>
            <w:vAlign w:val="center"/>
          </w:tcPr>
          <w:p>
            <w:pPr>
              <w:spacing w:after="0"/>
            </w:pPr>
            <w:r>
              <w:rPr>
                <w:rFonts w:ascii="DejaVu Sans" w:hAnsi="DejaVu Sans" w:eastAsia="DejaVu Sans"/>
                <w:b/>
                <w:color w:val="FFFFFF"/>
                <w:sz w:val="17"/>
              </w:rPr>
              <w:t>Pain chính</w:t>
            </w:r>
          </w:p>
        </w:tc>
        <w:tc>
          <w:tcPr>
            <w:tcW w:type="dxa" w:w="4060"/>
            <w:shd w:fill="14263D"/>
            <w:tcMar>
              <w:top w:w="100" w:type="dxa"/>
              <w:start w:w="120" w:type="dxa"/>
              <w:bottom w:w="100" w:type="dxa"/>
              <w:end w:w="120" w:type="dxa"/>
            </w:tcMar>
            <w:vAlign w:val="center"/>
          </w:tcPr>
          <w:p>
            <w:pPr>
              <w:spacing w:after="0"/>
            </w:pPr>
            <w:r>
              <w:rPr>
                <w:rFonts w:ascii="DejaVu Sans" w:hAnsi="DejaVu Sans" w:eastAsia="DejaVu Sans"/>
                <w:b/>
                <w:color w:val="FFFFFF"/>
                <w:sz w:val="17"/>
              </w:rPr>
              <w:t>Giá trị cần giao</w:t>
            </w:r>
          </w:p>
        </w:tc>
      </w:tr>
      <w:tr>
        <w:tc>
          <w:tcPr>
            <w:tcW w:type="dxa" w:w="22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Hiểu bản thân &amp; đường đời</w:t>
            </w:r>
          </w:p>
        </w:tc>
        <w:tc>
          <w:tcPr>
            <w:tcW w:type="dxa" w:w="31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Lá số khó đọc; mô tả trên mạng quá chung.</w:t>
            </w:r>
          </w:p>
        </w:tc>
        <w:tc>
          <w:tcPr>
            <w:tcW w:type="dxa" w:w="40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Bản đồ rõ cấu trúc, insight cá nhân, căn cứ và câu hỏi phản tư.</w:t>
            </w:r>
          </w:p>
        </w:tc>
      </w:tr>
      <w:tr>
        <w:tc>
          <w:tcPr>
            <w:tcW w:type="dxa" w:w="22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Tình yêu &amp; hôn nhân</w:t>
            </w:r>
          </w:p>
        </w:tc>
        <w:tc>
          <w:tcPr>
            <w:tcW w:type="dxa" w:w="31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Lo âu, muốn biết điều gì đang diễn ra hoặc có nên tiếp tục.</w:t>
            </w:r>
          </w:p>
        </w:tc>
        <w:tc>
          <w:tcPr>
            <w:tcW w:type="dxa" w:w="40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Ngôn ngữ không phán xét, pattern quan hệ, giới hạn và hành động lành mạnh.</w:t>
            </w:r>
          </w:p>
        </w:tc>
      </w:tr>
      <w:tr>
        <w:tc>
          <w:tcPr>
            <w:tcW w:type="dxa" w:w="22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Công việc &amp; tài lộc</w:t>
            </w:r>
          </w:p>
        </w:tc>
        <w:tc>
          <w:tcPr>
            <w:tcW w:type="dxa" w:w="31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Thiếu khung tham chiếu cho lựa chọn hoặc giai đoạn mới.</w:t>
            </w:r>
          </w:p>
        </w:tc>
        <w:tc>
          <w:tcPr>
            <w:tcW w:type="dxa" w:w="40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Xu hướng, điều kiện, rủi ro quan sát được; không đưa lời khuyên đầu tư.</w:t>
            </w:r>
          </w:p>
        </w:tc>
      </w:tr>
      <w:tr>
        <w:tc>
          <w:tcPr>
            <w:tcW w:type="dxa" w:w="22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Vận trình năm</w:t>
            </w:r>
          </w:p>
        </w:tc>
        <w:tc>
          <w:tcPr>
            <w:tcW w:type="dxa" w:w="31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Muốn chuẩn bị trước nhưng dễ hiểu thành dự báo chắc chắn.</w:t>
            </w:r>
          </w:p>
        </w:tc>
        <w:tc>
          <w:tcPr>
            <w:tcW w:type="dxa" w:w="40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Cửa sổ thời gian, dấu hiệu, checklist chuẩn bị và mức độ tin cậy.</w:t>
            </w:r>
          </w:p>
        </w:tc>
      </w:tr>
    </w:tbl>
    <w:p>
      <w:pPr>
        <w:spacing w:after="40"/>
      </w:pPr>
    </w:p>
    <w:p>
      <w:pPr>
        <w:pStyle w:val="Heading2"/>
      </w:pPr>
      <w:r>
        <w:t>2.2 Những gì đã có bằng chứng</w:t>
      </w:r>
    </w:p>
    <w:p>
      <w:pPr>
        <w:numPr>
          <w:ilvl w:val="0"/>
          <w:numId w:val="10"/>
        </w:numPr>
      </w:pPr>
      <w:r>
        <w:rPr>
          <w:rFonts w:ascii="DejaVu Sans" w:hAnsi="DejaVu Sans" w:eastAsia="DejaVu Sans"/>
          <w:b/>
          <w:color w:val="14263D"/>
          <w:sz w:val="20"/>
        </w:rPr>
        <w:t xml:space="preserve">Method-first acquisition: </w:t>
      </w:r>
      <w:r>
        <w:rPr>
          <w:rFonts w:ascii="DejaVu Sans" w:hAnsi="DejaVu Sans" w:eastAsia="DejaVu Sans"/>
          <w:color w:val="263445"/>
          <w:sz w:val="20"/>
        </w:rPr>
        <w:t>demand tập trung ở “tử vi”, “lá số tử vi”, “bát tự”, “bản đồ sao”, “kinh dịch”; landing/SEO phải gọi đúng tên phương pháp.</w:t>
      </w:r>
    </w:p>
    <w:p>
      <w:pPr>
        <w:numPr>
          <w:ilvl w:val="0"/>
          <w:numId w:val="10"/>
        </w:numPr>
      </w:pPr>
      <w:r>
        <w:rPr>
          <w:rFonts w:ascii="DejaVu Sans" w:hAnsi="DejaVu Sans" w:eastAsia="DejaVu Sans"/>
          <w:b/>
          <w:color w:val="14263D"/>
          <w:sz w:val="20"/>
        </w:rPr>
        <w:t xml:space="preserve">Evidence-first conversion: </w:t>
      </w:r>
      <w:r>
        <w:rPr>
          <w:rFonts w:ascii="DejaVu Sans" w:hAnsi="DejaVu Sans" w:eastAsia="DejaVu Sans"/>
          <w:color w:val="263445"/>
          <w:sz w:val="20"/>
        </w:rPr>
        <w:t>người dùng cần thấy chart, sample, phương pháp và giá trị trước khi mua chiều sâu.</w:t>
      </w:r>
    </w:p>
    <w:p>
      <w:pPr>
        <w:numPr>
          <w:ilvl w:val="0"/>
          <w:numId w:val="10"/>
        </w:numPr>
      </w:pPr>
      <w:r>
        <w:rPr>
          <w:rFonts w:ascii="DejaVu Sans" w:hAnsi="DejaVu Sans" w:eastAsia="DejaVu Sans"/>
          <w:b/>
          <w:color w:val="14263D"/>
          <w:sz w:val="20"/>
        </w:rPr>
        <w:t xml:space="preserve">Trust là biến số kinh doanh: </w:t>
      </w:r>
      <w:r>
        <w:rPr>
          <w:rFonts w:ascii="DejaVu Sans" w:hAnsi="DejaVu Sans" w:eastAsia="DejaVu Sans"/>
          <w:color w:val="263445"/>
          <w:sz w:val="20"/>
        </w:rPr>
        <w:t>nghiên cứu trên người mua online tại Việt Nam cho thấy website quality, service quality, information security và reference groups liên quan đáng kể đến trust; trust liên hệ mạnh với quyết định mua [S5].</w:t>
      </w:r>
    </w:p>
    <w:p>
      <w:pPr>
        <w:numPr>
          <w:ilvl w:val="0"/>
          <w:numId w:val="10"/>
        </w:numPr>
      </w:pPr>
      <w:r>
        <w:rPr>
          <w:rFonts w:ascii="DejaVu Sans" w:hAnsi="DejaVu Sans" w:eastAsia="DejaVu Sans"/>
          <w:b/>
          <w:color w:val="14263D"/>
          <w:sz w:val="20"/>
        </w:rPr>
        <w:t xml:space="preserve">Bối cảnh chống lừa đảo là thật: </w:t>
      </w:r>
      <w:r>
        <w:rPr>
          <w:rFonts w:ascii="DejaVu Sans" w:hAnsi="DejaVu Sans" w:eastAsia="DejaVu Sans"/>
          <w:color w:val="263445"/>
          <w:sz w:val="20"/>
        </w:rPr>
        <w:t>Bộ Công an ghi nhận hơn 6.000 vụ việc lừa đảo trực tuyến năm 2024, thiệt hại hơn 12.000 tỷ đồng [S6].</w:t>
      </w:r>
    </w:p>
    <w:p>
      <w:pPr>
        <w:numPr>
          <w:ilvl w:val="0"/>
          <w:numId w:val="10"/>
        </w:numPr>
      </w:pPr>
      <w:r>
        <w:rPr>
          <w:rFonts w:ascii="DejaVu Sans" w:hAnsi="DejaVu Sans" w:eastAsia="DejaVu Sans"/>
          <w:b/>
          <w:color w:val="14263D"/>
          <w:sz w:val="20"/>
        </w:rPr>
        <w:t xml:space="preserve">Thanh toán số đã phổ biến nhưng an toàn vẫn quan trọng: </w:t>
      </w:r>
      <w:r>
        <w:rPr>
          <w:rFonts w:ascii="DejaVu Sans" w:hAnsi="DejaVu Sans" w:eastAsia="DejaVu Sans"/>
          <w:color w:val="263445"/>
          <w:sz w:val="20"/>
        </w:rPr>
        <w:t>NAPAS ghi nhận tăng trưởng mạnh của VietQR trong 2025, đồng thời nhấn mạnh fraud prevention và bảo mật [S7].</w:t>
      </w:r>
    </w:p>
    <w:p>
      <w:pPr>
        <w:numPr>
          <w:ilvl w:val="0"/>
          <w:numId w:val="10"/>
        </w:numPr>
      </w:pPr>
      <w:r>
        <w:rPr>
          <w:rFonts w:ascii="DejaVu Sans" w:hAnsi="DejaVu Sans" w:eastAsia="DejaVu Sans"/>
          <w:b/>
          <w:color w:val="14263D"/>
          <w:sz w:val="20"/>
        </w:rPr>
        <w:t xml:space="preserve">Niềm tin Tử Vi có hệ quả xã hội: </w:t>
      </w:r>
      <w:r>
        <w:rPr>
          <w:rFonts w:ascii="DejaVu Sans" w:hAnsi="DejaVu Sans" w:eastAsia="DejaVu Sans"/>
          <w:color w:val="263445"/>
          <w:sz w:val="20"/>
        </w:rPr>
        <w:t>nghiên cứu CESifo về matching hôn nhân tại Việt Nam cho thấy tính “cát” theo Tử Vi liên quan đến lựa chọn và hỗ trợ từ gia đình; đây là bằng chứng rằng sản phẩm cần trách nhiệm cao, không phải bằng chứng mọi người Việt đều tin [S4].</w:t>
      </w:r>
    </w:p>
    <w:p>
      <w:pPr>
        <w:pStyle w:val="Heading2"/>
      </w:pPr>
      <w:r>
        <w:t>2.3 Những gì chỉ là giả thuyết</w:t>
      </w:r>
    </w:p>
    <w:p>
      <w:pPr>
        <w:numPr>
          <w:ilvl w:val="0"/>
          <w:numId w:val="10"/>
        </w:numPr>
      </w:pPr>
      <w:r>
        <w:rPr>
          <w:rFonts w:ascii="DejaVu Sans" w:hAnsi="DejaVu Sans" w:eastAsia="DejaVu Sans"/>
          <w:color w:val="263445"/>
          <w:sz w:val="20"/>
        </w:rPr>
        <w:t>Người dùng Việt ưu tiên authority cue, gia đình, thể diện hoặc cộng đồng ở mức nào trong trải nghiệm tử vi online.</w:t>
      </w:r>
    </w:p>
    <w:p>
      <w:pPr>
        <w:numPr>
          <w:ilvl w:val="0"/>
          <w:numId w:val="10"/>
        </w:numPr>
      </w:pPr>
      <w:r>
        <w:rPr>
          <w:rFonts w:ascii="DejaVu Sans" w:hAnsi="DejaVu Sans" w:eastAsia="DejaVu Sans"/>
          <w:color w:val="263445"/>
          <w:sz w:val="20"/>
        </w:rPr>
        <w:t>Người trẻ xem để giải trí còn người lớn tuổi xem để quyết định; nữ giới tin hoặc trả tiền nhiều hơn nam giới.</w:t>
      </w:r>
    </w:p>
    <w:p>
      <w:pPr>
        <w:numPr>
          <w:ilvl w:val="0"/>
          <w:numId w:val="10"/>
        </w:numPr>
      </w:pPr>
      <w:r>
        <w:rPr>
          <w:rFonts w:ascii="DejaVu Sans" w:hAnsi="DejaVu Sans" w:eastAsia="DejaVu Sans"/>
          <w:color w:val="263445"/>
          <w:sz w:val="20"/>
        </w:rPr>
        <w:t>Serif, giấy ngà hoặc màu son tự động làm tăng trust; giọng “thầy” phù hợp với mọi vùng miền.</w:t>
      </w:r>
    </w:p>
    <w:p>
      <w:pPr>
        <w:numPr>
          <w:ilvl w:val="0"/>
          <w:numId w:val="10"/>
        </w:numPr>
      </w:pPr>
      <w:r>
        <w:rPr>
          <w:rFonts w:ascii="DejaVu Sans" w:hAnsi="DejaVu Sans" w:eastAsia="DejaVu Sans"/>
          <w:color w:val="263445"/>
          <w:sz w:val="20"/>
        </w:rPr>
        <w:t>Người dùng muốn báo cáo dài hơn thay vì bản tóm tắt hành động; họ hiểu “có xu hướng” khác “sẽ xảy ra”.</w:t>
      </w:r>
    </w:p>
    <w:p>
      <w:pPr>
        <w:spacing w:before="80" w:after="180"/>
        <w:ind w:left="202" w:right="115"/>
        <w:shd w:fill="EEE5D6"/>
        <w:pBdr>
          <w:left w:val="single" w:sz="18" w:space="8" w:color="8A5A12"/>
        </w:pBdr>
      </w:pPr>
      <w:r>
        <w:rPr>
          <w:rFonts w:ascii="DejaVu Sans" w:hAnsi="DejaVu Sans" w:eastAsia="DejaVu Sans"/>
          <w:b/>
          <w:color w:val="8A5A12"/>
          <w:sz w:val="18"/>
        </w:rPr>
        <w:t xml:space="preserve">NGUYÊN TẮC RESEARCH  </w:t>
      </w:r>
      <w:r>
        <w:rPr>
          <w:rFonts w:ascii="DejaVu Sans" w:hAnsi="DejaVu Sans" w:eastAsia="DejaVu Sans"/>
          <w:color w:val="14263D"/>
          <w:sz w:val="20"/>
        </w:rPr>
        <w:t>Không tìm thấy khảo sát đại diện đáng tin về hành vi dùng tử vi online tại Việt Nam. Mọi nhận định văn hóa chưa có dữ liệu phải gắn nhãn “hypothesis” và được kiểm chứng bằng phỏng vấn, usability test hoặc traffic thật.</w:t>
      </w:r>
    </w:p>
    <w:p>
      <w:pPr>
        <w:pStyle w:val="Heading2"/>
      </w:pPr>
      <w:r>
        <w:t>2.4 Behavioral risks cần thiết kế chủ động</w:t>
      </w:r>
    </w:p>
    <w:tbl>
      <w:tblPr>
        <w:tblStyle w:val="TableGrid"/>
        <w:tblW w:type="dxa" w:w="9360"/>
        <w:jc w:val="left"/>
        <w:tblLayout w:type="fixed"/>
        <w:tblLook w:firstColumn="1" w:firstRow="1" w:lastColumn="0" w:lastRow="0" w:noHBand="0" w:noVBand="1" w:val="04A0"/>
        <w:tblInd w:w="120" w:type="dxa"/>
      </w:tblPr>
      <w:tblGrid>
        <w:gridCol w:w="1750"/>
        <w:gridCol w:w="3200"/>
        <w:gridCol w:w="4410"/>
      </w:tblGrid>
      <w:tr>
        <w:trPr>
          <w:tblHeader w:val="true"/>
        </w:trPr>
        <w:tc>
          <w:tcPr>
            <w:tcW w:type="dxa" w:w="1750"/>
            <w:shd w:fill="14263D"/>
            <w:tcMar>
              <w:top w:w="100" w:type="dxa"/>
              <w:start w:w="120" w:type="dxa"/>
              <w:bottom w:w="100" w:type="dxa"/>
              <w:end w:w="120" w:type="dxa"/>
            </w:tcMar>
            <w:vAlign w:val="center"/>
          </w:tcPr>
          <w:p>
            <w:pPr>
              <w:spacing w:after="0"/>
            </w:pPr>
            <w:r>
              <w:rPr>
                <w:rFonts w:ascii="DejaVu Sans" w:hAnsi="DejaVu Sans" w:eastAsia="DejaVu Sans"/>
                <w:b/>
                <w:color w:val="FFFFFF"/>
                <w:sz w:val="17"/>
              </w:rPr>
              <w:t>Cơ chế</w:t>
            </w:r>
          </w:p>
        </w:tc>
        <w:tc>
          <w:tcPr>
            <w:tcW w:type="dxa" w:w="3200"/>
            <w:shd w:fill="14263D"/>
            <w:tcMar>
              <w:top w:w="100" w:type="dxa"/>
              <w:start w:w="120" w:type="dxa"/>
              <w:bottom w:w="100" w:type="dxa"/>
              <w:end w:w="120" w:type="dxa"/>
            </w:tcMar>
            <w:vAlign w:val="center"/>
          </w:tcPr>
          <w:p>
            <w:pPr>
              <w:spacing w:after="0"/>
            </w:pPr>
            <w:r>
              <w:rPr>
                <w:rFonts w:ascii="DejaVu Sans" w:hAnsi="DejaVu Sans" w:eastAsia="DejaVu Sans"/>
                <w:b/>
                <w:color w:val="FFFFFF"/>
                <w:sz w:val="17"/>
              </w:rPr>
              <w:t>Rủi ro</w:t>
            </w:r>
          </w:p>
        </w:tc>
        <w:tc>
          <w:tcPr>
            <w:tcW w:type="dxa" w:w="4410"/>
            <w:shd w:fill="14263D"/>
            <w:tcMar>
              <w:top w:w="100" w:type="dxa"/>
              <w:start w:w="120" w:type="dxa"/>
              <w:bottom w:w="100" w:type="dxa"/>
              <w:end w:w="120" w:type="dxa"/>
            </w:tcMar>
            <w:vAlign w:val="center"/>
          </w:tcPr>
          <w:p>
            <w:pPr>
              <w:spacing w:after="0"/>
            </w:pPr>
            <w:r>
              <w:rPr>
                <w:rFonts w:ascii="DejaVu Sans" w:hAnsi="DejaVu Sans" w:eastAsia="DejaVu Sans"/>
                <w:b/>
                <w:color w:val="FFFFFF"/>
                <w:sz w:val="17"/>
              </w:rPr>
              <w:t>Quy tắc UX</w:t>
            </w:r>
          </w:p>
        </w:tc>
      </w:tr>
      <w:tr>
        <w:tc>
          <w:tcPr>
            <w:tcW w:type="dxa" w:w="175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Barnum / personal validation</w:t>
            </w:r>
          </w:p>
        </w:tc>
        <w:tc>
          <w:tcPr>
            <w:tcW w:type="dxa" w:w="32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Câu chung chung được cảm nhận là “rất đúng với tôi”.</w:t>
            </w:r>
          </w:p>
        </w:tc>
        <w:tc>
          <w:tcPr>
            <w:tcW w:type="dxa" w:w="441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Mỗi insight gắn evidence; nêu điều kiện, giới hạn và “khi nào có thể không đúng”; cho phản hồi Đúng/Một phần/Không đúng [S8].</w:t>
            </w:r>
          </w:p>
        </w:tc>
      </w:tr>
      <w:tr>
        <w:tc>
          <w:tcPr>
            <w:tcW w:type="dxa" w:w="175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Thiếu kiểm soát</w:t>
            </w:r>
          </w:p>
        </w:tc>
        <w:tc>
          <w:tcPr>
            <w:tcW w:type="dxa" w:w="32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Bất định làm tăng xu hướng nhìn thấy pattern và tìm thẩm quyền.</w:t>
            </w:r>
          </w:p>
        </w:tc>
        <w:tc>
          <w:tcPr>
            <w:tcW w:type="dxa" w:w="441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Trả lại agency: điều có thể quan sát, câu hỏi phản tư, hành động nhỏ; không fear upsell.</w:t>
            </w:r>
          </w:p>
        </w:tc>
      </w:tr>
      <w:tr>
        <w:tc>
          <w:tcPr>
            <w:tcW w:type="dxa" w:w="175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Confirmation bias</w:t>
            </w:r>
          </w:p>
        </w:tc>
        <w:tc>
          <w:tcPr>
            <w:tcW w:type="dxa" w:w="32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Nhớ phần khớp, bỏ qua phần không khớp.</w:t>
            </w:r>
          </w:p>
        </w:tc>
        <w:tc>
          <w:tcPr>
            <w:tcW w:type="dxa" w:w="441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Cân bằng hỗ trợ/căng thẳng; gợi ý phản chứng; không biến mọi phản hồi thành “lá số vẫn đúng”.</w:t>
            </w:r>
          </w:p>
        </w:tc>
      </w:tr>
      <w:tr>
        <w:tc>
          <w:tcPr>
            <w:tcW w:type="dxa" w:w="175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Authority bias</w:t>
            </w:r>
          </w:p>
        </w:tc>
        <w:tc>
          <w:tcPr>
            <w:tcW w:type="dxa" w:w="32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Tin danh xưng, huy hiệu, “chuyên gia” không có thật.</w:t>
            </w:r>
          </w:p>
        </w:tc>
        <w:tc>
          <w:tcPr>
            <w:tcW w:type="dxa" w:w="441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Chỉ dùng người thật, vai trò thật, phương pháp thật; tách engine, rule, AI và review.</w:t>
            </w:r>
          </w:p>
        </w:tc>
      </w:tr>
      <w:tr>
        <w:tc>
          <w:tcPr>
            <w:tcW w:type="dxa" w:w="175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Default effect</w:t>
            </w:r>
          </w:p>
        </w:tc>
        <w:tc>
          <w:tcPr>
            <w:tcW w:type="dxa" w:w="32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Mặc định lưu/chia sẻ/marketing gây xâm phạm.</w:t>
            </w:r>
          </w:p>
        </w:tc>
        <w:tc>
          <w:tcPr>
            <w:tcW w:type="dxa" w:w="441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Private by default; marketing/AI training/third-party sharing opt-in riêng.</w:t>
            </w:r>
          </w:p>
        </w:tc>
      </w:tr>
    </w:tbl>
    <w:p>
      <w:pPr>
        <w:spacing w:after="40"/>
      </w:pPr>
    </w:p>
    <w:p>
      <w:pPr>
        <w:pStyle w:val="Heading2"/>
      </w:pPr>
      <w:r>
        <w:t>2.5 Pain-point map</w:t>
      </w:r>
    </w:p>
    <w:p>
      <w:pPr>
        <w:numPr>
          <w:ilvl w:val="0"/>
          <w:numId w:val="10"/>
        </w:numPr>
      </w:pPr>
      <w:r>
        <w:rPr>
          <w:rFonts w:ascii="DejaVu Sans" w:hAnsi="DejaVu Sans" w:eastAsia="DejaVu Sans"/>
          <w:b/>
          <w:color w:val="14263D"/>
          <w:sz w:val="20"/>
        </w:rPr>
        <w:t xml:space="preserve">“Có thật sự tính theo dữ liệu của tôi?” </w:t>
      </w:r>
      <w:r>
        <w:rPr>
          <w:rFonts w:ascii="DejaVu Sans" w:hAnsi="DejaVu Sans" w:eastAsia="DejaVu Sans"/>
          <w:color w:val="263445"/>
          <w:sz w:val="20"/>
        </w:rPr>
        <w:t>Hiển thị input, timezone, phương pháp, engine version và evidence.</w:t>
      </w:r>
    </w:p>
    <w:p>
      <w:pPr>
        <w:numPr>
          <w:ilvl w:val="0"/>
          <w:numId w:val="10"/>
        </w:numPr>
      </w:pPr>
      <w:r>
        <w:rPr>
          <w:rFonts w:ascii="DejaVu Sans" w:hAnsi="DejaVu Sans" w:eastAsia="DejaVu Sans"/>
          <w:b/>
          <w:color w:val="14263D"/>
          <w:sz w:val="20"/>
        </w:rPr>
        <w:t xml:space="preserve">“Tôi không biết chính xác giờ sinh.” </w:t>
      </w:r>
      <w:r>
        <w:rPr>
          <w:rFonts w:ascii="DejaVu Sans" w:hAnsi="DejaVu Sans" w:eastAsia="DejaVu Sans"/>
          <w:color w:val="263445"/>
          <w:sz w:val="20"/>
        </w:rPr>
        <w:t>Có lựa chọn “Không rõ giờ sinh”; không ép đoán; giải thích phần bị ảnh hưởng.</w:t>
      </w:r>
    </w:p>
    <w:p>
      <w:pPr>
        <w:numPr>
          <w:ilvl w:val="0"/>
          <w:numId w:val="10"/>
        </w:numPr>
      </w:pPr>
      <w:r>
        <w:rPr>
          <w:rFonts w:ascii="DejaVu Sans" w:hAnsi="DejaVu Sans" w:eastAsia="DejaVu Sans"/>
          <w:b/>
          <w:color w:val="14263D"/>
          <w:sz w:val="20"/>
        </w:rPr>
        <w:t xml:space="preserve">“Tôi sợ bị phán xấu.” </w:t>
      </w:r>
      <w:r>
        <w:rPr>
          <w:rFonts w:ascii="DejaVu Sans" w:hAnsi="DejaVu Sans" w:eastAsia="DejaVu Sans"/>
          <w:color w:val="263445"/>
          <w:sz w:val="20"/>
        </w:rPr>
        <w:t>Không dùng đỏ = xấu; diễn giải xác suất, trung tính, có điều trong vùng kiểm soát.</w:t>
      </w:r>
    </w:p>
    <w:p>
      <w:pPr>
        <w:numPr>
          <w:ilvl w:val="0"/>
          <w:numId w:val="10"/>
        </w:numPr>
      </w:pPr>
      <w:r>
        <w:rPr>
          <w:rFonts w:ascii="DejaVu Sans" w:hAnsi="DejaVu Sans" w:eastAsia="DejaVu Sans"/>
          <w:b/>
          <w:color w:val="14263D"/>
          <w:sz w:val="20"/>
        </w:rPr>
        <w:t xml:space="preserve">“Thuật ngữ quá khó.” </w:t>
      </w:r>
      <w:r>
        <w:rPr>
          <w:rFonts w:ascii="DejaVu Sans" w:hAnsi="DejaVu Sans" w:eastAsia="DejaVu Sans"/>
          <w:color w:val="263445"/>
          <w:sz w:val="20"/>
        </w:rPr>
        <w:t>Hai tầng: ngôn ngữ đời thường trước, thuật ngữ và giải thích sau.</w:t>
      </w:r>
    </w:p>
    <w:p>
      <w:pPr>
        <w:numPr>
          <w:ilvl w:val="0"/>
          <w:numId w:val="10"/>
        </w:numPr>
      </w:pPr>
      <w:r>
        <w:rPr>
          <w:rFonts w:ascii="DejaVu Sans" w:hAnsi="DejaVu Sans" w:eastAsia="DejaVu Sans"/>
          <w:b/>
          <w:color w:val="14263D"/>
          <w:sz w:val="20"/>
        </w:rPr>
        <w:t xml:space="preserve">“Tôi không biết mình sẽ nhận gì sau khi trả tiền.” </w:t>
      </w:r>
      <w:r>
        <w:rPr>
          <w:rFonts w:ascii="DejaVu Sans" w:hAnsi="DejaVu Sans" w:eastAsia="DejaVu Sans"/>
          <w:color w:val="263445"/>
          <w:sz w:val="20"/>
        </w:rPr>
        <w:t>Sample thật, mục lục, độ dài, thời gian, giá cuối, mua một lần/không auto-renew và chính sách tạo lại.</w:t>
      </w:r>
    </w:p>
    <w:p>
      <w:pPr>
        <w:numPr>
          <w:ilvl w:val="0"/>
          <w:numId w:val="10"/>
        </w:numPr>
      </w:pPr>
      <w:r>
        <w:rPr>
          <w:rFonts w:ascii="DejaVu Sans" w:hAnsi="DejaVu Sans" w:eastAsia="DejaVu Sans"/>
          <w:b/>
          <w:color w:val="14263D"/>
          <w:sz w:val="20"/>
        </w:rPr>
        <w:t xml:space="preserve">“Tôi ngại lộ ngày giờ nơi sinh.” </w:t>
      </w:r>
      <w:r>
        <w:rPr>
          <w:rFonts w:ascii="DejaVu Sans" w:hAnsi="DejaVu Sans" w:eastAsia="DejaVu Sans"/>
          <w:color w:val="263445"/>
          <w:sz w:val="20"/>
        </w:rPr>
        <w:t>Giải thích mục đích, thời hạn lưu, quyền xóa; share card ẩn dữ liệu mặc định.</w:t>
      </w:r>
    </w:p>
    <w:p>
      <w:pPr>
        <w:pStyle w:val="Heading1"/>
      </w:pPr>
      <w:r>
        <w:t>03. Mood, personality &amp; creative concept</w:t>
      </w:r>
    </w:p>
    <w:p>
      <w:pPr>
        <w:pStyle w:val="Heading2"/>
      </w:pPr>
      <w:r>
        <w:t>3.1 Creative North Star</w:t>
      </w:r>
    </w:p>
    <w:p>
      <w:pPr>
        <w:pStyle w:val="Lead"/>
      </w:pPr>
      <w:r>
        <w:t>Thư viện tri thức Việt đương đại — với một bàn đọc riêng tư dành cho từng người.</w:t>
      </w:r>
    </w:p>
    <w:p>
      <w:pPr>
        <w:keepLines w:val="0"/>
      </w:pPr>
      <w:r>
        <w:rPr>
          <w:rFonts w:ascii="DejaVu Sans" w:hAnsi="DejaVu Sans" w:eastAsia="DejaVu Sans"/>
          <w:i w:val="0"/>
          <w:color w:val="263445"/>
          <w:sz w:val="20"/>
        </w:rPr>
        <w:t>“Thư viện” tạo cảm giác có phương pháp và nguồn gốc. “Đương đại” loại bỏ hình ảnh tiệm bói online. “Bàn đọc riêng tư” bổ sung sự ấm áp, gần gũi và bảo mật mà một hệ tri thức quá nghiêm trang có thể thiếu.</w:t>
      </w:r>
    </w:p>
    <w:p>
      <w:pPr>
        <w:pStyle w:val="Heading2"/>
      </w:pPr>
      <w:r>
        <w:t>3.2 Mood &amp; tone</w:t>
      </w:r>
    </w:p>
    <w:tbl>
      <w:tblPr>
        <w:tblStyle w:val="TableGrid"/>
        <w:tblW w:type="dxa" w:w="9360"/>
        <w:jc w:val="left"/>
        <w:tblLayout w:type="fixed"/>
        <w:tblLook w:firstColumn="1" w:firstRow="1" w:lastColumn="0" w:lastRow="0" w:noHBand="0" w:noVBand="1" w:val="04A0"/>
        <w:tblInd w:w="120" w:type="dxa"/>
      </w:tblPr>
      <w:tblGrid>
        <w:gridCol w:w="1350"/>
        <w:gridCol w:w="4300"/>
        <w:gridCol w:w="3710"/>
      </w:tblGrid>
      <w:tr>
        <w:trPr>
          <w:tblHeader w:val="true"/>
        </w:trPr>
        <w:tc>
          <w:tcPr>
            <w:tcW w:type="dxa" w:w="1350"/>
            <w:shd w:fill="14263D"/>
            <w:tcMar>
              <w:top w:w="100" w:type="dxa"/>
              <w:start w:w="120" w:type="dxa"/>
              <w:bottom w:w="100" w:type="dxa"/>
              <w:end w:w="120" w:type="dxa"/>
            </w:tcMar>
            <w:vAlign w:val="center"/>
          </w:tcPr>
          <w:p>
            <w:pPr>
              <w:spacing w:after="0"/>
            </w:pPr>
            <w:r>
              <w:rPr>
                <w:rFonts w:ascii="DejaVu Sans" w:hAnsi="DejaVu Sans" w:eastAsia="DejaVu Sans"/>
                <w:b/>
                <w:color w:val="FFFFFF"/>
                <w:sz w:val="17"/>
              </w:rPr>
              <w:t>Trục</w:t>
            </w:r>
          </w:p>
        </w:tc>
        <w:tc>
          <w:tcPr>
            <w:tcW w:type="dxa" w:w="4300"/>
            <w:shd w:fill="14263D"/>
            <w:tcMar>
              <w:top w:w="100" w:type="dxa"/>
              <w:start w:w="120" w:type="dxa"/>
              <w:bottom w:w="100" w:type="dxa"/>
              <w:end w:w="120" w:type="dxa"/>
            </w:tcMar>
            <w:vAlign w:val="center"/>
          </w:tcPr>
          <w:p>
            <w:pPr>
              <w:spacing w:after="0"/>
            </w:pPr>
            <w:r>
              <w:rPr>
                <w:rFonts w:ascii="DejaVu Sans" w:hAnsi="DejaVu Sans" w:eastAsia="DejaVu Sans"/>
                <w:b/>
                <w:color w:val="FFFFFF"/>
                <w:sz w:val="17"/>
              </w:rPr>
              <w:t>Đích đến</w:t>
            </w:r>
          </w:p>
        </w:tc>
        <w:tc>
          <w:tcPr>
            <w:tcW w:type="dxa" w:w="3710"/>
            <w:shd w:fill="14263D"/>
            <w:tcMar>
              <w:top w:w="100" w:type="dxa"/>
              <w:start w:w="120" w:type="dxa"/>
              <w:bottom w:w="100" w:type="dxa"/>
              <w:end w:w="120" w:type="dxa"/>
            </w:tcMar>
            <w:vAlign w:val="center"/>
          </w:tcPr>
          <w:p>
            <w:pPr>
              <w:spacing w:after="0"/>
            </w:pPr>
            <w:r>
              <w:rPr>
                <w:rFonts w:ascii="DejaVu Sans" w:hAnsi="DejaVu Sans" w:eastAsia="DejaVu Sans"/>
                <w:b/>
                <w:color w:val="FFFFFF"/>
                <w:sz w:val="17"/>
              </w:rPr>
              <w:t>Không đi quá xa thành</w:t>
            </w:r>
          </w:p>
        </w:tc>
      </w:tr>
      <w:tr>
        <w:tc>
          <w:tcPr>
            <w:tcW w:type="dxa" w:w="135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Tĩnh</w:t>
            </w:r>
          </w:p>
        </w:tc>
        <w:tc>
          <w:tcPr>
            <w:tcW w:type="dxa" w:w="43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Không gây áp lực; nhịp đọc chậm vừa đủ.</w:t>
            </w:r>
          </w:p>
        </w:tc>
        <w:tc>
          <w:tcPr>
            <w:tcW w:type="dxa" w:w="371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Lạnh lùng, xa cách.</w:t>
            </w:r>
          </w:p>
        </w:tc>
      </w:tr>
      <w:tr>
        <w:tc>
          <w:tcPr>
            <w:tcW w:type="dxa" w:w="135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Sáng rõ</w:t>
            </w:r>
          </w:p>
        </w:tc>
        <w:tc>
          <w:tcPr>
            <w:tcW w:type="dxa" w:w="43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Phân cấp, chú giải, ngôn ngữ dễ hiểu.</w:t>
            </w:r>
          </w:p>
        </w:tc>
        <w:tc>
          <w:tcPr>
            <w:tcW w:type="dxa" w:w="371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Đơn giản hóa tới mức hời hợt.</w:t>
            </w:r>
          </w:p>
        </w:tc>
      </w:tr>
      <w:tr>
        <w:tc>
          <w:tcPr>
            <w:tcW w:type="dxa" w:w="135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Có chiều sâu</w:t>
            </w:r>
          </w:p>
        </w:tc>
        <w:tc>
          <w:tcPr>
            <w:tcW w:type="dxa" w:w="43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Tôn trọng phương pháp và văn hóa.</w:t>
            </w:r>
          </w:p>
        </w:tc>
        <w:tc>
          <w:tcPr>
            <w:tcW w:type="dxa" w:w="371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Cổ trang, giáo điều, thần bí hóa.</w:t>
            </w:r>
          </w:p>
        </w:tc>
      </w:tr>
      <w:tr>
        <w:tc>
          <w:tcPr>
            <w:tcW w:type="dxa" w:w="135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Ấm</w:t>
            </w:r>
          </w:p>
        </w:tc>
        <w:tc>
          <w:tcPr>
            <w:tcW w:type="dxa" w:w="43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Tôn trọng, không phán xét, gần người.</w:t>
            </w:r>
          </w:p>
        </w:tc>
        <w:tc>
          <w:tcPr>
            <w:tcW w:type="dxa" w:w="371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Sến, thân mật quá mức, meme hóa.</w:t>
            </w:r>
          </w:p>
        </w:tc>
      </w:tr>
      <w:tr>
        <w:tc>
          <w:tcPr>
            <w:tcW w:type="dxa" w:w="135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Có căn cứ</w:t>
            </w:r>
          </w:p>
        </w:tc>
        <w:tc>
          <w:tcPr>
            <w:tcW w:type="dxa" w:w="43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Cho thấy tại sao và giới hạn.</w:t>
            </w:r>
          </w:p>
        </w:tc>
        <w:tc>
          <w:tcPr>
            <w:tcW w:type="dxa" w:w="371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Khoa học giả, khoe kỹ thuật.</w:t>
            </w:r>
          </w:p>
        </w:tc>
      </w:tr>
    </w:tbl>
    <w:p>
      <w:pPr>
        <w:spacing w:after="40"/>
      </w:pPr>
    </w:p>
    <w:p>
      <w:pPr>
        <w:pStyle w:val="Heading2"/>
      </w:pPr>
      <w:r>
        <w:t>3.3 Brand archetype</w:t>
      </w:r>
    </w:p>
    <w:p>
      <w:pPr>
        <w:numPr>
          <w:ilvl w:val="0"/>
          <w:numId w:val="10"/>
        </w:numPr>
      </w:pPr>
      <w:r>
        <w:rPr>
          <w:rFonts w:ascii="DejaVu Sans" w:hAnsi="DejaVu Sans" w:eastAsia="DejaVu Sans"/>
          <w:b/>
          <w:color w:val="14263D"/>
          <w:sz w:val="20"/>
        </w:rPr>
        <w:t xml:space="preserve">60% Sage: </w:t>
      </w:r>
      <w:r>
        <w:rPr>
          <w:rFonts w:ascii="DejaVu Sans" w:hAnsi="DejaVu Sans" w:eastAsia="DejaVu Sans"/>
          <w:color w:val="263445"/>
          <w:sz w:val="20"/>
        </w:rPr>
        <w:t>giải thích được, có cấu trúc, ưu tiên sự thật và giới hạn.</w:t>
      </w:r>
    </w:p>
    <w:p>
      <w:pPr>
        <w:numPr>
          <w:ilvl w:val="0"/>
          <w:numId w:val="10"/>
        </w:numPr>
      </w:pPr>
      <w:r>
        <w:rPr>
          <w:rFonts w:ascii="DejaVu Sans" w:hAnsi="DejaVu Sans" w:eastAsia="DejaVu Sans"/>
          <w:b/>
          <w:color w:val="14263D"/>
          <w:sz w:val="20"/>
        </w:rPr>
        <w:t xml:space="preserve">25% Caregiver: </w:t>
      </w:r>
      <w:r>
        <w:rPr>
          <w:rFonts w:ascii="DejaVu Sans" w:hAnsi="DejaVu Sans" w:eastAsia="DejaVu Sans"/>
          <w:color w:val="263445"/>
          <w:sz w:val="20"/>
        </w:rPr>
        <w:t>bảo vệ người dùng dễ tổn thương, không phán xét, không làm tăng lo âu.</w:t>
      </w:r>
    </w:p>
    <w:p>
      <w:pPr>
        <w:numPr>
          <w:ilvl w:val="0"/>
          <w:numId w:val="10"/>
        </w:numPr>
      </w:pPr>
      <w:r>
        <w:rPr>
          <w:rFonts w:ascii="DejaVu Sans" w:hAnsi="DejaVu Sans" w:eastAsia="DejaVu Sans"/>
          <w:b/>
          <w:color w:val="14263D"/>
          <w:sz w:val="20"/>
        </w:rPr>
        <w:t xml:space="preserve">15% Explorer: </w:t>
      </w:r>
      <w:r>
        <w:rPr>
          <w:rFonts w:ascii="DejaVu Sans" w:hAnsi="DejaVu Sans" w:eastAsia="DejaVu Sans"/>
          <w:color w:val="263445"/>
          <w:sz w:val="20"/>
        </w:rPr>
        <w:t>mở thêm góc nhìn; không coi một hệ là chân lý duy nhất.</w:t>
      </w:r>
    </w:p>
    <w:p>
      <w:pPr>
        <w:numPr>
          <w:ilvl w:val="0"/>
          <w:numId w:val="10"/>
        </w:numPr>
      </w:pPr>
      <w:r>
        <w:rPr>
          <w:rFonts w:ascii="DejaVu Sans" w:hAnsi="DejaVu Sans" w:eastAsia="DejaVu Sans"/>
          <w:b/>
          <w:color w:val="14263D"/>
          <w:sz w:val="20"/>
        </w:rPr>
        <w:t xml:space="preserve">Không dùng Magician/Oracle làm chủ đạo: </w:t>
      </w:r>
      <w:r>
        <w:rPr>
          <w:rFonts w:ascii="DejaVu Sans" w:hAnsi="DejaVu Sans" w:eastAsia="DejaVu Sans"/>
          <w:color w:val="263445"/>
          <w:sz w:val="20"/>
        </w:rPr>
        <w:t>tránh xây uy quyền siêu nhiên và sự lệ thuộc.</w:t>
      </w:r>
    </w:p>
    <w:p>
      <w:pPr>
        <w:pStyle w:val="Heading2"/>
      </w:pPr>
      <w:r>
        <w:t>3.4 Ứng xử của thương hiệu</w:t>
      </w:r>
    </w:p>
    <w:p>
      <w:pPr>
        <w:numPr>
          <w:ilvl w:val="0"/>
          <w:numId w:val="10"/>
        </w:numPr>
      </w:pPr>
      <w:r>
        <w:rPr>
          <w:rFonts w:ascii="DejaVu Sans" w:hAnsi="DejaVu Sans" w:eastAsia="DejaVu Sans"/>
          <w:color w:val="263445"/>
          <w:sz w:val="20"/>
        </w:rPr>
        <w:t>Rõ trước, sâu sau.</w:t>
      </w:r>
    </w:p>
    <w:p>
      <w:pPr>
        <w:numPr>
          <w:ilvl w:val="0"/>
          <w:numId w:val="10"/>
        </w:numPr>
      </w:pPr>
      <w:r>
        <w:rPr>
          <w:rFonts w:ascii="DejaVu Sans" w:hAnsi="DejaVu Sans" w:eastAsia="DejaVu Sans"/>
          <w:color w:val="263445"/>
          <w:sz w:val="20"/>
        </w:rPr>
        <w:t>Căn cứ trước, kết luận sau.</w:t>
      </w:r>
    </w:p>
    <w:p>
      <w:pPr>
        <w:numPr>
          <w:ilvl w:val="0"/>
          <w:numId w:val="10"/>
        </w:numPr>
      </w:pPr>
      <w:r>
        <w:rPr>
          <w:rFonts w:ascii="DejaVu Sans" w:hAnsi="DejaVu Sans" w:eastAsia="DejaVu Sans"/>
          <w:color w:val="263445"/>
          <w:sz w:val="20"/>
        </w:rPr>
        <w:t>Khả năng trước, định mệnh không bao giờ.</w:t>
      </w:r>
    </w:p>
    <w:p>
      <w:pPr>
        <w:numPr>
          <w:ilvl w:val="0"/>
          <w:numId w:val="10"/>
        </w:numPr>
      </w:pPr>
      <w:r>
        <w:rPr>
          <w:rFonts w:ascii="DejaVu Sans" w:hAnsi="DejaVu Sans" w:eastAsia="DejaVu Sans"/>
          <w:color w:val="263445"/>
          <w:sz w:val="20"/>
        </w:rPr>
        <w:t>Một điểm son có chủ ý tốt hơn một màn hình đầy biểu tượng.</w:t>
      </w:r>
    </w:p>
    <w:p>
      <w:pPr>
        <w:numPr>
          <w:ilvl w:val="0"/>
          <w:numId w:val="10"/>
        </w:numPr>
      </w:pPr>
      <w:r>
        <w:rPr>
          <w:rFonts w:ascii="DejaVu Sans" w:hAnsi="DejaVu Sans" w:eastAsia="DejaVu Sans"/>
          <w:color w:val="263445"/>
          <w:sz w:val="20"/>
        </w:rPr>
        <w:t>Khi chưa đủ dữ liệu, nói “chưa đủ căn cứ” thay vì bù bằng văn phong mơ hồ.</w:t>
      </w:r>
    </w:p>
    <w:p>
      <w:pPr>
        <w:pStyle w:val="Heading2"/>
      </w:pPr>
      <w:r>
        <w:t>3.5 Hero line đã chốt và cách dùng an toàn</w:t>
      </w:r>
    </w:p>
    <w:p>
      <w:pPr>
        <w:spacing w:before="80" w:after="180"/>
        <w:ind w:left="202" w:right="115"/>
        <w:shd w:fill="F3DDD4"/>
        <w:pBdr>
          <w:left w:val="single" w:sz="18" w:space="8" w:color="A63D2F"/>
        </w:pBdr>
      </w:pPr>
      <w:r>
        <w:rPr>
          <w:rFonts w:ascii="DejaVu Sans" w:hAnsi="DejaVu Sans" w:eastAsia="DejaVu Sans"/>
          <w:b/>
          <w:color w:val="A63D2F"/>
          <w:sz w:val="18"/>
        </w:rPr>
        <w:t xml:space="preserve">CANONICAL HERO  </w:t>
      </w:r>
      <w:r>
        <w:rPr>
          <w:rFonts w:ascii="DejaVu Sans" w:hAnsi="DejaVu Sans" w:eastAsia="DejaVu Sans"/>
          <w:color w:val="14263D"/>
          <w:sz w:val="20"/>
        </w:rPr>
        <w:t>Lập lá số. Hiểu vận mệnh.</w:t>
      </w:r>
    </w:p>
    <w:p>
      <w:pPr>
        <w:keepLines w:val="0"/>
      </w:pPr>
      <w:r>
        <w:rPr>
          <w:rFonts w:ascii="DejaVu Sans" w:hAnsi="DejaVu Sans" w:eastAsia="DejaVu Sans"/>
          <w:i w:val="0"/>
          <w:color w:val="263445"/>
          <w:sz w:val="20"/>
        </w:rPr>
        <w:t>Giữ nguyên vì đây là quyết định đã chốt trong repo và có category clarity. Tuy nhiên “hiểu vận mệnh” phải luôn được giải nghĩa bằng supporting copy trao quyền, không được dùng như lời hứa biết trước tương lai.</w:t>
      </w:r>
    </w:p>
    <w:p>
      <w:pPr>
        <w:numPr>
          <w:ilvl w:val="0"/>
          <w:numId w:val="10"/>
        </w:numPr>
      </w:pPr>
      <w:r>
        <w:rPr>
          <w:rFonts w:ascii="DejaVu Sans" w:hAnsi="DejaVu Sans" w:eastAsia="DejaVu Sans"/>
          <w:b/>
          <w:color w:val="14263D"/>
          <w:sz w:val="20"/>
        </w:rPr>
        <w:t xml:space="preserve">Supporting line bắt buộc: </w:t>
      </w:r>
      <w:r>
        <w:rPr>
          <w:rFonts w:ascii="DejaVu Sans" w:hAnsi="DejaVu Sans" w:eastAsia="DejaVu Sans"/>
          <w:color w:val="263445"/>
          <w:sz w:val="20"/>
        </w:rPr>
        <w:t>“Một con người. Nhiều hệ quy chiếu. Một bản luận giải dễ hiểu.”</w:t>
      </w:r>
    </w:p>
    <w:p>
      <w:pPr>
        <w:numPr>
          <w:ilvl w:val="0"/>
          <w:numId w:val="10"/>
        </w:numPr>
      </w:pPr>
      <w:r>
        <w:rPr>
          <w:rFonts w:ascii="DejaVu Sans" w:hAnsi="DejaVu Sans" w:eastAsia="DejaVu Sans"/>
          <w:b/>
          <w:color w:val="14263D"/>
          <w:sz w:val="20"/>
        </w:rPr>
        <w:t xml:space="preserve">Subhead MVP: </w:t>
      </w:r>
      <w:r>
        <w:rPr>
          <w:rFonts w:ascii="DejaVu Sans" w:hAnsi="DejaVu Sans" w:eastAsia="DejaVu Sans"/>
          <w:color w:val="263445"/>
          <w:sz w:val="20"/>
        </w:rPr>
        <w:t>“Xem lá số Tử Vi miễn phí và khám phá những điểm nổi bật bằng lời giải thích rõ ràng, gắn với căn cứ trên chính lá số của bạn.”</w:t>
      </w:r>
    </w:p>
    <w:p>
      <w:pPr>
        <w:numPr>
          <w:ilvl w:val="0"/>
          <w:numId w:val="10"/>
        </w:numPr>
      </w:pPr>
      <w:r>
        <w:rPr>
          <w:rFonts w:ascii="DejaVu Sans" w:hAnsi="DejaVu Sans" w:eastAsia="DejaVu Sans"/>
          <w:b/>
          <w:color w:val="14263D"/>
          <w:sz w:val="20"/>
        </w:rPr>
        <w:t xml:space="preserve">Challenger để test, chưa thay canonical: </w:t>
      </w:r>
      <w:r>
        <w:rPr>
          <w:rFonts w:ascii="DejaVu Sans" w:hAnsi="DejaVu Sans" w:eastAsia="DejaVu Sans"/>
          <w:color w:val="263445"/>
          <w:sz w:val="20"/>
        </w:rPr>
        <w:t>“Lập lá số. Hiểu mình, rõ lựa chọn.”</w:t>
      </w:r>
    </w:p>
    <w:p>
      <w:pPr>
        <w:pStyle w:val="Heading1"/>
      </w:pPr>
      <w:r>
        <w:t>04. Tone of voice &amp; messaging system</w:t>
      </w:r>
    </w:p>
    <w:p>
      <w:pPr>
        <w:pStyle w:val="Heading2"/>
      </w:pPr>
      <w:r>
        <w:t>4.1 Voice principles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4263D"/>
            <w:tcMar>
              <w:top w:w="100" w:type="dxa"/>
              <w:start w:w="120" w:type="dxa"/>
              <w:bottom w:w="100" w:type="dxa"/>
              <w:end w:w="120" w:type="dxa"/>
            </w:tcMar>
            <w:vAlign w:val="center"/>
          </w:tcPr>
          <w:p>
            <w:pPr>
              <w:spacing w:after="0"/>
            </w:pPr>
            <w:r>
              <w:rPr>
                <w:rFonts w:ascii="DejaVu Sans" w:hAnsi="DejaVu Sans" w:eastAsia="DejaVu Sans"/>
                <w:b/>
                <w:color w:val="FFFFFF"/>
                <w:sz w:val="17"/>
              </w:rPr>
              <w:t>Nguyên tắc</w:t>
            </w:r>
          </w:p>
        </w:tc>
        <w:tc>
          <w:tcPr>
            <w:tcW w:type="dxa" w:w="7160"/>
            <w:shd w:fill="14263D"/>
            <w:tcMar>
              <w:top w:w="100" w:type="dxa"/>
              <w:start w:w="120" w:type="dxa"/>
              <w:bottom w:w="100" w:type="dxa"/>
              <w:end w:w="120" w:type="dxa"/>
            </w:tcMar>
            <w:vAlign w:val="center"/>
          </w:tcPr>
          <w:p>
            <w:pPr>
              <w:spacing w:after="0"/>
            </w:pPr>
            <w:r>
              <w:rPr>
                <w:rFonts w:ascii="DejaVu Sans" w:hAnsi="DejaVu Sans" w:eastAsia="DejaVu Sans"/>
                <w:b/>
                <w:color w:val="FFFFFF"/>
                <w:sz w:val="17"/>
              </w:rPr>
              <w:t>Cách thể hiện</w:t>
            </w:r>
          </w:p>
        </w:tc>
      </w:tr>
      <w:tr>
        <w:tc>
          <w:tcPr>
            <w:tcW w:type="dxa" w:w="2200"/>
            <w:shd w:fill="FFFDF7"/>
            <w:tcMar>
              <w:top w:w="100" w:type="dxa"/>
              <w:start w:w="120" w:type="dxa"/>
              <w:bottom w:w="100" w:type="dxa"/>
              <w:end w:w="120" w:type="dxa"/>
            </w:tcMar>
            <w:vAlign w:val="center"/>
          </w:tcPr>
          <w:p>
            <w:pPr>
              <w:spacing w:after="0" w:line="269" w:lineRule="auto"/>
            </w:pPr>
            <w:r>
              <w:rPr>
                <w:rFonts w:ascii="DejaVu Sans" w:hAnsi="DejaVu Sans" w:eastAsia="DejaVu Sans"/>
                <w:b/>
                <w:color w:val="263445"/>
                <w:sz w:val="17"/>
              </w:rPr>
              <w:t>Điềm tĩnh</w:t>
            </w:r>
          </w:p>
        </w:tc>
        <w:tc>
          <w:tcPr>
            <w:tcW w:type="dxa" w:w="71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Không kích động, không countdown, không dấu chấm than liên tục.</w:t>
            </w:r>
          </w:p>
        </w:tc>
      </w:tr>
      <w:tr>
        <w:tc>
          <w:tcPr>
            <w:tcW w:type="dxa" w:w="2200"/>
            <w:shd w:fill="FFFFFF"/>
            <w:tcMar>
              <w:top w:w="100" w:type="dxa"/>
              <w:start w:w="120" w:type="dxa"/>
              <w:bottom w:w="100" w:type="dxa"/>
              <w:end w:w="120" w:type="dxa"/>
            </w:tcMar>
            <w:vAlign w:val="center"/>
          </w:tcPr>
          <w:p>
            <w:pPr>
              <w:spacing w:after="0" w:line="269" w:lineRule="auto"/>
            </w:pPr>
            <w:r>
              <w:rPr>
                <w:rFonts w:ascii="DejaVu Sans" w:hAnsi="DejaVu Sans" w:eastAsia="DejaVu Sans"/>
                <w:b/>
                <w:color w:val="263445"/>
                <w:sz w:val="17"/>
              </w:rPr>
              <w:t>Rõ ràng</w:t>
            </w:r>
          </w:p>
        </w:tc>
        <w:tc>
          <w:tcPr>
            <w:tcW w:type="dxa" w:w="71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Câu ngắn; thuật ngữ được giải thích ngay tại điểm dùng.</w:t>
            </w:r>
          </w:p>
        </w:tc>
      </w:tr>
      <w:tr>
        <w:tc>
          <w:tcPr>
            <w:tcW w:type="dxa" w:w="2200"/>
            <w:shd w:fill="FFFDF7"/>
            <w:tcMar>
              <w:top w:w="100" w:type="dxa"/>
              <w:start w:w="120" w:type="dxa"/>
              <w:bottom w:w="100" w:type="dxa"/>
              <w:end w:w="120" w:type="dxa"/>
            </w:tcMar>
            <w:vAlign w:val="center"/>
          </w:tcPr>
          <w:p>
            <w:pPr>
              <w:spacing w:after="0" w:line="269" w:lineRule="auto"/>
            </w:pPr>
            <w:r>
              <w:rPr>
                <w:rFonts w:ascii="DejaVu Sans" w:hAnsi="DejaVu Sans" w:eastAsia="DejaVu Sans"/>
                <w:b/>
                <w:color w:val="263445"/>
                <w:sz w:val="17"/>
              </w:rPr>
              <w:t>Tôn trọng</w:t>
            </w:r>
          </w:p>
        </w:tc>
        <w:tc>
          <w:tcPr>
            <w:tcW w:type="dxa" w:w="71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Gọi “bạn”; không phán xét đạo đức, không đóng vai “thầy”.</w:t>
            </w:r>
          </w:p>
        </w:tc>
      </w:tr>
      <w:tr>
        <w:tc>
          <w:tcPr>
            <w:tcW w:type="dxa" w:w="2200"/>
            <w:shd w:fill="FFFFFF"/>
            <w:tcMar>
              <w:top w:w="100" w:type="dxa"/>
              <w:start w:w="120" w:type="dxa"/>
              <w:bottom w:w="100" w:type="dxa"/>
              <w:end w:w="120" w:type="dxa"/>
            </w:tcMar>
            <w:vAlign w:val="center"/>
          </w:tcPr>
          <w:p>
            <w:pPr>
              <w:spacing w:after="0" w:line="269" w:lineRule="auto"/>
            </w:pPr>
            <w:r>
              <w:rPr>
                <w:rFonts w:ascii="DejaVu Sans" w:hAnsi="DejaVu Sans" w:eastAsia="DejaVu Sans"/>
                <w:b/>
                <w:color w:val="263445"/>
                <w:sz w:val="17"/>
              </w:rPr>
              <w:t>Có điều kiện</w:t>
            </w:r>
          </w:p>
        </w:tc>
        <w:tc>
          <w:tcPr>
            <w:tcW w:type="dxa" w:w="71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Dùng “có xu hướng”, “có thể biểu hiện”, “trong khung phương pháp này”.</w:t>
            </w:r>
          </w:p>
        </w:tc>
      </w:tr>
      <w:tr>
        <w:tc>
          <w:tcPr>
            <w:tcW w:type="dxa" w:w="2200"/>
            <w:shd w:fill="FFFDF7"/>
            <w:tcMar>
              <w:top w:w="100" w:type="dxa"/>
              <w:start w:w="120" w:type="dxa"/>
              <w:bottom w:w="100" w:type="dxa"/>
              <w:end w:w="120" w:type="dxa"/>
            </w:tcMar>
            <w:vAlign w:val="center"/>
          </w:tcPr>
          <w:p>
            <w:pPr>
              <w:spacing w:after="0" w:line="269" w:lineRule="auto"/>
            </w:pPr>
            <w:r>
              <w:rPr>
                <w:rFonts w:ascii="DejaVu Sans" w:hAnsi="DejaVu Sans" w:eastAsia="DejaVu Sans"/>
                <w:b/>
                <w:color w:val="263445"/>
                <w:sz w:val="17"/>
              </w:rPr>
              <w:t>Trao quyền</w:t>
            </w:r>
          </w:p>
        </w:tc>
        <w:tc>
          <w:tcPr>
            <w:tcW w:type="dxa" w:w="71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Kết thúc bằng điều quan sát được, câu hỏi phản tư hoặc lựa chọn tiếp theo.</w:t>
            </w:r>
          </w:p>
        </w:tc>
      </w:tr>
      <w:tr>
        <w:tc>
          <w:tcPr>
            <w:tcW w:type="dxa" w:w="2200"/>
            <w:shd w:fill="FFFFFF"/>
            <w:tcMar>
              <w:top w:w="100" w:type="dxa"/>
              <w:start w:w="120" w:type="dxa"/>
              <w:bottom w:w="100" w:type="dxa"/>
              <w:end w:w="120" w:type="dxa"/>
            </w:tcMar>
            <w:vAlign w:val="center"/>
          </w:tcPr>
          <w:p>
            <w:pPr>
              <w:spacing w:after="0" w:line="269" w:lineRule="auto"/>
            </w:pPr>
            <w:r>
              <w:rPr>
                <w:rFonts w:ascii="DejaVu Sans" w:hAnsi="DejaVu Sans" w:eastAsia="DejaVu Sans"/>
                <w:b/>
                <w:color w:val="263445"/>
                <w:sz w:val="17"/>
              </w:rPr>
              <w:t>Thành thật</w:t>
            </w:r>
          </w:p>
        </w:tc>
        <w:tc>
          <w:tcPr>
            <w:tcW w:type="dxa" w:w="71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Nói rõ AI, dữ liệu, mức độ tin cậy, giới hạn và nội dung chưa đủ căn cứ.</w:t>
            </w:r>
          </w:p>
        </w:tc>
      </w:tr>
    </w:tbl>
    <w:p>
      <w:pPr>
        <w:spacing w:after="40"/>
      </w:pPr>
    </w:p>
    <w:p>
      <w:pPr>
        <w:pStyle w:val="Heading2"/>
      </w:pPr>
      <w:r>
        <w:t>4.2 Đại từ và thuật ngữ</w:t>
      </w:r>
    </w:p>
    <w:p>
      <w:pPr>
        <w:numPr>
          <w:ilvl w:val="0"/>
          <w:numId w:val="10"/>
        </w:numPr>
      </w:pPr>
      <w:r>
        <w:rPr>
          <w:rFonts w:ascii="DejaVu Sans" w:hAnsi="DejaVu Sans" w:eastAsia="DejaVu Sans"/>
          <w:color w:val="263445"/>
          <w:sz w:val="20"/>
        </w:rPr>
        <w:t>Dùng “bạn” trong sản phẩm và báo cáo; dùng “Lá Số Việt” hoặc “chúng tôi” ở methodology, policy và support.</w:t>
      </w:r>
    </w:p>
    <w:p>
      <w:pPr>
        <w:numPr>
          <w:ilvl w:val="0"/>
          <w:numId w:val="10"/>
        </w:numPr>
      </w:pPr>
      <w:r>
        <w:rPr>
          <w:rFonts w:ascii="DejaVu Sans" w:hAnsi="DejaVu Sans" w:eastAsia="DejaVu Sans"/>
          <w:color w:val="263445"/>
          <w:sz w:val="20"/>
        </w:rPr>
        <w:t>Không gọi người dùng là “con”, “mệnh chủ”, “đương số” trong UI phổ thông. Nếu thuật ngữ chuyên môn bắt buộc, giải thích ngay.</w:t>
      </w:r>
    </w:p>
    <w:p>
      <w:pPr>
        <w:numPr>
          <w:ilvl w:val="0"/>
          <w:numId w:val="10"/>
        </w:numPr>
      </w:pPr>
      <w:r>
        <w:rPr>
          <w:rFonts w:ascii="DejaVu Sans" w:hAnsi="DejaVu Sans" w:eastAsia="DejaVu Sans"/>
          <w:color w:val="263445"/>
          <w:sz w:val="20"/>
        </w:rPr>
        <w:t>Phân biệt: Lá số = cấu trúc tính toán; Tóm tắt = insight miễn phí; Bản luận giải = sản phẩm trả phí; Căn cứ = yếu tố/rule được sử dụng.</w:t>
      </w:r>
    </w:p>
    <w:p>
      <w:pPr>
        <w:numPr>
          <w:ilvl w:val="0"/>
          <w:numId w:val="10"/>
        </w:numPr>
      </w:pPr>
      <w:r>
        <w:rPr>
          <w:rFonts w:ascii="DejaVu Sans" w:hAnsi="DejaVu Sans" w:eastAsia="DejaVu Sans"/>
          <w:color w:val="263445"/>
          <w:sz w:val="20"/>
        </w:rPr>
        <w:t>Tên phương pháp viết: Tử Vi, Bát Tự, Kinh Dịch, Bản đồ sao. Brand luôn là Lá Số Việt; domain là lasoviet.vn.</w:t>
      </w:r>
    </w:p>
    <w:p>
      <w:pPr>
        <w:pStyle w:val="Heading2"/>
      </w:pPr>
      <w:r>
        <w:t>4.3 Lexicon</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14263D"/>
            <w:tcMar>
              <w:top w:w="100" w:type="dxa"/>
              <w:start w:w="120" w:type="dxa"/>
              <w:bottom w:w="100" w:type="dxa"/>
              <w:end w:w="120" w:type="dxa"/>
            </w:tcMar>
            <w:vAlign w:val="center"/>
          </w:tcPr>
          <w:p>
            <w:pPr>
              <w:spacing w:after="0"/>
            </w:pPr>
            <w:r>
              <w:rPr>
                <w:rFonts w:ascii="DejaVu Sans" w:hAnsi="DejaVu Sans" w:eastAsia="DejaVu Sans"/>
                <w:b/>
                <w:color w:val="FFFFFF"/>
                <w:sz w:val="18"/>
              </w:rPr>
              <w:t>Nên dùng</w:t>
            </w:r>
          </w:p>
        </w:tc>
        <w:tc>
          <w:tcPr>
            <w:tcW w:type="dxa" w:w="4680"/>
            <w:shd w:fill="14263D"/>
            <w:tcMar>
              <w:top w:w="100" w:type="dxa"/>
              <w:start w:w="120" w:type="dxa"/>
              <w:bottom w:w="100" w:type="dxa"/>
              <w:end w:w="120" w:type="dxa"/>
            </w:tcMar>
            <w:vAlign w:val="center"/>
          </w:tcPr>
          <w:p>
            <w:pPr>
              <w:spacing w:after="0"/>
            </w:pPr>
            <w:r>
              <w:rPr>
                <w:rFonts w:ascii="DejaVu Sans" w:hAnsi="DejaVu Sans" w:eastAsia="DejaVu Sans"/>
                <w:b/>
                <w:color w:val="FFFFFF"/>
                <w:sz w:val="18"/>
              </w:rPr>
              <w:t>Không dùng</w:t>
            </w:r>
          </w:p>
        </w:tc>
      </w:tr>
      <w:tr>
        <w:tc>
          <w:tcPr>
            <w:tcW w:type="dxa" w:w="468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có xu hướng / có thể biểu hiện</w:t>
            </w:r>
          </w:p>
        </w:tc>
        <w:tc>
          <w:tcPr>
            <w:tcW w:type="dxa" w:w="468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chắc chắn / định sẵn / không thể tránh</w:t>
            </w:r>
          </w:p>
        </w:tc>
      </w:tr>
      <w:tr>
        <w:tc>
          <w:tcPr>
            <w:tcW w:type="dxa" w:w="468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điểm đáng quan sát / căn cứ được sử dụng</w:t>
            </w:r>
          </w:p>
        </w:tc>
        <w:tc>
          <w:tcPr>
            <w:tcW w:type="dxa" w:w="468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đại họa / nghiệp / khắc chết</w:t>
            </w:r>
          </w:p>
        </w:tc>
      </w:tr>
      <w:tr>
        <w:tc>
          <w:tcPr>
            <w:tcW w:type="dxa" w:w="468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điều bạn có thể chủ động</w:t>
            </w:r>
          </w:p>
        </w:tc>
        <w:tc>
          <w:tcPr>
            <w:tcW w:type="dxa" w:w="468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mua ngay để hóa giải</w:t>
            </w:r>
          </w:p>
        </w:tc>
      </w:tr>
      <w:tr>
        <w:tc>
          <w:tcPr>
            <w:tcW w:type="dxa" w:w="468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mức độ tin cậy / giới hạn giờ sinh</w:t>
            </w:r>
          </w:p>
        </w:tc>
        <w:tc>
          <w:tcPr>
            <w:tcW w:type="dxa" w:w="468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chính xác 99% / AI tiên tri</w:t>
            </w:r>
          </w:p>
        </w:tc>
      </w:tr>
      <w:tr>
        <w:tc>
          <w:tcPr>
            <w:tcW w:type="dxa" w:w="468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bản luận giải / thanh toán một lần</w:t>
            </w:r>
          </w:p>
        </w:tc>
        <w:tc>
          <w:tcPr>
            <w:tcW w:type="dxa" w:w="468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8"/>
              </w:rPr>
              <w:t>gói Đại Cát / VIP Thiên Mệnh</w:t>
            </w:r>
          </w:p>
        </w:tc>
      </w:tr>
    </w:tbl>
    <w:p>
      <w:pPr>
        <w:spacing w:after="40"/>
      </w:pPr>
    </w:p>
    <w:p>
      <w:pPr>
        <w:pStyle w:val="Heading2"/>
      </w:pPr>
      <w:r>
        <w:t>4.4 Messaging hierarchy</w:t>
      </w:r>
    </w:p>
    <w:p>
      <w:pPr>
        <w:numPr>
          <w:ilvl w:val="0"/>
          <w:numId w:val="11"/>
        </w:numPr>
      </w:pPr>
      <w:r>
        <w:rPr>
          <w:rFonts w:ascii="DejaVu Sans" w:hAnsi="DejaVu Sans" w:eastAsia="DejaVu Sans"/>
          <w:color w:val="263445"/>
          <w:sz w:val="20"/>
        </w:rPr>
        <w:t>Utility — lập lá số đúng dữ liệu và phương pháp.</w:t>
      </w:r>
    </w:p>
    <w:p>
      <w:pPr>
        <w:numPr>
          <w:ilvl w:val="0"/>
          <w:numId w:val="11"/>
        </w:numPr>
      </w:pPr>
      <w:r>
        <w:rPr>
          <w:rFonts w:ascii="DejaVu Sans" w:hAnsi="DejaVu Sans" w:eastAsia="DejaVu Sans"/>
          <w:color w:val="263445"/>
          <w:sz w:val="20"/>
        </w:rPr>
        <w:t>Clarity — nhận lời giải thích tiếng Việt dễ đọc.</w:t>
      </w:r>
    </w:p>
    <w:p>
      <w:pPr>
        <w:numPr>
          <w:ilvl w:val="0"/>
          <w:numId w:val="11"/>
        </w:numPr>
      </w:pPr>
      <w:r>
        <w:rPr>
          <w:rFonts w:ascii="DejaVu Sans" w:hAnsi="DejaVu Sans" w:eastAsia="DejaVu Sans"/>
          <w:color w:val="263445"/>
          <w:sz w:val="20"/>
        </w:rPr>
        <w:t>Proof — biết vì sao nhận định xuất hiện.</w:t>
      </w:r>
    </w:p>
    <w:p>
      <w:pPr>
        <w:numPr>
          <w:ilvl w:val="0"/>
          <w:numId w:val="11"/>
        </w:numPr>
      </w:pPr>
      <w:r>
        <w:rPr>
          <w:rFonts w:ascii="DejaVu Sans" w:hAnsi="DejaVu Sans" w:eastAsia="DejaVu Sans"/>
          <w:color w:val="263445"/>
          <w:sz w:val="20"/>
        </w:rPr>
        <w:t>Agency — chuyển góc nhìn thành điều có thể quan sát hoặc hành động.</w:t>
      </w:r>
    </w:p>
    <w:p>
      <w:pPr>
        <w:numPr>
          <w:ilvl w:val="0"/>
          <w:numId w:val="11"/>
        </w:numPr>
      </w:pPr>
      <w:r>
        <w:rPr>
          <w:rFonts w:ascii="DejaVu Sans" w:hAnsi="DejaVu Sans" w:eastAsia="DejaVu Sans"/>
          <w:color w:val="263445"/>
          <w:sz w:val="20"/>
        </w:rPr>
        <w:t>Vision — một hồ sơ sinh, nhiều hệ quy chiếu; chỉ nói mạnh khi sản phẩm đã có thật.</w:t>
      </w:r>
    </w:p>
    <w:p>
      <w:pPr>
        <w:pStyle w:val="Heading2"/>
      </w:pPr>
      <w:r>
        <w:t>4.5 Homepage MVP copy system</w:t>
      </w:r>
    </w:p>
    <w:p>
      <w:pPr>
        <w:numPr>
          <w:ilvl w:val="0"/>
          <w:numId w:val="10"/>
        </w:numPr>
      </w:pPr>
      <w:r>
        <w:rPr>
          <w:rFonts w:ascii="DejaVu Sans" w:hAnsi="DejaVu Sans" w:eastAsia="DejaVu Sans"/>
          <w:b/>
          <w:color w:val="14263D"/>
          <w:sz w:val="20"/>
        </w:rPr>
        <w:t xml:space="preserve">Eyebrow: </w:t>
      </w:r>
      <w:r>
        <w:rPr>
          <w:rFonts w:ascii="DejaVu Sans" w:hAnsi="DejaVu Sans" w:eastAsia="DejaVu Sans"/>
          <w:color w:val="263445"/>
          <w:sz w:val="20"/>
        </w:rPr>
        <w:t>Nền tảng lập và luận giải Tử Vi</w:t>
      </w:r>
    </w:p>
    <w:p>
      <w:pPr>
        <w:numPr>
          <w:ilvl w:val="0"/>
          <w:numId w:val="10"/>
        </w:numPr>
      </w:pPr>
      <w:r>
        <w:rPr>
          <w:rFonts w:ascii="DejaVu Sans" w:hAnsi="DejaVu Sans" w:eastAsia="DejaVu Sans"/>
          <w:b/>
          <w:color w:val="14263D"/>
          <w:sz w:val="20"/>
        </w:rPr>
        <w:t xml:space="preserve">H1: </w:t>
      </w:r>
      <w:r>
        <w:rPr>
          <w:rFonts w:ascii="DejaVu Sans" w:hAnsi="DejaVu Sans" w:eastAsia="DejaVu Sans"/>
          <w:color w:val="263445"/>
          <w:sz w:val="20"/>
        </w:rPr>
        <w:t>Lập lá số. Hiểu vận mệnh.</w:t>
      </w:r>
    </w:p>
    <w:p>
      <w:pPr>
        <w:numPr>
          <w:ilvl w:val="0"/>
          <w:numId w:val="10"/>
        </w:numPr>
      </w:pPr>
      <w:r>
        <w:rPr>
          <w:rFonts w:ascii="DejaVu Sans" w:hAnsi="DejaVu Sans" w:eastAsia="DejaVu Sans"/>
          <w:b/>
          <w:color w:val="14263D"/>
          <w:sz w:val="20"/>
        </w:rPr>
        <w:t xml:space="preserve">Subhead: </w:t>
      </w:r>
      <w:r>
        <w:rPr>
          <w:rFonts w:ascii="DejaVu Sans" w:hAnsi="DejaVu Sans" w:eastAsia="DejaVu Sans"/>
          <w:color w:val="263445"/>
          <w:sz w:val="20"/>
        </w:rPr>
        <w:t>Khám phá những điểm nổi bật trong lá số bằng lời giải thích rõ ràng, gắn với căn cứ — trước khi chọn một chủ đề luận giải chuyên sâu.</w:t>
      </w:r>
    </w:p>
    <w:p>
      <w:pPr>
        <w:numPr>
          <w:ilvl w:val="0"/>
          <w:numId w:val="10"/>
        </w:numPr>
      </w:pPr>
      <w:r>
        <w:rPr>
          <w:rFonts w:ascii="DejaVu Sans" w:hAnsi="DejaVu Sans" w:eastAsia="DejaVu Sans"/>
          <w:b/>
          <w:color w:val="14263D"/>
          <w:sz w:val="20"/>
        </w:rPr>
        <w:t xml:space="preserve">Primary CTA: </w:t>
      </w:r>
      <w:r>
        <w:rPr>
          <w:rFonts w:ascii="DejaVu Sans" w:hAnsi="DejaVu Sans" w:eastAsia="DejaVu Sans"/>
          <w:color w:val="263445"/>
          <w:sz w:val="20"/>
        </w:rPr>
        <w:t>Lập lá số miễn phí</w:t>
      </w:r>
    </w:p>
    <w:p>
      <w:pPr>
        <w:numPr>
          <w:ilvl w:val="0"/>
          <w:numId w:val="10"/>
        </w:numPr>
      </w:pPr>
      <w:r>
        <w:rPr>
          <w:rFonts w:ascii="DejaVu Sans" w:hAnsi="DejaVu Sans" w:eastAsia="DejaVu Sans"/>
          <w:b/>
          <w:color w:val="14263D"/>
          <w:sz w:val="20"/>
        </w:rPr>
        <w:t xml:space="preserve">Secondary CTA: </w:t>
      </w:r>
      <w:r>
        <w:rPr>
          <w:rFonts w:ascii="DejaVu Sans" w:hAnsi="DejaVu Sans" w:eastAsia="DejaVu Sans"/>
          <w:color w:val="263445"/>
          <w:sz w:val="20"/>
        </w:rPr>
        <w:t>Xem báo cáo mẫu</w:t>
      </w:r>
    </w:p>
    <w:p>
      <w:pPr>
        <w:numPr>
          <w:ilvl w:val="0"/>
          <w:numId w:val="10"/>
        </w:numPr>
      </w:pPr>
      <w:r>
        <w:rPr>
          <w:rFonts w:ascii="DejaVu Sans" w:hAnsi="DejaVu Sans" w:eastAsia="DejaVu Sans"/>
          <w:b/>
          <w:color w:val="14263D"/>
          <w:sz w:val="20"/>
        </w:rPr>
        <w:t xml:space="preserve">Trust line: </w:t>
      </w:r>
      <w:r>
        <w:rPr>
          <w:rFonts w:ascii="DejaVu Sans" w:hAnsi="DejaVu Sans" w:eastAsia="DejaVu Sans"/>
          <w:color w:val="263445"/>
          <w:sz w:val="20"/>
        </w:rPr>
        <w:t>Không phán định tương lai. Không dùng nỗi sợ để bán hàng.</w:t>
      </w:r>
    </w:p>
    <w:p>
      <w:pPr>
        <w:pStyle w:val="Heading2"/>
      </w:pPr>
      <w:r>
        <w:t>4.6 Tone theo ngữ cảnh</w:t>
      </w:r>
    </w:p>
    <w:tbl>
      <w:tblPr>
        <w:tblStyle w:val="TableGrid"/>
        <w:tblW w:type="dxa" w:w="9360"/>
        <w:jc w:val="left"/>
        <w:tblLayout w:type="fixed"/>
        <w:tblLook w:firstColumn="1" w:firstRow="1" w:lastColumn="0" w:lastRow="0" w:noHBand="0" w:noVBand="1" w:val="04A0"/>
        <w:tblInd w:w="120" w:type="dxa"/>
      </w:tblPr>
      <w:tblGrid>
        <w:gridCol w:w="1300"/>
        <w:gridCol w:w="1800"/>
        <w:gridCol w:w="6260"/>
      </w:tblGrid>
      <w:tr>
        <w:trPr>
          <w:tblHeader w:val="true"/>
        </w:trPr>
        <w:tc>
          <w:tcPr>
            <w:tcW w:type="dxa" w:w="1300"/>
            <w:shd w:fill="14263D"/>
            <w:tcMar>
              <w:top w:w="100" w:type="dxa"/>
              <w:start w:w="120" w:type="dxa"/>
              <w:bottom w:w="100" w:type="dxa"/>
              <w:end w:w="120" w:type="dxa"/>
            </w:tcMar>
            <w:vAlign w:val="center"/>
          </w:tcPr>
          <w:p>
            <w:pPr>
              <w:spacing w:after="0"/>
            </w:pPr>
            <w:r>
              <w:rPr>
                <w:rFonts w:ascii="DejaVu Sans" w:hAnsi="DejaVu Sans" w:eastAsia="DejaVu Sans"/>
                <w:b/>
                <w:color w:val="FFFFFF"/>
                <w:sz w:val="16"/>
              </w:rPr>
              <w:t>Ngữ cảnh</w:t>
            </w:r>
          </w:p>
        </w:tc>
        <w:tc>
          <w:tcPr>
            <w:tcW w:type="dxa" w:w="1800"/>
            <w:shd w:fill="14263D"/>
            <w:tcMar>
              <w:top w:w="100" w:type="dxa"/>
              <w:start w:w="120" w:type="dxa"/>
              <w:bottom w:w="100" w:type="dxa"/>
              <w:end w:w="120" w:type="dxa"/>
            </w:tcMar>
            <w:vAlign w:val="center"/>
          </w:tcPr>
          <w:p>
            <w:pPr>
              <w:spacing w:after="0"/>
            </w:pPr>
            <w:r>
              <w:rPr>
                <w:rFonts w:ascii="DejaVu Sans" w:hAnsi="DejaVu Sans" w:eastAsia="DejaVu Sans"/>
                <w:b/>
                <w:color w:val="FFFFFF"/>
                <w:sz w:val="16"/>
              </w:rPr>
              <w:t>Giọng</w:t>
            </w:r>
          </w:p>
        </w:tc>
        <w:tc>
          <w:tcPr>
            <w:tcW w:type="dxa" w:w="6260"/>
            <w:shd w:fill="14263D"/>
            <w:tcMar>
              <w:top w:w="100" w:type="dxa"/>
              <w:start w:w="120" w:type="dxa"/>
              <w:bottom w:w="100" w:type="dxa"/>
              <w:end w:w="120" w:type="dxa"/>
            </w:tcMar>
            <w:vAlign w:val="center"/>
          </w:tcPr>
          <w:p>
            <w:pPr>
              <w:spacing w:after="0"/>
            </w:pPr>
            <w:r>
              <w:rPr>
                <w:rFonts w:ascii="DejaVu Sans" w:hAnsi="DejaVu Sans" w:eastAsia="DejaVu Sans"/>
                <w:b/>
                <w:color w:val="FFFFFF"/>
                <w:sz w:val="16"/>
              </w:rPr>
              <w:t>Mẫu</w:t>
            </w:r>
          </w:p>
        </w:tc>
      </w:tr>
      <w:tr>
        <w:tc>
          <w:tcPr>
            <w:tcW w:type="dxa" w:w="13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Form</w:t>
            </w:r>
          </w:p>
        </w:tc>
        <w:tc>
          <w:tcPr>
            <w:tcW w:type="dxa" w:w="18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Cụ thể, hướng dẫn.</w:t>
            </w:r>
          </w:p>
        </w:tc>
        <w:tc>
          <w:tcPr>
            <w:tcW w:type="dxa" w:w="62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“Giờ sinh giúp xác định một số cung và chu kỳ. Nếu không rõ, bạn vẫn có thể tiếp tục với kết quả giới hạn.”</w:t>
            </w:r>
          </w:p>
        </w:tc>
      </w:tr>
      <w:tr>
        <w:tc>
          <w:tcPr>
            <w:tcW w:type="dxa" w:w="13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Insight</w:t>
            </w:r>
          </w:p>
        </w:tc>
        <w:tc>
          <w:tcPr>
            <w:tcW w:type="dxa" w:w="18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Gợi mở, có căn cứ.</w:t>
            </w:r>
          </w:p>
        </w:tc>
        <w:tc>
          <w:tcPr>
            <w:tcW w:type="dxa" w:w="62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“Nhận định này dựa trên… và thường rõ hơn khi…”</w:t>
            </w:r>
          </w:p>
        </w:tc>
      </w:tr>
      <w:tr>
        <w:tc>
          <w:tcPr>
            <w:tcW w:type="dxa" w:w="13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Paywall</w:t>
            </w:r>
          </w:p>
        </w:tc>
        <w:tc>
          <w:tcPr>
            <w:tcW w:type="dxa" w:w="18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Minh bạch, không gây sợ.</w:t>
            </w:r>
          </w:p>
        </w:tc>
        <w:tc>
          <w:tcPr>
            <w:tcW w:type="dxa" w:w="62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“Mở bản luận giải đầy đủ: mục lục, mẫu, giá và thời gian nhận kết quả.”</w:t>
            </w:r>
          </w:p>
        </w:tc>
      </w:tr>
      <w:tr>
        <w:tc>
          <w:tcPr>
            <w:tcW w:type="dxa" w:w="13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Error</w:t>
            </w:r>
          </w:p>
        </w:tc>
        <w:tc>
          <w:tcPr>
            <w:tcW w:type="dxa" w:w="18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Nêu vấn đề + cách sửa.</w:t>
            </w:r>
          </w:p>
        </w:tc>
        <w:tc>
          <w:tcPr>
            <w:tcW w:type="dxa" w:w="62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“Giờ sinh cần nằm trong khoảng 00:00–23:59. Kiểm tra lại hoặc chọn Không rõ giờ sinh.”</w:t>
            </w:r>
          </w:p>
        </w:tc>
      </w:tr>
      <w:tr>
        <w:tc>
          <w:tcPr>
            <w:tcW w:type="dxa" w:w="13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Safety</w:t>
            </w:r>
          </w:p>
        </w:tc>
        <w:tc>
          <w:tcPr>
            <w:tcW w:type="dxa" w:w="18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Điềm tĩnh, giới hạn rõ.</w:t>
            </w:r>
          </w:p>
        </w:tc>
        <w:tc>
          <w:tcPr>
            <w:tcW w:type="dxa" w:w="62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“Nội dung này không thay thế tư vấn y tế, pháp lý hoặc tài chính.”</w:t>
            </w:r>
          </w:p>
        </w:tc>
      </w:tr>
      <w:tr>
        <w:tc>
          <w:tcPr>
            <w:tcW w:type="dxa" w:w="13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Support</w:t>
            </w:r>
          </w:p>
        </w:tc>
        <w:tc>
          <w:tcPr>
            <w:tcW w:type="dxa" w:w="18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Chịu trách nhiệm, không đổ lỗi.</w:t>
            </w:r>
          </w:p>
        </w:tc>
        <w:tc>
          <w:tcPr>
            <w:tcW w:type="dxa" w:w="62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“Chúng tôi đã ghi nhận. Bạn có thể sửa dữ liệu và tạo lại theo chính sách này…”</w:t>
            </w:r>
          </w:p>
        </w:tc>
      </w:tr>
    </w:tbl>
    <w:p>
      <w:pPr>
        <w:spacing w:after="40"/>
      </w:pPr>
    </w:p>
    <w:p>
      <w:pPr>
        <w:pStyle w:val="Heading1"/>
      </w:pPr>
      <w:r>
        <w:t>05. Visual identity system</w:t>
      </w:r>
    </w:p>
    <w:p>
      <w:pPr>
        <w:pStyle w:val="Heading2"/>
      </w:pPr>
      <w:r>
        <w:t>5.1 Visual idea</w:t>
      </w:r>
    </w:p>
    <w:p>
      <w:pPr>
        <w:pStyle w:val="Lead"/>
      </w:pPr>
      <w:r>
        <w:t>Giấy — Mực — Son. Một ấn bản tri thức được biên tập kỹ, không phải sân khấu bói toán.</w:t>
      </w:r>
    </w:p>
    <w:p>
      <w:pPr>
        <w:keepLines w:val="0"/>
      </w:pPr>
      <w:r>
        <w:rPr>
          <w:rFonts w:ascii="DejaVu Sans" w:hAnsi="DejaVu Sans" w:eastAsia="DejaVu Sans"/>
          <w:i w:val="0"/>
          <w:color w:val="263445"/>
          <w:sz w:val="20"/>
        </w:rPr>
        <w:t>Khoảng trắng và typography là nhận diện chính. Navy/mực dựng cấu trúc. Cinnabar/son hoạt động như dấu triện: ít nhưng có lực. Texture và chi tiết văn hóa chỉ là lớp phụ, không được cạnh tranh với nội dung.</w:t>
      </w:r>
    </w:p>
    <w:p>
      <w:pPr>
        <w:pStyle w:val="Heading2"/>
      </w:pPr>
      <w:r>
        <w:t>5.2 Color system</w:t>
      </w:r>
    </w:p>
    <w:tbl>
      <w:tblPr>
        <w:tblStyle w:val="TableGrid"/>
        <w:tblW w:type="dxa" w:w="9360"/>
        <w:jc w:val="left"/>
        <w:tblLayout w:type="fixed"/>
        <w:tblLook w:firstColumn="1" w:firstRow="1" w:lastColumn="0" w:lastRow="0" w:noHBand="0" w:noVBand="1" w:val="04A0"/>
        <w:tblInd w:w="120" w:type="dxa"/>
      </w:tblPr>
      <w:tblGrid>
        <w:gridCol w:w="1800"/>
        <w:gridCol w:w="1600"/>
        <w:gridCol w:w="5960"/>
      </w:tblGrid>
      <w:tr>
        <w:trPr>
          <w:tblHeader w:val="true"/>
        </w:trPr>
        <w:tc>
          <w:tcPr>
            <w:tcW w:type="dxa" w:w="1800"/>
            <w:shd w:fill="14263D"/>
            <w:tcMar>
              <w:top w:w="100" w:type="dxa"/>
              <w:start w:w="120" w:type="dxa"/>
              <w:bottom w:w="100" w:type="dxa"/>
              <w:end w:w="120" w:type="dxa"/>
            </w:tcMar>
            <w:vAlign w:val="center"/>
          </w:tcPr>
          <w:p>
            <w:pPr>
              <w:spacing w:after="0"/>
            </w:pPr>
            <w:r>
              <w:rPr>
                <w:rFonts w:ascii="DejaVu Sans" w:hAnsi="DejaVu Sans" w:eastAsia="DejaVu Sans"/>
                <w:b/>
                <w:color w:val="FFFFFF"/>
                <w:sz w:val="16"/>
              </w:rPr>
              <w:t>Token</w:t>
            </w:r>
          </w:p>
        </w:tc>
        <w:tc>
          <w:tcPr>
            <w:tcW w:type="dxa" w:w="1600"/>
            <w:shd w:fill="14263D"/>
            <w:tcMar>
              <w:top w:w="100" w:type="dxa"/>
              <w:start w:w="120" w:type="dxa"/>
              <w:bottom w:w="100" w:type="dxa"/>
              <w:end w:w="120" w:type="dxa"/>
            </w:tcMar>
            <w:vAlign w:val="center"/>
          </w:tcPr>
          <w:p>
            <w:pPr>
              <w:spacing w:after="0"/>
            </w:pPr>
            <w:r>
              <w:rPr>
                <w:rFonts w:ascii="DejaVu Sans" w:hAnsi="DejaVu Sans" w:eastAsia="DejaVu Sans"/>
                <w:b/>
                <w:color w:val="FFFFFF"/>
                <w:sz w:val="16"/>
              </w:rPr>
              <w:t>HEX</w:t>
            </w:r>
          </w:p>
        </w:tc>
        <w:tc>
          <w:tcPr>
            <w:tcW w:type="dxa" w:w="5960"/>
            <w:shd w:fill="14263D"/>
            <w:tcMar>
              <w:top w:w="100" w:type="dxa"/>
              <w:start w:w="120" w:type="dxa"/>
              <w:bottom w:w="100" w:type="dxa"/>
              <w:end w:w="120" w:type="dxa"/>
            </w:tcMar>
            <w:vAlign w:val="center"/>
          </w:tcPr>
          <w:p>
            <w:pPr>
              <w:spacing w:after="0"/>
            </w:pPr>
            <w:r>
              <w:rPr>
                <w:rFonts w:ascii="DejaVu Sans" w:hAnsi="DejaVu Sans" w:eastAsia="DejaVu Sans"/>
                <w:b/>
                <w:color w:val="FFFFFF"/>
                <w:sz w:val="16"/>
              </w:rPr>
              <w:t>Vai trò</w:t>
            </w:r>
          </w:p>
        </w:tc>
      </w:tr>
      <w:tr>
        <w:tc>
          <w:tcPr>
            <w:tcW w:type="dxa" w:w="18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Paper 50</w:t>
            </w:r>
          </w:p>
        </w:tc>
        <w:tc>
          <w:tcPr>
            <w:tcW w:type="dxa" w:w="16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14263D"/>
                <w:sz w:val="16"/>
              </w:rPr>
              <w:t>#FFFDF7</w:t>
            </w:r>
          </w:p>
        </w:tc>
        <w:tc>
          <w:tcPr>
            <w:tcW w:type="dxa" w:w="59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Surface cao nhất, input, modal</w:t>
            </w:r>
          </w:p>
        </w:tc>
      </w:tr>
      <w:tr>
        <w:tc>
          <w:tcPr>
            <w:tcW w:type="dxa" w:w="18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Paper 100</w:t>
            </w:r>
          </w:p>
        </w:tc>
        <w:tc>
          <w:tcPr>
            <w:tcW w:type="dxa" w:w="1600"/>
            <w:shd w:fill="F7F1E5"/>
            <w:tcMar>
              <w:top w:w="100" w:type="dxa"/>
              <w:start w:w="120" w:type="dxa"/>
              <w:bottom w:w="100" w:type="dxa"/>
              <w:end w:w="120" w:type="dxa"/>
            </w:tcMar>
            <w:vAlign w:val="center"/>
          </w:tcPr>
          <w:p>
            <w:pPr>
              <w:spacing w:after="0" w:line="269" w:lineRule="auto"/>
            </w:pPr>
            <w:r>
              <w:rPr>
                <w:rFonts w:ascii="DejaVu Sans" w:hAnsi="DejaVu Sans" w:eastAsia="DejaVu Sans"/>
                <w:b w:val="0"/>
                <w:color w:val="14263D"/>
                <w:sz w:val="16"/>
              </w:rPr>
              <w:t>#F7F1E5</w:t>
            </w:r>
          </w:p>
        </w:tc>
        <w:tc>
          <w:tcPr>
            <w:tcW w:type="dxa" w:w="59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Canvas mặc định</w:t>
            </w:r>
          </w:p>
        </w:tc>
      </w:tr>
      <w:tr>
        <w:tc>
          <w:tcPr>
            <w:tcW w:type="dxa" w:w="18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Paper 200</w:t>
            </w:r>
          </w:p>
        </w:tc>
        <w:tc>
          <w:tcPr>
            <w:tcW w:type="dxa" w:w="1600"/>
            <w:shd w:fill="EEE5D6"/>
            <w:tcMar>
              <w:top w:w="100" w:type="dxa"/>
              <w:start w:w="120" w:type="dxa"/>
              <w:bottom w:w="100" w:type="dxa"/>
              <w:end w:w="120" w:type="dxa"/>
            </w:tcMar>
            <w:vAlign w:val="center"/>
          </w:tcPr>
          <w:p>
            <w:pPr>
              <w:spacing w:after="0" w:line="269" w:lineRule="auto"/>
            </w:pPr>
            <w:r>
              <w:rPr>
                <w:rFonts w:ascii="DejaVu Sans" w:hAnsi="DejaVu Sans" w:eastAsia="DejaVu Sans"/>
                <w:b w:val="0"/>
                <w:color w:val="14263D"/>
                <w:sz w:val="16"/>
              </w:rPr>
              <w:t>#EEE5D6</w:t>
            </w:r>
          </w:p>
        </w:tc>
        <w:tc>
          <w:tcPr>
            <w:tcW w:type="dxa" w:w="59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Section/callout nhẹ</w:t>
            </w:r>
          </w:p>
        </w:tc>
      </w:tr>
      <w:tr>
        <w:tc>
          <w:tcPr>
            <w:tcW w:type="dxa" w:w="18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Paper 300</w:t>
            </w:r>
          </w:p>
        </w:tc>
        <w:tc>
          <w:tcPr>
            <w:tcW w:type="dxa" w:w="1600"/>
            <w:shd w:fill="D7CDBD"/>
            <w:tcMar>
              <w:top w:w="100" w:type="dxa"/>
              <w:start w:w="120" w:type="dxa"/>
              <w:bottom w:w="100" w:type="dxa"/>
              <w:end w:w="120" w:type="dxa"/>
            </w:tcMar>
            <w:vAlign w:val="center"/>
          </w:tcPr>
          <w:p>
            <w:pPr>
              <w:spacing w:after="0" w:line="269" w:lineRule="auto"/>
            </w:pPr>
            <w:r>
              <w:rPr>
                <w:rFonts w:ascii="DejaVu Sans" w:hAnsi="DejaVu Sans" w:eastAsia="DejaVu Sans"/>
                <w:b w:val="0"/>
                <w:color w:val="14263D"/>
                <w:sz w:val="16"/>
              </w:rPr>
              <w:t>#D7CDBD</w:t>
            </w:r>
          </w:p>
        </w:tc>
        <w:tc>
          <w:tcPr>
            <w:tcW w:type="dxa" w:w="59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Divider trang trí; không mang thông tin độc lập</w:t>
            </w:r>
          </w:p>
        </w:tc>
      </w:tr>
      <w:tr>
        <w:tc>
          <w:tcPr>
            <w:tcW w:type="dxa" w:w="18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Control border</w:t>
            </w:r>
          </w:p>
        </w:tc>
        <w:tc>
          <w:tcPr>
            <w:tcW w:type="dxa" w:w="1600"/>
            <w:shd w:fill="958A7C"/>
            <w:tcMar>
              <w:top w:w="100" w:type="dxa"/>
              <w:start w:w="120" w:type="dxa"/>
              <w:bottom w:w="100" w:type="dxa"/>
              <w:end w:w="120" w:type="dxa"/>
            </w:tcMar>
            <w:vAlign w:val="center"/>
          </w:tcPr>
          <w:p>
            <w:pPr>
              <w:spacing w:after="0" w:line="269" w:lineRule="auto"/>
            </w:pPr>
            <w:r>
              <w:rPr>
                <w:rFonts w:ascii="DejaVu Sans" w:hAnsi="DejaVu Sans" w:eastAsia="DejaVu Sans"/>
                <w:b w:val="0"/>
                <w:color w:val="14263D"/>
                <w:sz w:val="16"/>
              </w:rPr>
              <w:t>#958A7C</w:t>
            </w:r>
          </w:p>
        </w:tc>
        <w:tc>
          <w:tcPr>
            <w:tcW w:type="dxa" w:w="59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Biên input/control — đạt xấp xỉ 3:1 trên Paper 100</w:t>
            </w:r>
          </w:p>
        </w:tc>
      </w:tr>
      <w:tr>
        <w:tc>
          <w:tcPr>
            <w:tcW w:type="dxa" w:w="18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Ink 900</w:t>
            </w:r>
          </w:p>
        </w:tc>
        <w:tc>
          <w:tcPr>
            <w:tcW w:type="dxa" w:w="1600"/>
            <w:shd w:fill="14263D"/>
            <w:tcMar>
              <w:top w:w="100" w:type="dxa"/>
              <w:start w:w="120" w:type="dxa"/>
              <w:bottom w:w="100" w:type="dxa"/>
              <w:end w:w="120" w:type="dxa"/>
            </w:tcMar>
            <w:vAlign w:val="center"/>
          </w:tcPr>
          <w:p>
            <w:pPr>
              <w:spacing w:after="0" w:line="269" w:lineRule="auto"/>
            </w:pPr>
            <w:r>
              <w:rPr>
                <w:rFonts w:ascii="DejaVu Sans" w:hAnsi="DejaVu Sans" w:eastAsia="DejaVu Sans"/>
                <w:b w:val="0"/>
                <w:color w:val="FFFFFF"/>
                <w:sz w:val="16"/>
              </w:rPr>
              <w:t>#14263D</w:t>
            </w:r>
          </w:p>
        </w:tc>
        <w:tc>
          <w:tcPr>
            <w:tcW w:type="dxa" w:w="59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Heading, primary action</w:t>
            </w:r>
          </w:p>
        </w:tc>
      </w:tr>
      <w:tr>
        <w:tc>
          <w:tcPr>
            <w:tcW w:type="dxa" w:w="18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Ink 800</w:t>
            </w:r>
          </w:p>
        </w:tc>
        <w:tc>
          <w:tcPr>
            <w:tcW w:type="dxa" w:w="1600"/>
            <w:shd w:fill="263445"/>
            <w:tcMar>
              <w:top w:w="100" w:type="dxa"/>
              <w:start w:w="120" w:type="dxa"/>
              <w:bottom w:w="100" w:type="dxa"/>
              <w:end w:w="120" w:type="dxa"/>
            </w:tcMar>
            <w:vAlign w:val="center"/>
          </w:tcPr>
          <w:p>
            <w:pPr>
              <w:spacing w:after="0" w:line="269" w:lineRule="auto"/>
            </w:pPr>
            <w:r>
              <w:rPr>
                <w:rFonts w:ascii="DejaVu Sans" w:hAnsi="DejaVu Sans" w:eastAsia="DejaVu Sans"/>
                <w:b w:val="0"/>
                <w:color w:val="FFFFFF"/>
                <w:sz w:val="16"/>
              </w:rPr>
              <w:t>#263445</w:t>
            </w:r>
          </w:p>
        </w:tc>
        <w:tc>
          <w:tcPr>
            <w:tcW w:type="dxa" w:w="59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Body text</w:t>
            </w:r>
          </w:p>
        </w:tc>
      </w:tr>
      <w:tr>
        <w:tc>
          <w:tcPr>
            <w:tcW w:type="dxa" w:w="18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Ink 600</w:t>
            </w:r>
          </w:p>
        </w:tc>
        <w:tc>
          <w:tcPr>
            <w:tcW w:type="dxa" w:w="1600"/>
            <w:shd w:fill="5E6873"/>
            <w:tcMar>
              <w:top w:w="100" w:type="dxa"/>
              <w:start w:w="120" w:type="dxa"/>
              <w:bottom w:w="100" w:type="dxa"/>
              <w:end w:w="120" w:type="dxa"/>
            </w:tcMar>
            <w:vAlign w:val="center"/>
          </w:tcPr>
          <w:p>
            <w:pPr>
              <w:spacing w:after="0" w:line="269" w:lineRule="auto"/>
            </w:pPr>
            <w:r>
              <w:rPr>
                <w:rFonts w:ascii="DejaVu Sans" w:hAnsi="DejaVu Sans" w:eastAsia="DejaVu Sans"/>
                <w:b w:val="0"/>
                <w:color w:val="FFFFFF"/>
                <w:sz w:val="16"/>
              </w:rPr>
              <w:t>#5E6873</w:t>
            </w:r>
          </w:p>
        </w:tc>
        <w:tc>
          <w:tcPr>
            <w:tcW w:type="dxa" w:w="59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Secondary text — 5.04:1 trên Paper 100</w:t>
            </w:r>
          </w:p>
        </w:tc>
      </w:tr>
      <w:tr>
        <w:tc>
          <w:tcPr>
            <w:tcW w:type="dxa" w:w="18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Cinnabar 700</w:t>
            </w:r>
          </w:p>
        </w:tc>
        <w:tc>
          <w:tcPr>
            <w:tcW w:type="dxa" w:w="1600"/>
            <w:shd w:fill="A63D2F"/>
            <w:tcMar>
              <w:top w:w="100" w:type="dxa"/>
              <w:start w:w="120" w:type="dxa"/>
              <w:bottom w:w="100" w:type="dxa"/>
              <w:end w:w="120" w:type="dxa"/>
            </w:tcMar>
            <w:vAlign w:val="center"/>
          </w:tcPr>
          <w:p>
            <w:pPr>
              <w:spacing w:after="0" w:line="269" w:lineRule="auto"/>
            </w:pPr>
            <w:r>
              <w:rPr>
                <w:rFonts w:ascii="DejaVu Sans" w:hAnsi="DejaVu Sans" w:eastAsia="DejaVu Sans"/>
                <w:b w:val="0"/>
                <w:color w:val="FFFFFF"/>
                <w:sz w:val="16"/>
              </w:rPr>
              <w:t>#A63D2F</w:t>
            </w:r>
          </w:p>
        </w:tc>
        <w:tc>
          <w:tcPr>
            <w:tcW w:type="dxa" w:w="59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Accent/CTA — 5.61:1 trên Paper 100; trắng trên màu này 6.31:1</w:t>
            </w:r>
          </w:p>
        </w:tc>
      </w:tr>
      <w:tr>
        <w:tc>
          <w:tcPr>
            <w:tcW w:type="dxa" w:w="18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Link blue</w:t>
            </w:r>
          </w:p>
        </w:tc>
        <w:tc>
          <w:tcPr>
            <w:tcW w:type="dxa" w:w="1600"/>
            <w:shd w:fill="174F7A"/>
            <w:tcMar>
              <w:top w:w="100" w:type="dxa"/>
              <w:start w:w="120" w:type="dxa"/>
              <w:bottom w:w="100" w:type="dxa"/>
              <w:end w:w="120" w:type="dxa"/>
            </w:tcMar>
            <w:vAlign w:val="center"/>
          </w:tcPr>
          <w:p>
            <w:pPr>
              <w:spacing w:after="0" w:line="269" w:lineRule="auto"/>
            </w:pPr>
            <w:r>
              <w:rPr>
                <w:rFonts w:ascii="DejaVu Sans" w:hAnsi="DejaVu Sans" w:eastAsia="DejaVu Sans"/>
                <w:b w:val="0"/>
                <w:color w:val="FFFFFF"/>
                <w:sz w:val="16"/>
              </w:rPr>
              <w:t>#174F7A</w:t>
            </w:r>
          </w:p>
        </w:tc>
        <w:tc>
          <w:tcPr>
            <w:tcW w:type="dxa" w:w="59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Link — 7.66:1 trên Paper 100</w:t>
            </w:r>
          </w:p>
        </w:tc>
      </w:tr>
      <w:tr>
        <w:tc>
          <w:tcPr>
            <w:tcW w:type="dxa" w:w="18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Success</w:t>
            </w:r>
          </w:p>
        </w:tc>
        <w:tc>
          <w:tcPr>
            <w:tcW w:type="dxa" w:w="1600"/>
            <w:shd w:fill="2F6F57"/>
            <w:tcMar>
              <w:top w:w="100" w:type="dxa"/>
              <w:start w:w="120" w:type="dxa"/>
              <w:bottom w:w="100" w:type="dxa"/>
              <w:end w:w="120" w:type="dxa"/>
            </w:tcMar>
            <w:vAlign w:val="center"/>
          </w:tcPr>
          <w:p>
            <w:pPr>
              <w:spacing w:after="0" w:line="269" w:lineRule="auto"/>
            </w:pPr>
            <w:r>
              <w:rPr>
                <w:rFonts w:ascii="DejaVu Sans" w:hAnsi="DejaVu Sans" w:eastAsia="DejaVu Sans"/>
                <w:b w:val="0"/>
                <w:color w:val="FFFFFF"/>
                <w:sz w:val="16"/>
              </w:rPr>
              <w:t>#2F6F57</w:t>
            </w:r>
          </w:p>
        </w:tc>
        <w:tc>
          <w:tcPr>
            <w:tcW w:type="dxa" w:w="59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Success — 5.29:1 trên Paper 100</w:t>
            </w:r>
          </w:p>
        </w:tc>
      </w:tr>
      <w:tr>
        <w:tc>
          <w:tcPr>
            <w:tcW w:type="dxa" w:w="18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Warning</w:t>
            </w:r>
          </w:p>
        </w:tc>
        <w:tc>
          <w:tcPr>
            <w:tcW w:type="dxa" w:w="1600"/>
            <w:shd w:fill="8A5A12"/>
            <w:tcMar>
              <w:top w:w="100" w:type="dxa"/>
              <w:start w:w="120" w:type="dxa"/>
              <w:bottom w:w="100" w:type="dxa"/>
              <w:end w:w="120" w:type="dxa"/>
            </w:tcMar>
            <w:vAlign w:val="center"/>
          </w:tcPr>
          <w:p>
            <w:pPr>
              <w:spacing w:after="0" w:line="269" w:lineRule="auto"/>
            </w:pPr>
            <w:r>
              <w:rPr>
                <w:rFonts w:ascii="DejaVu Sans" w:hAnsi="DejaVu Sans" w:eastAsia="DejaVu Sans"/>
                <w:b w:val="0"/>
                <w:color w:val="FFFFFF"/>
                <w:sz w:val="16"/>
              </w:rPr>
              <w:t>#8A5A12</w:t>
            </w:r>
          </w:p>
        </w:tc>
        <w:tc>
          <w:tcPr>
            <w:tcW w:type="dxa" w:w="59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Warning — 5.26:1 trên Paper 100</w:t>
            </w:r>
          </w:p>
        </w:tc>
      </w:tr>
      <w:tr>
        <w:tc>
          <w:tcPr>
            <w:tcW w:type="dxa" w:w="18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Error</w:t>
            </w:r>
          </w:p>
        </w:tc>
        <w:tc>
          <w:tcPr>
            <w:tcW w:type="dxa" w:w="1600"/>
            <w:shd w:fill="8F2737"/>
            <w:tcMar>
              <w:top w:w="100" w:type="dxa"/>
              <w:start w:w="120" w:type="dxa"/>
              <w:bottom w:w="100" w:type="dxa"/>
              <w:end w:w="120" w:type="dxa"/>
            </w:tcMar>
            <w:vAlign w:val="center"/>
          </w:tcPr>
          <w:p>
            <w:pPr>
              <w:spacing w:after="0" w:line="269" w:lineRule="auto"/>
            </w:pPr>
            <w:r>
              <w:rPr>
                <w:rFonts w:ascii="DejaVu Sans" w:hAnsi="DejaVu Sans" w:eastAsia="DejaVu Sans"/>
                <w:b w:val="0"/>
                <w:color w:val="FFFFFF"/>
                <w:sz w:val="16"/>
              </w:rPr>
              <w:t>#8F2737</w:t>
            </w:r>
          </w:p>
        </w:tc>
        <w:tc>
          <w:tcPr>
            <w:tcW w:type="dxa" w:w="59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Error; luôn kèm icon/text, không chỉ dựa vào màu</w:t>
            </w:r>
          </w:p>
        </w:tc>
      </w:tr>
    </w:tbl>
    <w:p>
      <w:pPr>
        <w:spacing w:after="40"/>
      </w:pPr>
    </w:p>
    <w:p>
      <w:pPr>
        <w:pStyle w:val="Heading3"/>
      </w:pPr>
      <w:r>
        <w:t>Color rules</w:t>
      </w:r>
    </w:p>
    <w:p>
      <w:pPr>
        <w:numPr>
          <w:ilvl w:val="0"/>
          <w:numId w:val="10"/>
        </w:numPr>
      </w:pPr>
      <w:r>
        <w:rPr>
          <w:rFonts w:ascii="DejaVu Sans" w:hAnsi="DejaVu Sans" w:eastAsia="DejaVu Sans"/>
          <w:color w:val="263445"/>
          <w:sz w:val="20"/>
        </w:rPr>
        <w:t>Navy/mực là màu điều hướng và primary action mặc định. Cinnabar chiếm khoảng 5–10% diện tích và tối đa một CTA accent nổi bật trong mỗi viewport/section.</w:t>
      </w:r>
    </w:p>
    <w:p>
      <w:pPr>
        <w:numPr>
          <w:ilvl w:val="0"/>
          <w:numId w:val="10"/>
        </w:numPr>
      </w:pPr>
      <w:r>
        <w:rPr>
          <w:rFonts w:ascii="DejaVu Sans" w:hAnsi="DejaVu Sans" w:eastAsia="DejaVu Sans"/>
          <w:color w:val="263445"/>
          <w:sz w:val="20"/>
        </w:rPr>
        <w:t>Không dùng cinnabar để mã hóa mọi yếu tố “xấu”; không dùng xanh/đỏ làm “tốt/xấu” duy nhất trên lá số.</w:t>
      </w:r>
    </w:p>
    <w:p>
      <w:pPr>
        <w:numPr>
          <w:ilvl w:val="0"/>
          <w:numId w:val="10"/>
        </w:numPr>
      </w:pPr>
      <w:r>
        <w:rPr>
          <w:rFonts w:ascii="DejaVu Sans" w:hAnsi="DejaVu Sans" w:eastAsia="DejaVu Sans"/>
          <w:color w:val="263445"/>
          <w:sz w:val="20"/>
        </w:rPr>
        <w:t>Paper 300 chỉ là divider trang trí. Control hoặc thông tin cần boundary dùng Control border #958A7C hoặc outline tương phản 3:1.</w:t>
      </w:r>
    </w:p>
    <w:p>
      <w:pPr>
        <w:numPr>
          <w:ilvl w:val="0"/>
          <w:numId w:val="10"/>
        </w:numPr>
      </w:pPr>
      <w:r>
        <w:rPr>
          <w:rFonts w:ascii="DejaVu Sans" w:hAnsi="DejaVu Sans" w:eastAsia="DejaVu Sans"/>
          <w:color w:val="263445"/>
          <w:sz w:val="20"/>
        </w:rPr>
        <w:t>Mọi tổ hợp production phải qua WCAG 2.2 AA; không dựa vào HEX trong guideline như thay thế test thực tế [S12].</w:t>
      </w:r>
    </w:p>
    <w:p>
      <w:pPr>
        <w:pStyle w:val="Heading2"/>
      </w:pPr>
      <w:r>
        <w:t>5.3 Typography</w:t>
      </w:r>
    </w:p>
    <w:tbl>
      <w:tblPr>
        <w:tblStyle w:val="TableGrid"/>
        <w:tblW w:type="dxa" w:w="9360"/>
        <w:jc w:val="left"/>
        <w:tblLayout w:type="fixed"/>
        <w:tblLook w:firstColumn="1" w:firstRow="1" w:lastColumn="0" w:lastRow="0" w:noHBand="0" w:noVBand="1" w:val="04A0"/>
        <w:tblInd w:w="120" w:type="dxa"/>
      </w:tblPr>
      <w:tblGrid>
        <w:gridCol w:w="1600"/>
        <w:gridCol w:w="2300"/>
        <w:gridCol w:w="2400"/>
        <w:gridCol w:w="3060"/>
      </w:tblGrid>
      <w:tr>
        <w:trPr>
          <w:tblHeader w:val="true"/>
        </w:trPr>
        <w:tc>
          <w:tcPr>
            <w:tcW w:type="dxa" w:w="1600"/>
            <w:shd w:fill="14263D"/>
            <w:tcMar>
              <w:top w:w="100" w:type="dxa"/>
              <w:start w:w="120" w:type="dxa"/>
              <w:bottom w:w="100" w:type="dxa"/>
              <w:end w:w="120" w:type="dxa"/>
            </w:tcMar>
            <w:vAlign w:val="center"/>
          </w:tcPr>
          <w:p>
            <w:pPr>
              <w:spacing w:after="0"/>
            </w:pPr>
            <w:r>
              <w:rPr>
                <w:rFonts w:ascii="DejaVu Sans" w:hAnsi="DejaVu Sans" w:eastAsia="DejaVu Sans"/>
                <w:b/>
                <w:color w:val="FFFFFF"/>
                <w:sz w:val="17"/>
              </w:rPr>
              <w:t>Vai trò</w:t>
            </w:r>
          </w:p>
        </w:tc>
        <w:tc>
          <w:tcPr>
            <w:tcW w:type="dxa" w:w="2300"/>
            <w:shd w:fill="14263D"/>
            <w:tcMar>
              <w:top w:w="100" w:type="dxa"/>
              <w:start w:w="120" w:type="dxa"/>
              <w:bottom w:w="100" w:type="dxa"/>
              <w:end w:w="120" w:type="dxa"/>
            </w:tcMar>
            <w:vAlign w:val="center"/>
          </w:tcPr>
          <w:p>
            <w:pPr>
              <w:spacing w:after="0"/>
            </w:pPr>
            <w:r>
              <w:rPr>
                <w:rFonts w:ascii="DejaVu Sans" w:hAnsi="DejaVu Sans" w:eastAsia="DejaVu Sans"/>
                <w:b/>
                <w:color w:val="FFFFFF"/>
                <w:sz w:val="17"/>
              </w:rPr>
              <w:t>Typeface production</w:t>
            </w:r>
          </w:p>
        </w:tc>
        <w:tc>
          <w:tcPr>
            <w:tcW w:type="dxa" w:w="2400"/>
            <w:shd w:fill="14263D"/>
            <w:tcMar>
              <w:top w:w="100" w:type="dxa"/>
              <w:start w:w="120" w:type="dxa"/>
              <w:bottom w:w="100" w:type="dxa"/>
              <w:end w:w="120" w:type="dxa"/>
            </w:tcMar>
            <w:vAlign w:val="center"/>
          </w:tcPr>
          <w:p>
            <w:pPr>
              <w:spacing w:after="0"/>
            </w:pPr>
            <w:r>
              <w:rPr>
                <w:rFonts w:ascii="DejaVu Sans" w:hAnsi="DejaVu Sans" w:eastAsia="DejaVu Sans"/>
                <w:b/>
                <w:color w:val="FFFFFF"/>
                <w:sz w:val="17"/>
              </w:rPr>
              <w:t>Fallback / dùng trong tài liệu</w:t>
            </w:r>
          </w:p>
        </w:tc>
        <w:tc>
          <w:tcPr>
            <w:tcW w:type="dxa" w:w="3060"/>
            <w:shd w:fill="14263D"/>
            <w:tcMar>
              <w:top w:w="100" w:type="dxa"/>
              <w:start w:w="120" w:type="dxa"/>
              <w:bottom w:w="100" w:type="dxa"/>
              <w:end w:w="120" w:type="dxa"/>
            </w:tcMar>
            <w:vAlign w:val="center"/>
          </w:tcPr>
          <w:p>
            <w:pPr>
              <w:spacing w:after="0"/>
            </w:pPr>
            <w:r>
              <w:rPr>
                <w:rFonts w:ascii="DejaVu Sans" w:hAnsi="DejaVu Sans" w:eastAsia="DejaVu Sans"/>
                <w:b/>
                <w:color w:val="FFFFFF"/>
                <w:sz w:val="17"/>
              </w:rPr>
              <w:t>Quy tắc</w:t>
            </w:r>
          </w:p>
        </w:tc>
      </w:tr>
      <w:tr>
        <w:tc>
          <w:tcPr>
            <w:tcW w:type="dxa" w:w="16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Display/editorial</w:t>
            </w:r>
          </w:p>
        </w:tc>
        <w:tc>
          <w:tcPr>
            <w:tcW w:type="dxa" w:w="23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Source Serif 4 Variable</w:t>
            </w:r>
          </w:p>
        </w:tc>
        <w:tc>
          <w:tcPr>
            <w:tcW w:type="dxa" w:w="24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Georgia / DejaVu Serif</w:t>
            </w:r>
          </w:p>
        </w:tc>
        <w:tc>
          <w:tcPr>
            <w:tcW w:type="dxa" w:w="30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Heading, lead, quote, bài đọc dài có chủ ý; không dùng cho form và bảng dữ liệu.</w:t>
            </w:r>
          </w:p>
        </w:tc>
      </w:tr>
      <w:tr>
        <w:tc>
          <w:tcPr>
            <w:tcW w:type="dxa" w:w="16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UI/body/data</w:t>
            </w:r>
          </w:p>
        </w:tc>
        <w:tc>
          <w:tcPr>
            <w:tcW w:type="dxa" w:w="23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Be Vietnam Pro Variable</w:t>
            </w:r>
          </w:p>
        </w:tc>
        <w:tc>
          <w:tcPr>
            <w:tcW w:type="dxa" w:w="24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system-ui / DejaVu Sans</w:t>
            </w:r>
          </w:p>
        </w:tc>
        <w:tc>
          <w:tcPr>
            <w:tcW w:type="dxa" w:w="30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Form, label, body, table, CTA; dùng tabular numerals cho ngày giờ và metadata.</w:t>
            </w:r>
          </w:p>
        </w:tc>
      </w:tr>
    </w:tbl>
    <w:p>
      <w:pPr>
        <w:spacing w:after="40"/>
      </w:pPr>
    </w:p>
    <w:p>
      <w:pPr>
        <w:keepLines w:val="0"/>
      </w:pPr>
      <w:r>
        <w:rPr>
          <w:rFonts w:ascii="DejaVu Sans" w:hAnsi="DejaVu Sans" w:eastAsia="DejaVu Sans"/>
          <w:i w:val="0"/>
          <w:color w:val="263445"/>
          <w:sz w:val="20"/>
        </w:rPr>
        <w:t>Be Vietnam Pro được thiết kế với letterform/diacritic tiếng Việt và mục tiêu đọc tốt [S13]. Source Serif 4 là typeface open-source cho nhiều cỡ, weight và ngôn ngữ; cần QA đầy đủ dấu tiếng Việt trước khi ship [S14].</w:t>
      </w:r>
    </w:p>
    <w:p>
      <w:pPr>
        <w:pStyle w:val="Heading3"/>
      </w:pPr>
      <w:r>
        <w:t>Type scale — web</w:t>
      </w:r>
    </w:p>
    <w:tbl>
      <w:tblPr>
        <w:tblStyle w:val="TableGrid"/>
        <w:tblW w:type="dxa" w:w="9360"/>
        <w:jc w:val="left"/>
        <w:tblLayout w:type="fixed"/>
        <w:tblLook w:firstColumn="1" w:firstRow="1" w:lastColumn="0" w:lastRow="0" w:noHBand="0" w:noVBand="1" w:val="04A0"/>
        <w:tblInd w:w="120" w:type="dxa"/>
      </w:tblPr>
      <w:tblGrid>
        <w:gridCol w:w="2400"/>
        <w:gridCol w:w="2400"/>
        <w:gridCol w:w="2400"/>
        <w:gridCol w:w="2160"/>
      </w:tblGrid>
      <w:tr>
        <w:trPr>
          <w:tblHeader w:val="true"/>
        </w:trPr>
        <w:tc>
          <w:tcPr>
            <w:tcW w:type="dxa" w:w="2400"/>
            <w:shd w:fill="14263D"/>
            <w:tcMar>
              <w:top w:w="100" w:type="dxa"/>
              <w:start w:w="120" w:type="dxa"/>
              <w:bottom w:w="100" w:type="dxa"/>
              <w:end w:w="120" w:type="dxa"/>
            </w:tcMar>
            <w:vAlign w:val="center"/>
          </w:tcPr>
          <w:p>
            <w:pPr>
              <w:spacing w:after="0"/>
            </w:pPr>
            <w:r>
              <w:rPr>
                <w:rFonts w:ascii="DejaVu Sans" w:hAnsi="DejaVu Sans" w:eastAsia="DejaVu Sans"/>
                <w:b/>
                <w:color w:val="FFFFFF"/>
                <w:sz w:val="17"/>
              </w:rPr>
              <w:t>Style</w:t>
            </w:r>
          </w:p>
        </w:tc>
        <w:tc>
          <w:tcPr>
            <w:tcW w:type="dxa" w:w="2400"/>
            <w:shd w:fill="14263D"/>
            <w:tcMar>
              <w:top w:w="100" w:type="dxa"/>
              <w:start w:w="120" w:type="dxa"/>
              <w:bottom w:w="100" w:type="dxa"/>
              <w:end w:w="120" w:type="dxa"/>
            </w:tcMar>
            <w:vAlign w:val="center"/>
          </w:tcPr>
          <w:p>
            <w:pPr>
              <w:spacing w:after="0"/>
            </w:pPr>
            <w:r>
              <w:rPr>
                <w:rFonts w:ascii="DejaVu Sans" w:hAnsi="DejaVu Sans" w:eastAsia="DejaVu Sans"/>
                <w:b/>
                <w:color w:val="FFFFFF"/>
                <w:sz w:val="17"/>
              </w:rPr>
              <w:t>Desktop</w:t>
            </w:r>
          </w:p>
        </w:tc>
        <w:tc>
          <w:tcPr>
            <w:tcW w:type="dxa" w:w="2400"/>
            <w:shd w:fill="14263D"/>
            <w:tcMar>
              <w:top w:w="100" w:type="dxa"/>
              <w:start w:w="120" w:type="dxa"/>
              <w:bottom w:w="100" w:type="dxa"/>
              <w:end w:w="120" w:type="dxa"/>
            </w:tcMar>
            <w:vAlign w:val="center"/>
          </w:tcPr>
          <w:p>
            <w:pPr>
              <w:spacing w:after="0"/>
            </w:pPr>
            <w:r>
              <w:rPr>
                <w:rFonts w:ascii="DejaVu Sans" w:hAnsi="DejaVu Sans" w:eastAsia="DejaVu Sans"/>
                <w:b/>
                <w:color w:val="FFFFFF"/>
                <w:sz w:val="17"/>
              </w:rPr>
              <w:t>Mobile</w:t>
            </w:r>
          </w:p>
        </w:tc>
        <w:tc>
          <w:tcPr>
            <w:tcW w:type="dxa" w:w="2160"/>
            <w:shd w:fill="14263D"/>
            <w:tcMar>
              <w:top w:w="100" w:type="dxa"/>
              <w:start w:w="120" w:type="dxa"/>
              <w:bottom w:w="100" w:type="dxa"/>
              <w:end w:w="120" w:type="dxa"/>
            </w:tcMar>
            <w:vAlign w:val="center"/>
          </w:tcPr>
          <w:p>
            <w:pPr>
              <w:spacing w:after="0"/>
            </w:pPr>
            <w:r>
              <w:rPr>
                <w:rFonts w:ascii="DejaVu Sans" w:hAnsi="DejaVu Sans" w:eastAsia="DejaVu Sans"/>
                <w:b/>
                <w:color w:val="FFFFFF"/>
                <w:sz w:val="17"/>
              </w:rPr>
              <w:t>Weight</w:t>
            </w:r>
          </w:p>
        </w:tc>
      </w:tr>
      <w:tr>
        <w:tc>
          <w:tcPr>
            <w:tcW w:type="dxa" w:w="24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Display</w:t>
            </w:r>
          </w:p>
        </w:tc>
        <w:tc>
          <w:tcPr>
            <w:tcW w:type="dxa" w:w="24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48/56</w:t>
            </w:r>
          </w:p>
        </w:tc>
        <w:tc>
          <w:tcPr>
            <w:tcW w:type="dxa" w:w="24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36/44</w:t>
            </w:r>
          </w:p>
        </w:tc>
        <w:tc>
          <w:tcPr>
            <w:tcW w:type="dxa" w:w="21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600</w:t>
            </w:r>
          </w:p>
        </w:tc>
      </w:tr>
      <w:tr>
        <w:tc>
          <w:tcPr>
            <w:tcW w:type="dxa" w:w="24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H1</w:t>
            </w:r>
          </w:p>
        </w:tc>
        <w:tc>
          <w:tcPr>
            <w:tcW w:type="dxa" w:w="24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40/48</w:t>
            </w:r>
          </w:p>
        </w:tc>
        <w:tc>
          <w:tcPr>
            <w:tcW w:type="dxa" w:w="24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32/40</w:t>
            </w:r>
          </w:p>
        </w:tc>
        <w:tc>
          <w:tcPr>
            <w:tcW w:type="dxa" w:w="21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600</w:t>
            </w:r>
          </w:p>
        </w:tc>
      </w:tr>
      <w:tr>
        <w:tc>
          <w:tcPr>
            <w:tcW w:type="dxa" w:w="24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H2</w:t>
            </w:r>
          </w:p>
        </w:tc>
        <w:tc>
          <w:tcPr>
            <w:tcW w:type="dxa" w:w="24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32/40</w:t>
            </w:r>
          </w:p>
        </w:tc>
        <w:tc>
          <w:tcPr>
            <w:tcW w:type="dxa" w:w="24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28/36</w:t>
            </w:r>
          </w:p>
        </w:tc>
        <w:tc>
          <w:tcPr>
            <w:tcW w:type="dxa" w:w="21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600</w:t>
            </w:r>
          </w:p>
        </w:tc>
      </w:tr>
      <w:tr>
        <w:tc>
          <w:tcPr>
            <w:tcW w:type="dxa" w:w="24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H3</w:t>
            </w:r>
          </w:p>
        </w:tc>
        <w:tc>
          <w:tcPr>
            <w:tcW w:type="dxa" w:w="24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24/32</w:t>
            </w:r>
          </w:p>
        </w:tc>
        <w:tc>
          <w:tcPr>
            <w:tcW w:type="dxa" w:w="24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24/32</w:t>
            </w:r>
          </w:p>
        </w:tc>
        <w:tc>
          <w:tcPr>
            <w:tcW w:type="dxa" w:w="21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600</w:t>
            </w:r>
          </w:p>
        </w:tc>
      </w:tr>
      <w:tr>
        <w:tc>
          <w:tcPr>
            <w:tcW w:type="dxa" w:w="24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H4</w:t>
            </w:r>
          </w:p>
        </w:tc>
        <w:tc>
          <w:tcPr>
            <w:tcW w:type="dxa" w:w="24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20/28</w:t>
            </w:r>
          </w:p>
        </w:tc>
        <w:tc>
          <w:tcPr>
            <w:tcW w:type="dxa" w:w="24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20/28</w:t>
            </w:r>
          </w:p>
        </w:tc>
        <w:tc>
          <w:tcPr>
            <w:tcW w:type="dxa" w:w="21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600</w:t>
            </w:r>
          </w:p>
        </w:tc>
      </w:tr>
      <w:tr>
        <w:tc>
          <w:tcPr>
            <w:tcW w:type="dxa" w:w="24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Lead</w:t>
            </w:r>
          </w:p>
        </w:tc>
        <w:tc>
          <w:tcPr>
            <w:tcW w:type="dxa" w:w="24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18/30</w:t>
            </w:r>
          </w:p>
        </w:tc>
        <w:tc>
          <w:tcPr>
            <w:tcW w:type="dxa" w:w="24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18/30</w:t>
            </w:r>
          </w:p>
        </w:tc>
        <w:tc>
          <w:tcPr>
            <w:tcW w:type="dxa" w:w="21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400</w:t>
            </w:r>
          </w:p>
        </w:tc>
      </w:tr>
      <w:tr>
        <w:tc>
          <w:tcPr>
            <w:tcW w:type="dxa" w:w="24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Body</w:t>
            </w:r>
          </w:p>
        </w:tc>
        <w:tc>
          <w:tcPr>
            <w:tcW w:type="dxa" w:w="24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16/26</w:t>
            </w:r>
          </w:p>
        </w:tc>
        <w:tc>
          <w:tcPr>
            <w:tcW w:type="dxa" w:w="24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16/26</w:t>
            </w:r>
          </w:p>
        </w:tc>
        <w:tc>
          <w:tcPr>
            <w:tcW w:type="dxa" w:w="21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400</w:t>
            </w:r>
          </w:p>
        </w:tc>
      </w:tr>
      <w:tr>
        <w:tc>
          <w:tcPr>
            <w:tcW w:type="dxa" w:w="24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Small</w:t>
            </w:r>
          </w:p>
        </w:tc>
        <w:tc>
          <w:tcPr>
            <w:tcW w:type="dxa" w:w="24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14/22</w:t>
            </w:r>
          </w:p>
        </w:tc>
        <w:tc>
          <w:tcPr>
            <w:tcW w:type="dxa" w:w="24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14/22</w:t>
            </w:r>
          </w:p>
        </w:tc>
        <w:tc>
          <w:tcPr>
            <w:tcW w:type="dxa" w:w="21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400/500</w:t>
            </w:r>
          </w:p>
        </w:tc>
      </w:tr>
      <w:tr>
        <w:tc>
          <w:tcPr>
            <w:tcW w:type="dxa" w:w="24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Caption</w:t>
            </w:r>
          </w:p>
        </w:tc>
        <w:tc>
          <w:tcPr>
            <w:tcW w:type="dxa" w:w="24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12/18</w:t>
            </w:r>
          </w:p>
        </w:tc>
        <w:tc>
          <w:tcPr>
            <w:tcW w:type="dxa" w:w="24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12/18</w:t>
            </w:r>
          </w:p>
        </w:tc>
        <w:tc>
          <w:tcPr>
            <w:tcW w:type="dxa" w:w="21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500</w:t>
            </w:r>
          </w:p>
        </w:tc>
      </w:tr>
      <w:tr>
        <w:tc>
          <w:tcPr>
            <w:tcW w:type="dxa" w:w="24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Button</w:t>
            </w:r>
          </w:p>
        </w:tc>
        <w:tc>
          <w:tcPr>
            <w:tcW w:type="dxa" w:w="24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15/20</w:t>
            </w:r>
          </w:p>
        </w:tc>
        <w:tc>
          <w:tcPr>
            <w:tcW w:type="dxa" w:w="24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15/20</w:t>
            </w:r>
          </w:p>
        </w:tc>
        <w:tc>
          <w:tcPr>
            <w:tcW w:type="dxa" w:w="21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7"/>
              </w:rPr>
              <w:t>600</w:t>
            </w:r>
          </w:p>
        </w:tc>
      </w:tr>
    </w:tbl>
    <w:p>
      <w:pPr>
        <w:spacing w:after="40"/>
      </w:pPr>
    </w:p>
    <w:p>
      <w:pPr>
        <w:numPr>
          <w:ilvl w:val="0"/>
          <w:numId w:val="10"/>
        </w:numPr>
      </w:pPr>
      <w:r>
        <w:rPr>
          <w:rFonts w:ascii="DejaVu Sans" w:hAnsi="DejaVu Sans" w:eastAsia="DejaVu Sans"/>
          <w:color w:val="263445"/>
          <w:sz w:val="20"/>
        </w:rPr>
        <w:t>Reading measure 60–72 ký tự; phần luận giải tối đa khoảng 720px.</w:t>
      </w:r>
    </w:p>
    <w:p>
      <w:pPr>
        <w:numPr>
          <w:ilvl w:val="0"/>
          <w:numId w:val="10"/>
        </w:numPr>
      </w:pPr>
      <w:r>
        <w:rPr>
          <w:rFonts w:ascii="DejaVu Sans" w:hAnsi="DejaVu Sans" w:eastAsia="DejaVu Sans"/>
          <w:color w:val="263445"/>
          <w:sz w:val="20"/>
        </w:rPr>
        <w:t>Không viết HOA cả câu tiếng Việt; không letter-spacing âm với heading nhiều dấu.</w:t>
      </w:r>
    </w:p>
    <w:p>
      <w:pPr>
        <w:numPr>
          <w:ilvl w:val="0"/>
          <w:numId w:val="10"/>
        </w:numPr>
      </w:pPr>
      <w:r>
        <w:rPr>
          <w:rFonts w:ascii="DejaVu Sans" w:hAnsi="DejaVu Sans" w:eastAsia="DejaVu Sans"/>
          <w:color w:val="263445"/>
          <w:sz w:val="20"/>
        </w:rPr>
        <w:t>Preload đúng weight 400/500/600; ưu tiên variable WOFF2 và subset Vietnamese.</w:t>
      </w:r>
    </w:p>
    <w:p>
      <w:pPr>
        <w:pStyle w:val="Heading2"/>
      </w:pPr>
      <w:r>
        <w:t>5.4 Grid, spacing, shape</w:t>
      </w:r>
    </w:p>
    <w:p>
      <w:pPr>
        <w:numPr>
          <w:ilvl w:val="0"/>
          <w:numId w:val="10"/>
        </w:numPr>
      </w:pPr>
      <w:r>
        <w:rPr>
          <w:rFonts w:ascii="DejaVu Sans" w:hAnsi="DejaVu Sans" w:eastAsia="DejaVu Sans"/>
          <w:b/>
          <w:color w:val="14263D"/>
          <w:sz w:val="20"/>
        </w:rPr>
        <w:t xml:space="preserve">Grid: </w:t>
      </w:r>
      <w:r>
        <w:rPr>
          <w:rFonts w:ascii="DejaVu Sans" w:hAnsi="DejaVu Sans" w:eastAsia="DejaVu Sans"/>
          <w:color w:val="263445"/>
          <w:sz w:val="20"/>
        </w:rPr>
        <w:t>mobile 4 cột / margin 16 / gutter 16; tablet 8 cột / margin 24 / gutter 20; desktop 12 cột / margin 40 / gutter 24.</w:t>
      </w:r>
    </w:p>
    <w:p>
      <w:pPr>
        <w:numPr>
          <w:ilvl w:val="0"/>
          <w:numId w:val="10"/>
        </w:numPr>
      </w:pPr>
      <w:r>
        <w:rPr>
          <w:rFonts w:ascii="DejaVu Sans" w:hAnsi="DejaVu Sans" w:eastAsia="DejaVu Sans"/>
          <w:b/>
          <w:color w:val="14263D"/>
          <w:sz w:val="20"/>
        </w:rPr>
        <w:t xml:space="preserve">Containers: </w:t>
      </w:r>
      <w:r>
        <w:rPr>
          <w:rFonts w:ascii="DejaVu Sans" w:hAnsi="DejaVu Sans" w:eastAsia="DejaVu Sans"/>
          <w:color w:val="263445"/>
          <w:sz w:val="20"/>
        </w:rPr>
        <w:t>max 1200px; reading container 720px; chart/dashboard 1200px nhưng narrative vẫn 720px.</w:t>
      </w:r>
    </w:p>
    <w:p>
      <w:pPr>
        <w:numPr>
          <w:ilvl w:val="0"/>
          <w:numId w:val="10"/>
        </w:numPr>
      </w:pPr>
      <w:r>
        <w:rPr>
          <w:rFonts w:ascii="DejaVu Sans" w:hAnsi="DejaVu Sans" w:eastAsia="DejaVu Sans"/>
          <w:b/>
          <w:color w:val="14263D"/>
          <w:sz w:val="20"/>
        </w:rPr>
        <w:t xml:space="preserve">Spacing scale: </w:t>
      </w:r>
      <w:r>
        <w:rPr>
          <w:rFonts w:ascii="DejaVu Sans" w:hAnsi="DejaVu Sans" w:eastAsia="DejaVu Sans"/>
          <w:color w:val="263445"/>
          <w:sz w:val="20"/>
        </w:rPr>
        <w:t>4, 8, 12, 16, 24, 32, 48, 64, 96px.</w:t>
      </w:r>
    </w:p>
    <w:p>
      <w:pPr>
        <w:numPr>
          <w:ilvl w:val="0"/>
          <w:numId w:val="10"/>
        </w:numPr>
      </w:pPr>
      <w:r>
        <w:rPr>
          <w:rFonts w:ascii="DejaVu Sans" w:hAnsi="DejaVu Sans" w:eastAsia="DejaVu Sans"/>
          <w:b/>
          <w:color w:val="14263D"/>
          <w:sz w:val="20"/>
        </w:rPr>
        <w:t xml:space="preserve">Radius: </w:t>
      </w:r>
      <w:r>
        <w:rPr>
          <w:rFonts w:ascii="DejaVu Sans" w:hAnsi="DejaVu Sans" w:eastAsia="DejaVu Sans"/>
          <w:color w:val="263445"/>
          <w:sz w:val="20"/>
        </w:rPr>
        <w:t>4px nhỏ; 8px control/card; 12px modal/panel; pill chỉ dùng tag/filter.</w:t>
      </w:r>
    </w:p>
    <w:p>
      <w:pPr>
        <w:numPr>
          <w:ilvl w:val="0"/>
          <w:numId w:val="10"/>
        </w:numPr>
      </w:pPr>
      <w:r>
        <w:rPr>
          <w:rFonts w:ascii="DejaVu Sans" w:hAnsi="DejaVu Sans" w:eastAsia="DejaVu Sans"/>
          <w:b/>
          <w:color w:val="14263D"/>
          <w:sz w:val="20"/>
        </w:rPr>
        <w:t xml:space="preserve">Elevation: </w:t>
      </w:r>
      <w:r>
        <w:rPr>
          <w:rFonts w:ascii="DejaVu Sans" w:hAnsi="DejaVu Sans" w:eastAsia="DejaVu Sans"/>
          <w:color w:val="263445"/>
          <w:sz w:val="20"/>
        </w:rPr>
        <w:t>card thường dùng border; shadow nhẹ chỉ cho lớp nổi: 0 8px 24px rgba(20,38,61,.10).</w:t>
      </w:r>
    </w:p>
    <w:p>
      <w:pPr>
        <w:numPr>
          <w:ilvl w:val="0"/>
          <w:numId w:val="10"/>
        </w:numPr>
      </w:pPr>
      <w:r>
        <w:rPr>
          <w:rFonts w:ascii="DejaVu Sans" w:hAnsi="DejaVu Sans" w:eastAsia="DejaVu Sans"/>
          <w:b/>
          <w:color w:val="14263D"/>
          <w:sz w:val="20"/>
        </w:rPr>
        <w:t xml:space="preserve">Touch target: </w:t>
      </w:r>
      <w:r>
        <w:rPr>
          <w:rFonts w:ascii="DejaVu Sans" w:hAnsi="DejaVu Sans" w:eastAsia="DejaVu Sans"/>
          <w:color w:val="263445"/>
          <w:sz w:val="20"/>
        </w:rPr>
        <w:t>target sản phẩm tối thiểu 44×44px dù WCAG 2.2 AA quy định tối thiểu 24×24px trong nhiều trường hợp [S11].</w:t>
      </w:r>
    </w:p>
    <w:p>
      <w:pPr>
        <w:pStyle w:val="Heading2"/>
      </w:pPr>
      <w:r>
        <w:t>5.5 Imagery &amp; illustration</w:t>
      </w:r>
    </w:p>
    <w:p>
      <w:pPr>
        <w:numPr>
          <w:ilvl w:val="0"/>
          <w:numId w:val="10"/>
        </w:numPr>
      </w:pPr>
      <w:r>
        <w:rPr>
          <w:rFonts w:ascii="DejaVu Sans" w:hAnsi="DejaVu Sans" w:eastAsia="DejaVu Sans"/>
          <w:b/>
          <w:color w:val="14263D"/>
          <w:sz w:val="20"/>
        </w:rPr>
        <w:t xml:space="preserve">Ưu tiên: </w:t>
      </w:r>
      <w:r>
        <w:rPr>
          <w:rFonts w:ascii="DejaVu Sans" w:hAnsi="DejaVu Sans" w:eastAsia="DejaVu Sans"/>
          <w:color w:val="263445"/>
          <w:sz w:val="20"/>
        </w:rPr>
        <w:t>line-art mực navy, một điểm son; tư liệu/sách/bản khắc có nguồn; ảnh đời sống đương đại tự nhiên; texture giấy 2–4%.</w:t>
      </w:r>
    </w:p>
    <w:p>
      <w:pPr>
        <w:numPr>
          <w:ilvl w:val="0"/>
          <w:numId w:val="10"/>
        </w:numPr>
      </w:pPr>
      <w:r>
        <w:rPr>
          <w:rFonts w:ascii="DejaVu Sans" w:hAnsi="DejaVu Sans" w:eastAsia="DejaVu Sans"/>
          <w:b/>
          <w:color w:val="14263D"/>
          <w:sz w:val="20"/>
        </w:rPr>
        <w:t xml:space="preserve">Bắt buộc: </w:t>
      </w:r>
      <w:r>
        <w:rPr>
          <w:rFonts w:ascii="DejaVu Sans" w:hAnsi="DejaVu Sans" w:eastAsia="DejaVu Sans"/>
          <w:color w:val="263445"/>
          <w:sz w:val="20"/>
        </w:rPr>
        <w:t>asset văn hóa phải có nguồn gốc và context; icon chuyên ngành được content expert kiểm duyệt.</w:t>
      </w:r>
    </w:p>
    <w:p>
      <w:pPr>
        <w:numPr>
          <w:ilvl w:val="0"/>
          <w:numId w:val="10"/>
        </w:numPr>
      </w:pPr>
      <w:r>
        <w:rPr>
          <w:rFonts w:ascii="DejaVu Sans" w:hAnsi="DejaVu Sans" w:eastAsia="DejaVu Sans"/>
          <w:b/>
          <w:color w:val="14263D"/>
          <w:sz w:val="20"/>
        </w:rPr>
        <w:t xml:space="preserve">Tránh: </w:t>
      </w:r>
      <w:r>
        <w:rPr>
          <w:rFonts w:ascii="DejaVu Sans" w:hAnsi="DejaVu Sans" w:eastAsia="DejaVu Sans"/>
          <w:color w:val="263445"/>
          <w:sz w:val="20"/>
        </w:rPr>
        <w:t>stock “người suy tư”, thầy bói, khói hương, quả cầu, vàng kim giả, AI art giả cổ, chữ Hán/Nôm không kiểm chứng, vũ trụ tím.</w:t>
      </w:r>
    </w:p>
    <w:p>
      <w:pPr>
        <w:pStyle w:val="Heading2"/>
      </w:pPr>
      <w:r>
        <w:t>5.6 Iconography</w:t>
      </w:r>
    </w:p>
    <w:p>
      <w:pPr>
        <w:numPr>
          <w:ilvl w:val="0"/>
          <w:numId w:val="10"/>
        </w:numPr>
      </w:pPr>
      <w:r>
        <w:rPr>
          <w:rFonts w:ascii="DejaVu Sans" w:hAnsi="DejaVu Sans" w:eastAsia="DejaVu Sans"/>
          <w:color w:val="263445"/>
          <w:sz w:val="20"/>
        </w:rPr>
        <w:t>Bộ cơ sở: Lucide; size 16/20/24px; stroke 1.75px; round cap/join.</w:t>
      </w:r>
    </w:p>
    <w:p>
      <w:pPr>
        <w:numPr>
          <w:ilvl w:val="0"/>
          <w:numId w:val="10"/>
        </w:numPr>
      </w:pPr>
      <w:r>
        <w:rPr>
          <w:rFonts w:ascii="DejaVu Sans" w:hAnsi="DejaVu Sans" w:eastAsia="DejaVu Sans"/>
          <w:color w:val="263445"/>
          <w:sz w:val="20"/>
        </w:rPr>
        <w:t>Icon chuyên ngành vẽ riêng trên cùng grid. Không trộn outline, filled, emoji và biểu tượng trang trí trong một flow.</w:t>
      </w:r>
    </w:p>
    <w:p>
      <w:pPr>
        <w:numPr>
          <w:ilvl w:val="0"/>
          <w:numId w:val="10"/>
        </w:numPr>
      </w:pPr>
      <w:r>
        <w:rPr>
          <w:rFonts w:ascii="DejaVu Sans" w:hAnsi="DejaVu Sans" w:eastAsia="DejaVu Sans"/>
          <w:color w:val="263445"/>
          <w:sz w:val="20"/>
        </w:rPr>
        <w:t>Icon không thay label ở hành động quan trọng hoặc thuật ngữ chuyên môn.</w:t>
      </w:r>
    </w:p>
    <w:p>
      <w:pPr>
        <w:pStyle w:val="Heading2"/>
      </w:pPr>
      <w:r>
        <w:t>5.7 Lá số &amp; data visualization</w:t>
      </w:r>
    </w:p>
    <w:p>
      <w:pPr>
        <w:numPr>
          <w:ilvl w:val="0"/>
          <w:numId w:val="10"/>
        </w:numPr>
      </w:pPr>
      <w:r>
        <w:rPr>
          <w:rFonts w:ascii="DejaVu Sans" w:hAnsi="DejaVu Sans" w:eastAsia="DejaVu Sans"/>
          <w:color w:val="263445"/>
          <w:sz w:val="20"/>
        </w:rPr>
        <w:t>Lá số là công cụ đọc dữ liệu, không phải poster trang trí.</w:t>
      </w:r>
    </w:p>
    <w:p>
      <w:pPr>
        <w:numPr>
          <w:ilvl w:val="0"/>
          <w:numId w:val="10"/>
        </w:numPr>
      </w:pPr>
      <w:r>
        <w:rPr>
          <w:rFonts w:ascii="DejaVu Sans" w:hAnsi="DejaVu Sans" w:eastAsia="DejaVu Sans"/>
          <w:color w:val="263445"/>
          <w:sz w:val="20"/>
        </w:rPr>
        <w:t>Desktop: toàn cảnh + chọn cung. Mobile: overview + chọn cung + panel/list; không thu nhỏ toàn bộ tới mức không đọc được.</w:t>
      </w:r>
    </w:p>
    <w:p>
      <w:pPr>
        <w:numPr>
          <w:ilvl w:val="0"/>
          <w:numId w:val="10"/>
        </w:numPr>
      </w:pPr>
      <w:r>
        <w:rPr>
          <w:rFonts w:ascii="DejaVu Sans" w:hAnsi="DejaVu Sans" w:eastAsia="DejaVu Sans"/>
          <w:color w:val="263445"/>
          <w:sz w:val="20"/>
        </w:rPr>
        <w:t>Ghi nhãn trực tiếp khi có thể; tooltip phải hoạt động bằng tap, keyboard focus và screen reader.</w:t>
      </w:r>
    </w:p>
    <w:p>
      <w:pPr>
        <w:numPr>
          <w:ilvl w:val="0"/>
          <w:numId w:val="10"/>
        </w:numPr>
      </w:pPr>
      <w:r>
        <w:rPr>
          <w:rFonts w:ascii="DejaVu Sans" w:hAnsi="DejaVu Sans" w:eastAsia="DejaVu Sans"/>
          <w:color w:val="263445"/>
          <w:sz w:val="20"/>
        </w:rPr>
        <w:t>Không mã hóa thuận lợi/căng thẳng chỉ bằng màu; dùng label, icon, pattern và giải thích ngữ cảnh.</w:t>
      </w:r>
    </w:p>
    <w:p>
      <w:pPr>
        <w:numPr>
          <w:ilvl w:val="0"/>
          <w:numId w:val="10"/>
        </w:numPr>
      </w:pPr>
      <w:r>
        <w:rPr>
          <w:rFonts w:ascii="DejaVu Sans" w:hAnsi="DejaVu Sans" w:eastAsia="DejaVu Sans"/>
          <w:color w:val="263445"/>
          <w:sz w:val="20"/>
        </w:rPr>
        <w:t>Cung cấp view bảng/list tương đương để hỗ trợ accessibility và chia sẻ.</w:t>
      </w:r>
    </w:p>
    <w:p>
      <w:pPr>
        <w:numPr>
          <w:ilvl w:val="0"/>
          <w:numId w:val="10"/>
        </w:numPr>
      </w:pPr>
      <w:r>
        <w:rPr>
          <w:rFonts w:ascii="DejaVu Sans" w:hAnsi="DejaVu Sans" w:eastAsia="DejaVu Sans"/>
          <w:color w:val="263445"/>
          <w:sz w:val="20"/>
        </w:rPr>
        <w:t>Palette series: #1B3A57, #A63D2F, #467A6B, #8A622C, #66578A, #4E7395, #875566; luôn bổ sung marker/nét/label.</w:t>
      </w:r>
    </w:p>
    <w:p>
      <w:pPr>
        <w:pStyle w:val="Heading2"/>
      </w:pPr>
      <w:r>
        <w:t>5.8 Motion &amp; dark mode</w:t>
      </w:r>
    </w:p>
    <w:p>
      <w:pPr>
        <w:numPr>
          <w:ilvl w:val="0"/>
          <w:numId w:val="10"/>
        </w:numPr>
      </w:pPr>
      <w:r>
        <w:rPr>
          <w:rFonts w:ascii="DejaVu Sans" w:hAnsi="DejaVu Sans" w:eastAsia="DejaVu Sans"/>
          <w:b/>
          <w:color w:val="14263D"/>
          <w:sz w:val="20"/>
        </w:rPr>
        <w:t xml:space="preserve">Motion: </w:t>
      </w:r>
      <w:r>
        <w:rPr>
          <w:rFonts w:ascii="DejaVu Sans" w:hAnsi="DejaVu Sans" w:eastAsia="DejaVu Sans"/>
          <w:color w:val="263445"/>
          <w:sz w:val="20"/>
        </w:rPr>
        <w:t>120ms feedback; 180ms standard; 240ms panel/modal; di chuyển 4–8px; tôn trọng prefers-reduced-motion.</w:t>
      </w:r>
    </w:p>
    <w:p>
      <w:pPr>
        <w:numPr>
          <w:ilvl w:val="0"/>
          <w:numId w:val="10"/>
        </w:numPr>
      </w:pPr>
      <w:r>
        <w:rPr>
          <w:rFonts w:ascii="DejaVu Sans" w:hAnsi="DejaVu Sans" w:eastAsia="DejaVu Sans"/>
          <w:b/>
          <w:color w:val="14263D"/>
          <w:sz w:val="20"/>
        </w:rPr>
        <w:t xml:space="preserve">Không dùng: </w:t>
      </w:r>
      <w:r>
        <w:rPr>
          <w:rFonts w:ascii="DejaVu Sans" w:hAnsi="DejaVu Sans" w:eastAsia="DejaVu Sans"/>
          <w:color w:val="263445"/>
          <w:sz w:val="20"/>
        </w:rPr>
        <w:t>parallax, sao bay, lá số xoay, “mở cổng vận mệnh”, shimmer mạnh.</w:t>
      </w:r>
    </w:p>
    <w:p>
      <w:pPr>
        <w:numPr>
          <w:ilvl w:val="0"/>
          <w:numId w:val="10"/>
        </w:numPr>
      </w:pPr>
      <w:r>
        <w:rPr>
          <w:rFonts w:ascii="DejaVu Sans" w:hAnsi="DejaVu Sans" w:eastAsia="DejaVu Sans"/>
          <w:b/>
          <w:color w:val="14263D"/>
          <w:sz w:val="20"/>
        </w:rPr>
        <w:t xml:space="preserve">Dark mode: </w:t>
      </w:r>
      <w:r>
        <w:rPr>
          <w:rFonts w:ascii="DejaVu Sans" w:hAnsi="DejaVu Sans" w:eastAsia="DejaVu Sans"/>
          <w:color w:val="263445"/>
          <w:sz w:val="20"/>
        </w:rPr>
        <w:t>không thuộc MVP. Chỉ làm khi có dữ liệu đọc ban đêm; không auto-invert, cần palette được thiết kế và test riêng.</w:t>
      </w:r>
    </w:p>
    <w:p>
      <w:pPr>
        <w:pStyle w:val="Heading1"/>
      </w:pPr>
      <w:r>
        <w:t>06. Product experience principles</w:t>
      </w:r>
    </w:p>
    <w:p>
      <w:pPr>
        <w:pStyle w:val="Heading2"/>
      </w:pPr>
      <w:r>
        <w:t>6.1 Mười nguyên tắc UX</w:t>
      </w:r>
    </w:p>
    <w:p>
      <w:pPr>
        <w:numPr>
          <w:ilvl w:val="0"/>
          <w:numId w:val="11"/>
        </w:numPr>
      </w:pPr>
      <w:r>
        <w:rPr>
          <w:rFonts w:ascii="DejaVu Sans" w:hAnsi="DejaVu Sans" w:eastAsia="DejaVu Sans"/>
          <w:color w:val="263445"/>
          <w:sz w:val="20"/>
        </w:rPr>
        <w:t>Method-first acquisition — gọi đúng tên phương pháp ở H1, title và URL.</w:t>
      </w:r>
    </w:p>
    <w:p>
      <w:pPr>
        <w:numPr>
          <w:ilvl w:val="0"/>
          <w:numId w:val="11"/>
        </w:numPr>
      </w:pPr>
      <w:r>
        <w:rPr>
          <w:rFonts w:ascii="DejaVu Sans" w:hAnsi="DejaVu Sans" w:eastAsia="DejaVu Sans"/>
          <w:color w:val="263445"/>
          <w:sz w:val="20"/>
        </w:rPr>
        <w:t>Value before account — cho lập thử và thấy giá trị trước khi yêu cầu tài khoản.</w:t>
      </w:r>
    </w:p>
    <w:p>
      <w:pPr>
        <w:numPr>
          <w:ilvl w:val="0"/>
          <w:numId w:val="11"/>
        </w:numPr>
      </w:pPr>
      <w:r>
        <w:rPr>
          <w:rFonts w:ascii="DejaVu Sans" w:hAnsi="DejaVu Sans" w:eastAsia="DejaVu Sans"/>
          <w:color w:val="263445"/>
          <w:sz w:val="20"/>
        </w:rPr>
        <w:t>Small win before paywall — chart cơ bản, ba insight, một evidence explanation.</w:t>
      </w:r>
    </w:p>
    <w:p>
      <w:pPr>
        <w:numPr>
          <w:ilvl w:val="0"/>
          <w:numId w:val="11"/>
        </w:numPr>
      </w:pPr>
      <w:r>
        <w:rPr>
          <w:rFonts w:ascii="DejaVu Sans" w:hAnsi="DejaVu Sans" w:eastAsia="DejaVu Sans"/>
          <w:color w:val="263445"/>
          <w:sz w:val="20"/>
        </w:rPr>
        <w:t>Progressive disclosure — ngôn ngữ đời thường trước, thuật ngữ/rule sau.</w:t>
      </w:r>
    </w:p>
    <w:p>
      <w:pPr>
        <w:numPr>
          <w:ilvl w:val="0"/>
          <w:numId w:val="11"/>
        </w:numPr>
      </w:pPr>
      <w:r>
        <w:rPr>
          <w:rFonts w:ascii="DejaVu Sans" w:hAnsi="DejaVu Sans" w:eastAsia="DejaVu Sans"/>
          <w:color w:val="263445"/>
          <w:sz w:val="20"/>
        </w:rPr>
        <w:t>Evidence at the moment of doubt — “Vì sao?” nằm cạnh claim, không chôn trong methodology.</w:t>
      </w:r>
    </w:p>
    <w:p>
      <w:pPr>
        <w:numPr>
          <w:ilvl w:val="0"/>
          <w:numId w:val="11"/>
        </w:numPr>
      </w:pPr>
      <w:r>
        <w:rPr>
          <w:rFonts w:ascii="DejaVu Sans" w:hAnsi="DejaVu Sans" w:eastAsia="DejaVu Sans"/>
          <w:color w:val="263445"/>
          <w:sz w:val="20"/>
        </w:rPr>
        <w:t>Uncertainty is visible — unknown time, confidence và limitation không bị giấu.</w:t>
      </w:r>
    </w:p>
    <w:p>
      <w:pPr>
        <w:numPr>
          <w:ilvl w:val="0"/>
          <w:numId w:val="11"/>
        </w:numPr>
      </w:pPr>
      <w:r>
        <w:rPr>
          <w:rFonts w:ascii="DejaVu Sans" w:hAnsi="DejaVu Sans" w:eastAsia="DejaVu Sans"/>
          <w:color w:val="263445"/>
          <w:sz w:val="20"/>
        </w:rPr>
        <w:t>Agency over fatalism — mỗi phần có điều quan sát/hành động trong vùng kiểm soát.</w:t>
      </w:r>
    </w:p>
    <w:p>
      <w:pPr>
        <w:numPr>
          <w:ilvl w:val="0"/>
          <w:numId w:val="11"/>
        </w:numPr>
      </w:pPr>
      <w:r>
        <w:rPr>
          <w:rFonts w:ascii="DejaVu Sans" w:hAnsi="DejaVu Sans" w:eastAsia="DejaVu Sans"/>
          <w:color w:val="263445"/>
          <w:sz w:val="20"/>
        </w:rPr>
        <w:t>Private by default — report noindex, URL không đoán được, share ẩn dữ liệu.</w:t>
      </w:r>
    </w:p>
    <w:p>
      <w:pPr>
        <w:numPr>
          <w:ilvl w:val="0"/>
          <w:numId w:val="11"/>
        </w:numPr>
      </w:pPr>
      <w:r>
        <w:rPr>
          <w:rFonts w:ascii="DejaVu Sans" w:hAnsi="DejaVu Sans" w:eastAsia="DejaVu Sans"/>
          <w:color w:val="263445"/>
          <w:sz w:val="20"/>
        </w:rPr>
        <w:t>Commercial clarity — sample, mục lục, giá cuối, thanh toán một lần, thời gian, support và regeneration.</w:t>
      </w:r>
    </w:p>
    <w:p>
      <w:pPr>
        <w:numPr>
          <w:ilvl w:val="0"/>
          <w:numId w:val="11"/>
        </w:numPr>
      </w:pPr>
      <w:r>
        <w:rPr>
          <w:rFonts w:ascii="DejaVu Sans" w:hAnsi="DejaVu Sans" w:eastAsia="DejaVu Sans"/>
          <w:color w:val="263445"/>
          <w:sz w:val="20"/>
        </w:rPr>
        <w:t>No dependency loops — không streak, không cảnh báo vận xấu, không khuyến khích xem lặp lại để giảm lo âu.</w:t>
      </w:r>
    </w:p>
    <w:p>
      <w:pPr>
        <w:pStyle w:val="Heading2"/>
      </w:pPr>
      <w:r>
        <w:t>6.2 Canonical funnel</w:t>
      </w:r>
    </w:p>
    <w:p>
      <w:pPr>
        <w:spacing w:before="80" w:after="180"/>
        <w:ind w:left="202" w:right="115"/>
        <w:shd w:fill="F7F1E5"/>
        <w:pBdr>
          <w:left w:val="single" w:sz="18" w:space="8" w:color="14263D"/>
        </w:pBdr>
      </w:pPr>
      <w:r>
        <w:rPr>
          <w:rFonts w:ascii="DejaVu Sans" w:hAnsi="DejaVu Sans" w:eastAsia="DejaVu Sans"/>
          <w:b/>
          <w:color w:val="14263D"/>
          <w:sz w:val="18"/>
        </w:rPr>
        <w:t xml:space="preserve">FLOW  </w:t>
      </w:r>
      <w:r>
        <w:rPr>
          <w:rFonts w:ascii="DejaVu Sans" w:hAnsi="DejaVu Sans" w:eastAsia="DejaVu Sans"/>
          <w:color w:val="14263D"/>
          <w:sz w:val="20"/>
        </w:rPr>
        <w:t>Từ khóa/nhu cầu → trang phương pháp → nhập dữ liệu sinh → lá số miễn phí → tóm tắt có căn cứ → chọn chủ đề sâu → thanh toán → báo cáo → lưu/chia sẻ riêng tư</w:t>
      </w:r>
    </w:p>
    <w:p>
      <w:pPr>
        <w:pStyle w:val="Heading2"/>
      </w:pPr>
      <w:r>
        <w:t>6.3 Form lập lá số</w:t>
      </w:r>
    </w:p>
    <w:p>
      <w:pPr>
        <w:numPr>
          <w:ilvl w:val="0"/>
          <w:numId w:val="10"/>
        </w:numPr>
      </w:pPr>
      <w:r>
        <w:rPr>
          <w:rFonts w:ascii="DejaVu Sans" w:hAnsi="DejaVu Sans" w:eastAsia="DejaVu Sans"/>
          <w:color w:val="263445"/>
          <w:sz w:val="20"/>
        </w:rPr>
        <w:t>Chỉ hỏi trường bắt buộc; giải thích “Vì sao cần giờ/nơi sinh?” ngay tại chỗ.</w:t>
      </w:r>
    </w:p>
    <w:p>
      <w:pPr>
        <w:numPr>
          <w:ilvl w:val="0"/>
          <w:numId w:val="10"/>
        </w:numPr>
      </w:pPr>
      <w:r>
        <w:rPr>
          <w:rFonts w:ascii="DejaVu Sans" w:hAnsi="DejaVu Sans" w:eastAsia="DejaVu Sans"/>
          <w:color w:val="263445"/>
          <w:sz w:val="20"/>
        </w:rPr>
        <w:t>Có “Không rõ giờ sinh”; không giả định âm thầm hoặc ép nhập đại.</w:t>
      </w:r>
    </w:p>
    <w:p>
      <w:pPr>
        <w:numPr>
          <w:ilvl w:val="0"/>
          <w:numId w:val="10"/>
        </w:numPr>
      </w:pPr>
      <w:r>
        <w:rPr>
          <w:rFonts w:ascii="DejaVu Sans" w:hAnsi="DejaVu Sans" w:eastAsia="DejaVu Sans"/>
          <w:color w:val="263445"/>
          <w:sz w:val="20"/>
        </w:rPr>
        <w:t>Ngày dương lịch là mặc định; lịch âm chỉ khi engine chuyển đổi đã kiểm thử.</w:t>
      </w:r>
    </w:p>
    <w:p>
      <w:pPr>
        <w:numPr>
          <w:ilvl w:val="0"/>
          <w:numId w:val="10"/>
        </w:numPr>
      </w:pPr>
      <w:r>
        <w:rPr>
          <w:rFonts w:ascii="DejaVu Sans" w:hAnsi="DejaVu Sans" w:eastAsia="DejaVu Sans"/>
          <w:color w:val="263445"/>
          <w:sz w:val="20"/>
        </w:rPr>
        <w:t>Resolve timezone và cho người dùng xác nhận; hỗ trợ lỗi cụ thể, không validation quá sớm.</w:t>
      </w:r>
    </w:p>
    <w:p>
      <w:pPr>
        <w:numPr>
          <w:ilvl w:val="0"/>
          <w:numId w:val="10"/>
        </w:numPr>
      </w:pPr>
      <w:r>
        <w:rPr>
          <w:rFonts w:ascii="DejaVu Sans" w:hAnsi="DejaVu Sans" w:eastAsia="DejaVu Sans"/>
          <w:color w:val="263445"/>
          <w:sz w:val="20"/>
        </w:rPr>
        <w:t>Cho xem lại input trước khi tạo; không yêu cầu số điện thoại trước khi có giá trị.</w:t>
      </w:r>
    </w:p>
    <w:p>
      <w:pPr>
        <w:numPr>
          <w:ilvl w:val="0"/>
          <w:numId w:val="10"/>
        </w:numPr>
      </w:pPr>
      <w:r>
        <w:rPr>
          <w:rFonts w:ascii="DejaVu Sans" w:hAnsi="DejaVu Sans" w:eastAsia="DejaVu Sans"/>
          <w:color w:val="263445"/>
          <w:sz w:val="20"/>
        </w:rPr>
        <w:t>Nếu lập cho người khác: nhắc xin phép; cho phép xử lý tạm thời không lưu.</w:t>
      </w:r>
    </w:p>
    <w:p>
      <w:pPr>
        <w:pStyle w:val="Heading2"/>
      </w:pPr>
      <w:r>
        <w:t>6.4 Free experience</w:t>
      </w:r>
    </w:p>
    <w:p>
      <w:pPr>
        <w:numPr>
          <w:ilvl w:val="0"/>
          <w:numId w:val="10"/>
        </w:numPr>
      </w:pPr>
      <w:r>
        <w:rPr>
          <w:rFonts w:ascii="DejaVu Sans" w:hAnsi="DejaVu Sans" w:eastAsia="DejaVu Sans"/>
          <w:color w:val="263445"/>
          <w:sz w:val="20"/>
        </w:rPr>
        <w:t>Toàn bộ sơ đồ lá số cơ bản; dữ liệu đầu vào và phương pháp.</w:t>
      </w:r>
    </w:p>
    <w:p>
      <w:pPr>
        <w:numPr>
          <w:ilvl w:val="0"/>
          <w:numId w:val="10"/>
        </w:numPr>
      </w:pPr>
      <w:r>
        <w:rPr>
          <w:rFonts w:ascii="DejaVu Sans" w:hAnsi="DejaVu Sans" w:eastAsia="DejaVu Sans"/>
          <w:color w:val="263445"/>
          <w:sz w:val="20"/>
        </w:rPr>
        <w:t>Ba insight nổi bật, một thế mạnh, một điểm căng thẳng và chủ đề nên xem sâu.</w:t>
      </w:r>
    </w:p>
    <w:p>
      <w:pPr>
        <w:numPr>
          <w:ilvl w:val="0"/>
          <w:numId w:val="10"/>
        </w:numPr>
      </w:pPr>
      <w:r>
        <w:rPr>
          <w:rFonts w:ascii="DejaVu Sans" w:hAnsi="DejaVu Sans" w:eastAsia="DejaVu Sans"/>
          <w:color w:val="263445"/>
          <w:sz w:val="20"/>
        </w:rPr>
        <w:t>Một evidence drawer mở được; preview 10–15% nội dung trả phí, không blur giả.</w:t>
      </w:r>
    </w:p>
    <w:p>
      <w:pPr>
        <w:numPr>
          <w:ilvl w:val="0"/>
          <w:numId w:val="10"/>
        </w:numPr>
      </w:pPr>
      <w:r>
        <w:rPr>
          <w:rFonts w:ascii="DejaVu Sans" w:hAnsi="DejaVu Sans" w:eastAsia="DejaVu Sans"/>
          <w:color w:val="263445"/>
          <w:sz w:val="20"/>
        </w:rPr>
        <w:t>Phản hồi Đúng / Một phần / Không đúng; không dùng phản hồi để biến hệ thống thành “luôn đúng”.</w:t>
      </w:r>
    </w:p>
    <w:p>
      <w:pPr>
        <w:pStyle w:val="Heading2"/>
      </w:pPr>
      <w:r>
        <w:t>6.5 Evidence drawer</w:t>
      </w:r>
    </w:p>
    <w:p>
      <w:pPr>
        <w:numPr>
          <w:ilvl w:val="0"/>
          <w:numId w:val="10"/>
        </w:numPr>
      </w:pPr>
      <w:r>
        <w:rPr>
          <w:rFonts w:ascii="DejaVu Sans" w:hAnsi="DejaVu Sans" w:eastAsia="DejaVu Sans"/>
          <w:color w:val="263445"/>
          <w:sz w:val="20"/>
        </w:rPr>
        <w:t>Label thân thiện; vị trí liên quan trên chart; quy tắc ngắn; confidence; ảnh hưởng của giờ sinh; action có thể quan sát.</w:t>
      </w:r>
    </w:p>
    <w:p>
      <w:pPr>
        <w:numPr>
          <w:ilvl w:val="0"/>
          <w:numId w:val="10"/>
        </w:numPr>
      </w:pPr>
      <w:r>
        <w:rPr>
          <w:rFonts w:ascii="DejaVu Sans" w:hAnsi="DejaVu Sans" w:eastAsia="DejaVu Sans"/>
          <w:color w:val="263445"/>
          <w:sz w:val="20"/>
        </w:rPr>
        <w:t>Không lộ prompt hoặc chi tiết nội bộ không cần thiết; không biến evidence thành jargon dump.</w:t>
      </w:r>
    </w:p>
    <w:p>
      <w:pPr>
        <w:numPr>
          <w:ilvl w:val="0"/>
          <w:numId w:val="10"/>
        </w:numPr>
      </w:pPr>
      <w:r>
        <w:rPr>
          <w:rFonts w:ascii="DejaVu Sans" w:hAnsi="DejaVu Sans" w:eastAsia="DejaVu Sans"/>
          <w:color w:val="263445"/>
          <w:sz w:val="20"/>
        </w:rPr>
        <w:t>Nếu evidence xung đột, mô tả tension thay vì chọn kết luận tuyệt đối.</w:t>
      </w:r>
    </w:p>
    <w:p>
      <w:pPr>
        <w:pStyle w:val="Heading2"/>
      </w:pPr>
      <w:r>
        <w:t>6.6 Paywall &amp; checkout</w:t>
      </w:r>
    </w:p>
    <w:p>
      <w:pPr>
        <w:numPr>
          <w:ilvl w:val="0"/>
          <w:numId w:val="10"/>
        </w:numPr>
      </w:pPr>
      <w:r>
        <w:rPr>
          <w:rFonts w:ascii="DejaVu Sans" w:hAnsi="DejaVu Sans" w:eastAsia="DejaVu Sans"/>
          <w:color w:val="263445"/>
          <w:sz w:val="20"/>
        </w:rPr>
        <w:t>Bán chiều sâu, cấu trúc và tính cá nhân — không bán “cảnh báo bị khóa”.</w:t>
      </w:r>
    </w:p>
    <w:p>
      <w:pPr>
        <w:numPr>
          <w:ilvl w:val="0"/>
          <w:numId w:val="10"/>
        </w:numPr>
      </w:pPr>
      <w:r>
        <w:rPr>
          <w:rFonts w:ascii="DejaVu Sans" w:hAnsi="DejaVu Sans" w:eastAsia="DejaVu Sans"/>
          <w:color w:val="263445"/>
          <w:sz w:val="20"/>
        </w:rPr>
        <w:t>CTA cạnh: tên SKU, nội dung nhận được, sample, độ dài, thời gian tạo, giá cuối, mua một lần/không auto-renew nếu đúng.</w:t>
      </w:r>
    </w:p>
    <w:p>
      <w:pPr>
        <w:numPr>
          <w:ilvl w:val="0"/>
          <w:numId w:val="10"/>
        </w:numPr>
      </w:pPr>
      <w:r>
        <w:rPr>
          <w:rFonts w:ascii="DejaVu Sans" w:hAnsi="DejaVu Sans" w:eastAsia="DejaVu Sans"/>
          <w:color w:val="263445"/>
          <w:sz w:val="20"/>
        </w:rPr>
        <w:t>Hiển thị phương thức thanh toán thật, trạng thái pending/success/failed, support và quy trình nhập sai/tạo lại.</w:t>
      </w:r>
    </w:p>
    <w:p>
      <w:pPr>
        <w:numPr>
          <w:ilvl w:val="0"/>
          <w:numId w:val="10"/>
        </w:numPr>
      </w:pPr>
      <w:r>
        <w:rPr>
          <w:rFonts w:ascii="DejaVu Sans" w:hAnsi="DejaVu Sans" w:eastAsia="DejaVu Sans"/>
          <w:color w:val="263445"/>
          <w:sz w:val="20"/>
        </w:rPr>
        <w:t>Ưu tiên payment method quen thuộc tại Việt Nam sau khi review provider; QR có độ phổ biến cao nhưng vẫn cần UX chống chuyển nhầm và fraud [S7].</w:t>
      </w:r>
    </w:p>
    <w:p>
      <w:pPr>
        <w:pStyle w:val="Heading2"/>
      </w:pPr>
      <w:r>
        <w:t>6.7 Report experience</w:t>
      </w:r>
    </w:p>
    <w:p>
      <w:pPr>
        <w:numPr>
          <w:ilvl w:val="0"/>
          <w:numId w:val="11"/>
        </w:numPr>
      </w:pPr>
      <w:r>
        <w:rPr>
          <w:rFonts w:ascii="DejaVu Sans" w:hAnsi="DejaVu Sans" w:eastAsia="DejaVu Sans"/>
          <w:color w:val="263445"/>
          <w:sz w:val="20"/>
        </w:rPr>
        <w:t>Tóm tắt cá nhân — 5–7 luận điểm.</w:t>
      </w:r>
    </w:p>
    <w:p>
      <w:pPr>
        <w:numPr>
          <w:ilvl w:val="0"/>
          <w:numId w:val="11"/>
        </w:numPr>
      </w:pPr>
      <w:r>
        <w:rPr>
          <w:rFonts w:ascii="DejaVu Sans" w:hAnsi="DejaVu Sans" w:eastAsia="DejaVu Sans"/>
          <w:color w:val="263445"/>
          <w:sz w:val="20"/>
        </w:rPr>
        <w:t>Dữ liệu, phương pháp, timezone, rule set và giới hạn.</w:t>
      </w:r>
    </w:p>
    <w:p>
      <w:pPr>
        <w:numPr>
          <w:ilvl w:val="0"/>
          <w:numId w:val="11"/>
        </w:numPr>
      </w:pPr>
      <w:r>
        <w:rPr>
          <w:rFonts w:ascii="DejaVu Sans" w:hAnsi="DejaVu Sans" w:eastAsia="DejaVu Sans"/>
          <w:color w:val="263445"/>
          <w:sz w:val="20"/>
        </w:rPr>
        <w:t>Căn cứ chính.</w:t>
      </w:r>
    </w:p>
    <w:p>
      <w:pPr>
        <w:numPr>
          <w:ilvl w:val="0"/>
          <w:numId w:val="11"/>
        </w:numPr>
      </w:pPr>
      <w:r>
        <w:rPr>
          <w:rFonts w:ascii="DejaVu Sans" w:hAnsi="DejaVu Sans" w:eastAsia="DejaVu Sans"/>
          <w:color w:val="263445"/>
          <w:sz w:val="20"/>
        </w:rPr>
        <w:t>Thế mạnh và nguồn lực.</w:t>
      </w:r>
    </w:p>
    <w:p>
      <w:pPr>
        <w:numPr>
          <w:ilvl w:val="0"/>
          <w:numId w:val="11"/>
        </w:numPr>
      </w:pPr>
      <w:r>
        <w:rPr>
          <w:rFonts w:ascii="DejaVu Sans" w:hAnsi="DejaVu Sans" w:eastAsia="DejaVu Sans"/>
          <w:color w:val="263445"/>
          <w:sz w:val="20"/>
        </w:rPr>
        <w:t>Mâu thuẫn và điểm dễ mắc kẹt.</w:t>
      </w:r>
    </w:p>
    <w:p>
      <w:pPr>
        <w:numPr>
          <w:ilvl w:val="0"/>
          <w:numId w:val="11"/>
        </w:numPr>
      </w:pPr>
      <w:r>
        <w:rPr>
          <w:rFonts w:ascii="DejaVu Sans" w:hAnsi="DejaVu Sans" w:eastAsia="DejaVu Sans"/>
          <w:color w:val="263445"/>
          <w:sz w:val="20"/>
        </w:rPr>
        <w:t>Phân tích chủ đề.</w:t>
      </w:r>
    </w:p>
    <w:p>
      <w:pPr>
        <w:numPr>
          <w:ilvl w:val="0"/>
          <w:numId w:val="11"/>
        </w:numPr>
      </w:pPr>
      <w:r>
        <w:rPr>
          <w:rFonts w:ascii="DejaVu Sans" w:hAnsi="DejaVu Sans" w:eastAsia="DejaVu Sans"/>
          <w:color w:val="263445"/>
          <w:sz w:val="20"/>
        </w:rPr>
        <w:t>Chu kỳ/thời điểm bằng ngôn ngữ xác suất.</w:t>
      </w:r>
    </w:p>
    <w:p>
      <w:pPr>
        <w:numPr>
          <w:ilvl w:val="0"/>
          <w:numId w:val="11"/>
        </w:numPr>
      </w:pPr>
      <w:r>
        <w:rPr>
          <w:rFonts w:ascii="DejaVu Sans" w:hAnsi="DejaVu Sans" w:eastAsia="DejaVu Sans"/>
          <w:color w:val="263445"/>
          <w:sz w:val="20"/>
        </w:rPr>
        <w:t>Điều trong vùng kiểm soát.</w:t>
      </w:r>
    </w:p>
    <w:p>
      <w:pPr>
        <w:numPr>
          <w:ilvl w:val="0"/>
          <w:numId w:val="11"/>
        </w:numPr>
      </w:pPr>
      <w:r>
        <w:rPr>
          <w:rFonts w:ascii="DejaVu Sans" w:hAnsi="DejaVu Sans" w:eastAsia="DejaVu Sans"/>
          <w:color w:val="263445"/>
          <w:sz w:val="20"/>
        </w:rPr>
        <w:t>Câu hỏi tự phản chiếu.</w:t>
      </w:r>
    </w:p>
    <w:p>
      <w:pPr>
        <w:numPr>
          <w:ilvl w:val="0"/>
          <w:numId w:val="11"/>
        </w:numPr>
      </w:pPr>
      <w:r>
        <w:rPr>
          <w:rFonts w:ascii="DejaVu Sans" w:hAnsi="DejaVu Sans" w:eastAsia="DejaVu Sans"/>
          <w:color w:val="263445"/>
          <w:sz w:val="20"/>
        </w:rPr>
        <w:t>Tóm tắt hành động tối đa 5 mục.</w:t>
      </w:r>
    </w:p>
    <w:p>
      <w:pPr>
        <w:numPr>
          <w:ilvl w:val="0"/>
          <w:numId w:val="11"/>
        </w:numPr>
      </w:pPr>
      <w:r>
        <w:rPr>
          <w:rFonts w:ascii="DejaVu Sans" w:hAnsi="DejaVu Sans" w:eastAsia="DejaVu Sans"/>
          <w:color w:val="263445"/>
          <w:sz w:val="20"/>
        </w:rPr>
        <w:t>Giới hạn phương pháp và disclaimer.</w:t>
      </w:r>
    </w:p>
    <w:p>
      <w:pPr>
        <w:pStyle w:val="Heading1"/>
      </w:pPr>
      <w:r>
        <w:t>07. Trust, privacy &amp; safety by design</w:t>
      </w:r>
    </w:p>
    <w:p>
      <w:pPr>
        <w:pStyle w:val="Heading2"/>
      </w:pPr>
      <w:r>
        <w:t>7.1 Trust stack</w:t>
      </w:r>
    </w:p>
    <w:p>
      <w:pPr>
        <w:numPr>
          <w:ilvl w:val="0"/>
          <w:numId w:val="11"/>
        </w:numPr>
      </w:pPr>
      <w:r>
        <w:rPr>
          <w:rFonts w:ascii="DejaVu Sans" w:hAnsi="DejaVu Sans" w:eastAsia="DejaVu Sans"/>
          <w:color w:val="263445"/>
          <w:sz w:val="20"/>
        </w:rPr>
        <w:t>Input trust — dữ liệu rõ, sửa được, giải thích vì sao cần.</w:t>
      </w:r>
    </w:p>
    <w:p>
      <w:pPr>
        <w:numPr>
          <w:ilvl w:val="0"/>
          <w:numId w:val="11"/>
        </w:numPr>
      </w:pPr>
      <w:r>
        <w:rPr>
          <w:rFonts w:ascii="DejaVu Sans" w:hAnsi="DejaVu Sans" w:eastAsia="DejaVu Sans"/>
          <w:color w:val="263445"/>
          <w:sz w:val="20"/>
        </w:rPr>
        <w:t>Calculation trust — hệ/phương pháp, timezone, lịch, engine version.</w:t>
      </w:r>
    </w:p>
    <w:p>
      <w:pPr>
        <w:numPr>
          <w:ilvl w:val="0"/>
          <w:numId w:val="11"/>
        </w:numPr>
      </w:pPr>
      <w:r>
        <w:rPr>
          <w:rFonts w:ascii="DejaVu Sans" w:hAnsi="DejaVu Sans" w:eastAsia="DejaVu Sans"/>
          <w:color w:val="263445"/>
          <w:sz w:val="20"/>
        </w:rPr>
        <w:t>Explanation trust — claim chính có “Vì sao?”.</w:t>
      </w:r>
    </w:p>
    <w:p>
      <w:pPr>
        <w:numPr>
          <w:ilvl w:val="0"/>
          <w:numId w:val="11"/>
        </w:numPr>
      </w:pPr>
      <w:r>
        <w:rPr>
          <w:rFonts w:ascii="DejaVu Sans" w:hAnsi="DejaVu Sans" w:eastAsia="DejaVu Sans"/>
          <w:color w:val="263445"/>
          <w:sz w:val="20"/>
        </w:rPr>
        <w:t>Source trust — nguồn tri thức, ngày cập nhật, tách tính toán/diễn giải.</w:t>
      </w:r>
    </w:p>
    <w:p>
      <w:pPr>
        <w:numPr>
          <w:ilvl w:val="0"/>
          <w:numId w:val="11"/>
        </w:numPr>
      </w:pPr>
      <w:r>
        <w:rPr>
          <w:rFonts w:ascii="DejaVu Sans" w:hAnsi="DejaVu Sans" w:eastAsia="DejaVu Sans"/>
          <w:color w:val="263445"/>
          <w:sz w:val="20"/>
        </w:rPr>
        <w:t>Commercial trust — giá, deliverable, không auto-renew, support/regeneration.</w:t>
      </w:r>
    </w:p>
    <w:p>
      <w:pPr>
        <w:numPr>
          <w:ilvl w:val="0"/>
          <w:numId w:val="11"/>
        </w:numPr>
      </w:pPr>
      <w:r>
        <w:rPr>
          <w:rFonts w:ascii="DejaVu Sans" w:hAnsi="DejaVu Sans" w:eastAsia="DejaVu Sans"/>
          <w:color w:val="263445"/>
          <w:sz w:val="20"/>
        </w:rPr>
        <w:t>Privacy trust — consent, download/delete, private/noindex.</w:t>
      </w:r>
    </w:p>
    <w:p>
      <w:pPr>
        <w:numPr>
          <w:ilvl w:val="0"/>
          <w:numId w:val="11"/>
        </w:numPr>
      </w:pPr>
      <w:r>
        <w:rPr>
          <w:rFonts w:ascii="DejaVu Sans" w:hAnsi="DejaVu Sans" w:eastAsia="DejaVu Sans"/>
          <w:color w:val="263445"/>
          <w:sz w:val="20"/>
        </w:rPr>
        <w:t>Safety trust — giới hạn theo ngữ cảnh và kênh hỗ trợ.</w:t>
      </w:r>
    </w:p>
    <w:p>
      <w:pPr>
        <w:pStyle w:val="Heading2"/>
      </w:pPr>
      <w:r>
        <w:t>7.2 AI disclosure</w:t>
      </w:r>
    </w:p>
    <w:p>
      <w:pPr>
        <w:spacing w:before="80" w:after="180"/>
        <w:ind w:left="202" w:right="115"/>
        <w:shd w:fill="F7F1E5"/>
        <w:pBdr>
          <w:left w:val="single" w:sz="18" w:space="8" w:color="14263D"/>
        </w:pBdr>
      </w:pPr>
      <w:r>
        <w:rPr>
          <w:rFonts w:ascii="DejaVu Sans" w:hAnsi="DejaVu Sans" w:eastAsia="DejaVu Sans"/>
          <w:b/>
          <w:color w:val="14263D"/>
          <w:sz w:val="18"/>
        </w:rPr>
        <w:t xml:space="preserve">COPY CHUẨN  </w:t>
      </w:r>
      <w:r>
        <w:rPr>
          <w:rFonts w:ascii="DejaVu Sans" w:hAnsi="DejaVu Sans" w:eastAsia="DejaVu Sans"/>
          <w:color w:val="14263D"/>
          <w:sz w:val="20"/>
        </w:rPr>
        <w:t>Lá Số Việt sử dụng công cụ tính toán theo từng phương pháp và AI để tổ chức, đối chiếu và diễn giải kết quả bằng tiếng Việt. Mỗi nhận định quan trọng đều gắn với dữ liệu lá số được sử dụng. Nội dung mang tính tham khảo và tự chiêm nghiệm.</w:t>
      </w:r>
    </w:p>
    <w:p>
      <w:pPr>
        <w:keepLines w:val="0"/>
      </w:pPr>
      <w:r>
        <w:rPr>
          <w:rFonts w:ascii="DejaVu Sans" w:hAnsi="DejaVu Sans" w:eastAsia="DejaVu Sans"/>
          <w:i w:val="0"/>
          <w:color w:val="263445"/>
          <w:sz w:val="20"/>
        </w:rPr>
        <w:t>Disclosure phải xuất hiện ở “Cách chúng tôi luận giải”, FAQ và gần checkout/report; không giấu trong Terms. Không dùng “chuyên gia AI chính xác 99%”, avatar hoặc chữ ký chuyên gia giả.</w:t>
      </w:r>
    </w:p>
    <w:p>
      <w:pPr>
        <w:pStyle w:val="Heading2"/>
      </w:pPr>
      <w:r>
        <w:t>7.3 Privacy baseline</w:t>
      </w:r>
    </w:p>
    <w:p>
      <w:pPr>
        <w:keepLines w:val="0"/>
      </w:pPr>
      <w:r>
        <w:rPr>
          <w:rFonts w:ascii="DejaVu Sans" w:hAnsi="DejaVu Sans" w:eastAsia="DejaVu Sans"/>
          <w:i w:val="0"/>
          <w:color w:val="263445"/>
          <w:sz w:val="20"/>
        </w:rPr>
        <w:t>Từ 01.01.2026, Luật Bảo vệ dữ liệu cá nhân 91/2025/QH15 có hiệu lực [S9]. Ngày sinh, giờ sinh, nơi sinh, tên và ghi chú quan hệ có thể kết hợp thành hồ sơ cá nhân nhạy cảm về đời sống; cần legal review trước launch. Guideline này là yêu cầu sản phẩm, không phải tư vấn pháp lý.</w:t>
      </w:r>
    </w:p>
    <w:p>
      <w:pPr>
        <w:numPr>
          <w:ilvl w:val="0"/>
          <w:numId w:val="10"/>
        </w:numPr>
      </w:pPr>
      <w:r>
        <w:rPr>
          <w:rFonts w:ascii="DejaVu Sans" w:hAnsi="DejaVu Sans" w:eastAsia="DejaVu Sans"/>
          <w:color w:val="263445"/>
          <w:sz w:val="20"/>
        </w:rPr>
        <w:t>Consent riêng theo mục đích: vận hành dịch vụ, marketing, chia sẻ bên thứ ba và huấn luyện AI không gộp.</w:t>
      </w:r>
    </w:p>
    <w:p>
      <w:pPr>
        <w:numPr>
          <w:ilvl w:val="0"/>
          <w:numId w:val="10"/>
        </w:numPr>
      </w:pPr>
      <w:r>
        <w:rPr>
          <w:rFonts w:ascii="DejaVu Sans" w:hAnsi="DejaVu Sans" w:eastAsia="DejaVu Sans"/>
          <w:color w:val="263445"/>
          <w:sz w:val="20"/>
        </w:rPr>
        <w:t>Nói rõ dữ liệu nào được gửi tới nhà cung cấp AI, thời hạn lưu, quyền truy cập/chỉnh sửa/xóa/rút consent.</w:t>
      </w:r>
    </w:p>
    <w:p>
      <w:pPr>
        <w:numPr>
          <w:ilvl w:val="0"/>
          <w:numId w:val="10"/>
        </w:numPr>
      </w:pPr>
      <w:r>
        <w:rPr>
          <w:rFonts w:ascii="DejaVu Sans" w:hAnsi="DejaVu Sans" w:eastAsia="DejaVu Sans"/>
          <w:color w:val="263445"/>
          <w:sz w:val="20"/>
        </w:rPr>
        <w:t>Birth profile và report private by default; noindex; link không tuần tự; analytics không chứa ngày/giờ/nơi sinh hoặc nội dung report.</w:t>
      </w:r>
    </w:p>
    <w:p>
      <w:pPr>
        <w:numPr>
          <w:ilvl w:val="0"/>
          <w:numId w:val="10"/>
        </w:numPr>
      </w:pPr>
      <w:r>
        <w:rPr>
          <w:rFonts w:ascii="DejaVu Sans" w:hAnsi="DejaVu Sans" w:eastAsia="DejaVu Sans"/>
          <w:color w:val="263445"/>
          <w:sz w:val="20"/>
        </w:rPr>
        <w:t>Share card ẩn tên đầy đủ, ngày/giờ/nơi sinh và mã đơn mặc định.</w:t>
      </w:r>
    </w:p>
    <w:p>
      <w:pPr>
        <w:numPr>
          <w:ilvl w:val="0"/>
          <w:numId w:val="10"/>
        </w:numPr>
      </w:pPr>
      <w:r>
        <w:rPr>
          <w:rFonts w:ascii="DejaVu Sans" w:hAnsi="DejaVu Sans" w:eastAsia="DejaVu Sans"/>
          <w:color w:val="263445"/>
          <w:sz w:val="20"/>
        </w:rPr>
        <w:t>Không bán dữ liệu hoặc tạo hồ sơ quảng cáo từ nội dung lá số.</w:t>
      </w:r>
    </w:p>
    <w:p>
      <w:pPr>
        <w:numPr>
          <w:ilvl w:val="0"/>
          <w:numId w:val="10"/>
        </w:numPr>
      </w:pPr>
      <w:r>
        <w:rPr>
          <w:rFonts w:ascii="DejaVu Sans" w:hAnsi="DejaVu Sans" w:eastAsia="DejaVu Sans"/>
          <w:color w:val="263445"/>
          <w:sz w:val="20"/>
        </w:rPr>
        <w:t>Có age gate và policy riêng nếu xử lý dữ liệu trẻ em.</w:t>
      </w:r>
    </w:p>
    <w:p>
      <w:pPr>
        <w:pStyle w:val="Heading2"/>
      </w:pPr>
      <w:r>
        <w:t>7.4 Safety red lines</w:t>
      </w:r>
    </w:p>
    <w:p>
      <w:pPr>
        <w:numPr>
          <w:ilvl w:val="0"/>
          <w:numId w:val="10"/>
        </w:numPr>
      </w:pPr>
      <w:r>
        <w:rPr>
          <w:rFonts w:ascii="DejaVu Sans" w:hAnsi="DejaVu Sans" w:eastAsia="DejaVu Sans"/>
          <w:color w:val="263445"/>
          <w:sz w:val="20"/>
        </w:rPr>
        <w:t>Không dự đoán chắc chắn tử vong, bệnh nặng, tai nạn, phản bội, phá sản.</w:t>
      </w:r>
    </w:p>
    <w:p>
      <w:pPr>
        <w:numPr>
          <w:ilvl w:val="0"/>
          <w:numId w:val="10"/>
        </w:numPr>
      </w:pPr>
      <w:r>
        <w:rPr>
          <w:rFonts w:ascii="DejaVu Sans" w:hAnsi="DejaVu Sans" w:eastAsia="DejaVu Sans"/>
          <w:color w:val="263445"/>
          <w:sz w:val="20"/>
        </w:rPr>
        <w:t>Không chẩn đoán tâm lý/y khoa; không đưa lời khuyên đầu tư, pháp lý hoặc điều trị.</w:t>
      </w:r>
    </w:p>
    <w:p>
      <w:pPr>
        <w:numPr>
          <w:ilvl w:val="0"/>
          <w:numId w:val="10"/>
        </w:numPr>
      </w:pPr>
      <w:r>
        <w:rPr>
          <w:rFonts w:ascii="DejaVu Sans" w:hAnsi="DejaVu Sans" w:eastAsia="DejaVu Sans"/>
          <w:color w:val="263445"/>
          <w:sz w:val="20"/>
        </w:rPr>
        <w:t>Không dùng nỗi sợ vừa tạo ra để upsell; không “mua để hóa giải”.</w:t>
      </w:r>
    </w:p>
    <w:p>
      <w:pPr>
        <w:numPr>
          <w:ilvl w:val="0"/>
          <w:numId w:val="10"/>
        </w:numPr>
      </w:pPr>
      <w:r>
        <w:rPr>
          <w:rFonts w:ascii="DejaVu Sans" w:hAnsi="DejaVu Sans" w:eastAsia="DejaVu Sans"/>
          <w:color w:val="263445"/>
          <w:sz w:val="20"/>
        </w:rPr>
        <w:t>Không khuyến khích hỏi/xem lặp lại cùng vấn đề để giảm lo âu.</w:t>
      </w:r>
    </w:p>
    <w:p>
      <w:pPr>
        <w:numPr>
          <w:ilvl w:val="0"/>
          <w:numId w:val="10"/>
        </w:numPr>
      </w:pPr>
      <w:r>
        <w:rPr>
          <w:rFonts w:ascii="DejaVu Sans" w:hAnsi="DejaVu Sans" w:eastAsia="DejaVu Sans"/>
          <w:color w:val="263445"/>
          <w:sz w:val="20"/>
        </w:rPr>
        <w:t>Không content targeting dựa trên vulnerability suy đoán từ report.</w:t>
      </w:r>
    </w:p>
    <w:p>
      <w:pPr>
        <w:numPr>
          <w:ilvl w:val="0"/>
          <w:numId w:val="10"/>
        </w:numPr>
      </w:pPr>
      <w:r>
        <w:rPr>
          <w:rFonts w:ascii="DejaVu Sans" w:hAnsi="DejaVu Sans" w:eastAsia="DejaVu Sans"/>
          <w:color w:val="263445"/>
          <w:sz w:val="20"/>
        </w:rPr>
        <w:t>Nếu có dấu hiệu tự hại hoặc crisis, dừng diễn giải và chuyển sang hướng dẫn hỗ trợ an toàn đã được chuyên gia rà soát.</w:t>
      </w:r>
    </w:p>
    <w:p>
      <w:pPr>
        <w:pStyle w:val="Heading2"/>
      </w:pPr>
      <w:r>
        <w:t>7.5 Accessibility</w:t>
      </w:r>
    </w:p>
    <w:p>
      <w:pPr>
        <w:numPr>
          <w:ilvl w:val="0"/>
          <w:numId w:val="10"/>
        </w:numPr>
      </w:pPr>
      <w:r>
        <w:rPr>
          <w:rFonts w:ascii="DejaVu Sans" w:hAnsi="DejaVu Sans" w:eastAsia="DejaVu Sans"/>
          <w:color w:val="263445"/>
          <w:sz w:val="20"/>
        </w:rPr>
        <w:t>Chuẩn bắt buộc: WCAG 2.2 AA; normal text 4.5:1, large text 3:1, UI/focus 3:1 [S10][S12].</w:t>
      </w:r>
    </w:p>
    <w:p>
      <w:pPr>
        <w:numPr>
          <w:ilvl w:val="0"/>
          <w:numId w:val="10"/>
        </w:numPr>
      </w:pPr>
      <w:r>
        <w:rPr>
          <w:rFonts w:ascii="DejaVu Sans" w:hAnsi="DejaVu Sans" w:eastAsia="DejaVu Sans"/>
          <w:color w:val="263445"/>
          <w:sz w:val="20"/>
        </w:rPr>
        <w:t>Keyboard đầy đủ; focus order theo đọc; focus không bị che; tooltip hoạt động bằng focus/tap.</w:t>
      </w:r>
    </w:p>
    <w:p>
      <w:pPr>
        <w:numPr>
          <w:ilvl w:val="0"/>
          <w:numId w:val="10"/>
        </w:numPr>
      </w:pPr>
      <w:r>
        <w:rPr>
          <w:rFonts w:ascii="DejaVu Sans" w:hAnsi="DejaVu Sans" w:eastAsia="DejaVu Sans"/>
          <w:color w:val="263445"/>
          <w:sz w:val="20"/>
        </w:rPr>
        <w:t>Zoom 200%, reflow 320px, heading semantic, labels luôn hiển thị, error gần nguyên nhân.</w:t>
      </w:r>
    </w:p>
    <w:p>
      <w:pPr>
        <w:numPr>
          <w:ilvl w:val="0"/>
          <w:numId w:val="10"/>
        </w:numPr>
      </w:pPr>
      <w:r>
        <w:rPr>
          <w:rFonts w:ascii="DejaVu Sans" w:hAnsi="DejaVu Sans" w:eastAsia="DejaVu Sans"/>
          <w:color w:val="263445"/>
          <w:sz w:val="20"/>
        </w:rPr>
        <w:t>Screen reader đọc được tên cung, trạng thái chọn và narrative liên quan.</w:t>
      </w:r>
    </w:p>
    <w:p>
      <w:pPr>
        <w:numPr>
          <w:ilvl w:val="0"/>
          <w:numId w:val="10"/>
        </w:numPr>
      </w:pPr>
      <w:r>
        <w:rPr>
          <w:rFonts w:ascii="DejaVu Sans" w:hAnsi="DejaVu Sans" w:eastAsia="DejaVu Sans"/>
          <w:color w:val="263445"/>
          <w:sz w:val="20"/>
        </w:rPr>
        <w:t>Không dùng màu là tín hiệu duy nhất; reduced motion; không tự phát âm thanh.</w:t>
      </w:r>
    </w:p>
    <w:p>
      <w:pPr>
        <w:pStyle w:val="Heading1"/>
      </w:pPr>
      <w:r>
        <w:t>08. Component and content recipes</w:t>
      </w:r>
    </w:p>
    <w:p>
      <w:pPr>
        <w:pStyle w:val="Heading2"/>
      </w:pPr>
      <w:r>
        <w:t>8.1 Buttons &amp; links</w:t>
      </w:r>
    </w:p>
    <w:p>
      <w:pPr>
        <w:numPr>
          <w:ilvl w:val="0"/>
          <w:numId w:val="10"/>
        </w:numPr>
      </w:pPr>
      <w:r>
        <w:rPr>
          <w:rFonts w:ascii="DejaVu Sans" w:hAnsi="DejaVu Sans" w:eastAsia="DejaVu Sans"/>
          <w:color w:val="263445"/>
          <w:sz w:val="20"/>
        </w:rPr>
        <w:t>Primary: Ink 900 / chữ trắng; Accent: Cinnabar / chữ trắng; tối đa một accent CTA mỗi viewport/section.</w:t>
      </w:r>
    </w:p>
    <w:p>
      <w:pPr>
        <w:numPr>
          <w:ilvl w:val="0"/>
          <w:numId w:val="10"/>
        </w:numPr>
      </w:pPr>
      <w:r>
        <w:rPr>
          <w:rFonts w:ascii="DejaVu Sans" w:hAnsi="DejaVu Sans" w:eastAsia="DejaVu Sans"/>
          <w:color w:val="263445"/>
          <w:sz w:val="20"/>
        </w:rPr>
        <w:t>Secondary: nền trong + Control border; Tertiary: text/link có underline hoặc hover background.</w:t>
      </w:r>
    </w:p>
    <w:p>
      <w:pPr>
        <w:numPr>
          <w:ilvl w:val="0"/>
          <w:numId w:val="10"/>
        </w:numPr>
      </w:pPr>
      <w:r>
        <w:rPr>
          <w:rFonts w:ascii="DejaVu Sans" w:hAnsi="DejaVu Sans" w:eastAsia="DejaVu Sans"/>
          <w:color w:val="263445"/>
          <w:sz w:val="20"/>
        </w:rPr>
        <w:t>Disabled không chỉ giảm opacity; loading giữ width, đổi label khi tác vụ dài.</w:t>
      </w:r>
    </w:p>
    <w:p>
      <w:pPr>
        <w:numPr>
          <w:ilvl w:val="0"/>
          <w:numId w:val="10"/>
        </w:numPr>
      </w:pPr>
      <w:r>
        <w:rPr>
          <w:rFonts w:ascii="DejaVu Sans" w:hAnsi="DejaVu Sans" w:eastAsia="DejaVu Sans"/>
          <w:color w:val="263445"/>
          <w:sz w:val="20"/>
        </w:rPr>
        <w:t>Link trong nội dung dài luôn underline; visited state khác biệt trong thư viện kiến thức.</w:t>
      </w:r>
    </w:p>
    <w:p>
      <w:pPr>
        <w:pStyle w:val="Heading2"/>
      </w:pPr>
      <w:r>
        <w:t>8.2 Inputs</w:t>
      </w:r>
    </w:p>
    <w:p>
      <w:pPr>
        <w:numPr>
          <w:ilvl w:val="0"/>
          <w:numId w:val="10"/>
        </w:numPr>
      </w:pPr>
      <w:r>
        <w:rPr>
          <w:rFonts w:ascii="DejaVu Sans" w:hAnsi="DejaVu Sans" w:eastAsia="DejaVu Sans"/>
          <w:color w:val="263445"/>
          <w:sz w:val="20"/>
        </w:rPr>
        <w:t>Tối thiểu 44px; label ở trên, placeholder không thay label.</w:t>
      </w:r>
    </w:p>
    <w:p>
      <w:pPr>
        <w:numPr>
          <w:ilvl w:val="0"/>
          <w:numId w:val="10"/>
        </w:numPr>
      </w:pPr>
      <w:r>
        <w:rPr>
          <w:rFonts w:ascii="DejaVu Sans" w:hAnsi="DejaVu Sans" w:eastAsia="DejaVu Sans"/>
          <w:color w:val="263445"/>
          <w:sz w:val="20"/>
        </w:rPr>
        <w:t>Focus: border Ink 900 + ring 3px tương phản; error = border + icon + text cụ thể.</w:t>
      </w:r>
    </w:p>
    <w:p>
      <w:pPr>
        <w:numPr>
          <w:ilvl w:val="0"/>
          <w:numId w:val="10"/>
        </w:numPr>
      </w:pPr>
      <w:r>
        <w:rPr>
          <w:rFonts w:ascii="DejaVu Sans" w:hAnsi="DejaVu Sans" w:eastAsia="DejaVu Sans"/>
          <w:color w:val="263445"/>
          <w:sz w:val="20"/>
        </w:rPr>
        <w:t>Ngày/giờ/nơi sinh có ví dụ Việt Nam; date order rõ; không ép người dùng đoán timezone.</w:t>
      </w:r>
    </w:p>
    <w:p>
      <w:pPr>
        <w:pStyle w:val="Heading2"/>
      </w:pPr>
      <w:r>
        <w:t>8.3 Cards, navigation, feedback</w:t>
      </w:r>
    </w:p>
    <w:p>
      <w:pPr>
        <w:numPr>
          <w:ilvl w:val="0"/>
          <w:numId w:val="10"/>
        </w:numPr>
      </w:pPr>
      <w:r>
        <w:rPr>
          <w:rFonts w:ascii="DejaVu Sans" w:hAnsi="DejaVu Sans" w:eastAsia="DejaVu Sans"/>
          <w:color w:val="263445"/>
          <w:sz w:val="20"/>
        </w:rPr>
        <w:t>Card thường dùng border; không card-in-card quá hai cấp; card có nhiều action không click toàn bộ.</w:t>
      </w:r>
    </w:p>
    <w:p>
      <w:pPr>
        <w:numPr>
          <w:ilvl w:val="0"/>
          <w:numId w:val="10"/>
        </w:numPr>
      </w:pPr>
      <w:r>
        <w:rPr>
          <w:rFonts w:ascii="DejaVu Sans" w:hAnsi="DejaVu Sans" w:eastAsia="DejaVu Sans"/>
          <w:color w:val="263445"/>
          <w:sz w:val="20"/>
        </w:rPr>
        <w:t>Active state dùng màu + weight + indicator. Tab ngang tối đa khoảng 5 mục.</w:t>
      </w:r>
    </w:p>
    <w:p>
      <w:pPr>
        <w:numPr>
          <w:ilvl w:val="0"/>
          <w:numId w:val="10"/>
        </w:numPr>
      </w:pPr>
      <w:r>
        <w:rPr>
          <w:rFonts w:ascii="DejaVu Sans" w:hAnsi="DejaVu Sans" w:eastAsia="DejaVu Sans"/>
          <w:color w:val="263445"/>
          <w:sz w:val="20"/>
        </w:rPr>
        <w:t>Toast chỉ cho xác nhận không quan trọng; lỗi cần xử lý nằm gần nguyên nhân.</w:t>
      </w:r>
    </w:p>
    <w:p>
      <w:pPr>
        <w:numPr>
          <w:ilvl w:val="0"/>
          <w:numId w:val="10"/>
        </w:numPr>
      </w:pPr>
      <w:r>
        <w:rPr>
          <w:rFonts w:ascii="DejaVu Sans" w:hAnsi="DejaVu Sans" w:eastAsia="DejaVu Sans"/>
          <w:color w:val="263445"/>
          <w:sz w:val="20"/>
        </w:rPr>
        <w:t>Modal cho quyết định tập trung, không chứa bài đọc dài; skeleton đúng layout, shimmer nhẹ.</w:t>
      </w:r>
    </w:p>
    <w:p>
      <w:pPr>
        <w:pStyle w:val="Heading2"/>
      </w:pPr>
      <w:r>
        <w:t>8.4 Copy recipes — Do / Don’t</w:t>
      </w:r>
    </w:p>
    <w:tbl>
      <w:tblPr>
        <w:tblStyle w:val="TableGrid"/>
        <w:tblW w:type="dxa" w:w="9360"/>
        <w:jc w:val="left"/>
        <w:tblLayout w:type="fixed"/>
        <w:tblLook w:firstColumn="1" w:firstRow="1" w:lastColumn="0" w:lastRow="0" w:noHBand="0" w:noVBand="1" w:val="04A0"/>
        <w:tblInd w:w="120" w:type="dxa"/>
      </w:tblPr>
      <w:tblGrid>
        <w:gridCol w:w="1500"/>
        <w:gridCol w:w="3500"/>
        <w:gridCol w:w="4360"/>
      </w:tblGrid>
      <w:tr>
        <w:trPr>
          <w:tblHeader w:val="true"/>
        </w:trPr>
        <w:tc>
          <w:tcPr>
            <w:tcW w:type="dxa" w:w="1500"/>
            <w:shd w:fill="14263D"/>
            <w:tcMar>
              <w:top w:w="100" w:type="dxa"/>
              <w:start w:w="120" w:type="dxa"/>
              <w:bottom w:w="100" w:type="dxa"/>
              <w:end w:w="120" w:type="dxa"/>
            </w:tcMar>
            <w:vAlign w:val="center"/>
          </w:tcPr>
          <w:p>
            <w:pPr>
              <w:spacing w:after="0"/>
            </w:pPr>
            <w:r>
              <w:rPr>
                <w:rFonts w:ascii="DejaVu Sans" w:hAnsi="DejaVu Sans" w:eastAsia="DejaVu Sans"/>
                <w:b/>
                <w:color w:val="FFFFFF"/>
                <w:sz w:val="16"/>
              </w:rPr>
              <w:t>Tình huống</w:t>
            </w:r>
          </w:p>
        </w:tc>
        <w:tc>
          <w:tcPr>
            <w:tcW w:type="dxa" w:w="3500"/>
            <w:shd w:fill="14263D"/>
            <w:tcMar>
              <w:top w:w="100" w:type="dxa"/>
              <w:start w:w="120" w:type="dxa"/>
              <w:bottom w:w="100" w:type="dxa"/>
              <w:end w:w="120" w:type="dxa"/>
            </w:tcMar>
            <w:vAlign w:val="center"/>
          </w:tcPr>
          <w:p>
            <w:pPr>
              <w:spacing w:after="0"/>
            </w:pPr>
            <w:r>
              <w:rPr>
                <w:rFonts w:ascii="DejaVu Sans" w:hAnsi="DejaVu Sans" w:eastAsia="DejaVu Sans"/>
                <w:b/>
                <w:color w:val="FFFFFF"/>
                <w:sz w:val="16"/>
              </w:rPr>
              <w:t>Không dùng</w:t>
            </w:r>
          </w:p>
        </w:tc>
        <w:tc>
          <w:tcPr>
            <w:tcW w:type="dxa" w:w="4360"/>
            <w:shd w:fill="14263D"/>
            <w:tcMar>
              <w:top w:w="100" w:type="dxa"/>
              <w:start w:w="120" w:type="dxa"/>
              <w:bottom w:w="100" w:type="dxa"/>
              <w:end w:w="120" w:type="dxa"/>
            </w:tcMar>
            <w:vAlign w:val="center"/>
          </w:tcPr>
          <w:p>
            <w:pPr>
              <w:spacing w:after="0"/>
            </w:pPr>
            <w:r>
              <w:rPr>
                <w:rFonts w:ascii="DejaVu Sans" w:hAnsi="DejaVu Sans" w:eastAsia="DejaVu Sans"/>
                <w:b/>
                <w:color w:val="FFFFFF"/>
                <w:sz w:val="16"/>
              </w:rPr>
              <w:t>Dùng</w:t>
            </w:r>
          </w:p>
        </w:tc>
      </w:tr>
      <w:tr>
        <w:tc>
          <w:tcPr>
            <w:tcW w:type="dxa" w:w="15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Insight bất lợi</w:t>
            </w:r>
          </w:p>
        </w:tc>
        <w:tc>
          <w:tcPr>
            <w:tcW w:type="dxa" w:w="35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“Bạn sẽ thất bại trong công việc năm nay.”</w:t>
            </w:r>
          </w:p>
        </w:tc>
        <w:tc>
          <w:tcPr>
            <w:tcW w:type="dxa" w:w="43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“Giai đoạn này có thể tăng áp lực về vai trò. Hãy quan sát ba tín hiệu sau…”</w:t>
            </w:r>
          </w:p>
        </w:tc>
      </w:tr>
      <w:tr>
        <w:tc>
          <w:tcPr>
            <w:tcW w:type="dxa" w:w="15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Mô tả chung</w:t>
            </w:r>
          </w:p>
        </w:tc>
        <w:tc>
          <w:tcPr>
            <w:tcW w:type="dxa" w:w="35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“Bạn mạnh mẽ nhưng đôi khi nhạy cảm.”</w:t>
            </w:r>
          </w:p>
        </w:tc>
        <w:tc>
          <w:tcPr>
            <w:tcW w:type="dxa" w:w="43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“Nhận định này dựa trên [cung/sao] và thường rõ hơn khi…”</w:t>
            </w:r>
          </w:p>
        </w:tc>
      </w:tr>
      <w:tr>
        <w:tc>
          <w:tcPr>
            <w:tcW w:type="dxa" w:w="15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Paywall</w:t>
            </w:r>
          </w:p>
        </w:tc>
        <w:tc>
          <w:tcPr>
            <w:tcW w:type="dxa" w:w="35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“Có cảnh báo quan trọng — mở khóa ngay.”</w:t>
            </w:r>
          </w:p>
        </w:tc>
        <w:tc>
          <w:tcPr>
            <w:tcW w:type="dxa" w:w="43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“Xem mục lục, báo cáo mẫu, giá và phần diễn giải đầy đủ.”</w:t>
            </w:r>
          </w:p>
        </w:tc>
      </w:tr>
      <w:tr>
        <w:tc>
          <w:tcPr>
            <w:tcW w:type="dxa" w:w="15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Giờ sinh thiếu</w:t>
            </w:r>
          </w:p>
        </w:tc>
        <w:tc>
          <w:tcPr>
            <w:tcW w:type="dxa" w:w="35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“Hãy chọn một giờ gần đúng.”</w:t>
            </w:r>
          </w:p>
        </w:tc>
        <w:tc>
          <w:tcPr>
            <w:tcW w:type="dxa" w:w="43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“Bạn có thể tiếp tục với kết quả giới hạn hoặc bổ sung giờ sinh sau.”</w:t>
            </w:r>
          </w:p>
        </w:tc>
      </w:tr>
      <w:tr>
        <w:tc>
          <w:tcPr>
            <w:tcW w:type="dxa" w:w="15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Error</w:t>
            </w:r>
          </w:p>
        </w:tc>
        <w:tc>
          <w:tcPr>
            <w:tcW w:type="dxa" w:w="35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“Dữ liệu không hợp lệ.”</w:t>
            </w:r>
          </w:p>
        </w:tc>
        <w:tc>
          <w:tcPr>
            <w:tcW w:type="dxa" w:w="43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“Giờ sinh cần nằm trong khoảng 00:00–23:59.”</w:t>
            </w:r>
          </w:p>
        </w:tc>
      </w:tr>
      <w:tr>
        <w:tc>
          <w:tcPr>
            <w:tcW w:type="dxa" w:w="15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AI</w:t>
            </w:r>
          </w:p>
        </w:tc>
        <w:tc>
          <w:tcPr>
            <w:tcW w:type="dxa" w:w="35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“AI hiểu bạn hơn chính bạn.”</w:t>
            </w:r>
          </w:p>
        </w:tc>
        <w:tc>
          <w:tcPr>
            <w:tcW w:type="dxa" w:w="43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“AI hỗ trợ tổ chức và diễn giải trong giới hạn căn cứ đã cấp.”</w:t>
            </w:r>
          </w:p>
        </w:tc>
      </w:tr>
    </w:tbl>
    <w:p>
      <w:pPr>
        <w:spacing w:after="40"/>
      </w:pPr>
    </w:p>
    <w:p>
      <w:pPr>
        <w:pStyle w:val="Heading2"/>
      </w:pPr>
      <w:r>
        <w:t>8.5 Naming sản phẩm</w:t>
      </w:r>
    </w:p>
    <w:p>
      <w:pPr>
        <w:numPr>
          <w:ilvl w:val="0"/>
          <w:numId w:val="10"/>
        </w:numPr>
      </w:pPr>
      <w:r>
        <w:rPr>
          <w:rFonts w:ascii="DejaVu Sans" w:hAnsi="DejaVu Sans" w:eastAsia="DejaVu Sans"/>
          <w:color w:val="263445"/>
          <w:sz w:val="20"/>
        </w:rPr>
        <w:t>Luận giải Bản mệnh &amp; Tiềm năng</w:t>
      </w:r>
    </w:p>
    <w:p>
      <w:pPr>
        <w:numPr>
          <w:ilvl w:val="0"/>
          <w:numId w:val="10"/>
        </w:numPr>
      </w:pPr>
      <w:r>
        <w:rPr>
          <w:rFonts w:ascii="DejaVu Sans" w:hAnsi="DejaVu Sans" w:eastAsia="DejaVu Sans"/>
          <w:color w:val="263445"/>
          <w:sz w:val="20"/>
        </w:rPr>
        <w:t>Luận giải Tình duyên &amp; Hôn nhân</w:t>
      </w:r>
    </w:p>
    <w:p>
      <w:pPr>
        <w:numPr>
          <w:ilvl w:val="0"/>
          <w:numId w:val="10"/>
        </w:numPr>
      </w:pPr>
      <w:r>
        <w:rPr>
          <w:rFonts w:ascii="DejaVu Sans" w:hAnsi="DejaVu Sans" w:eastAsia="DejaVu Sans"/>
          <w:color w:val="263445"/>
          <w:sz w:val="20"/>
        </w:rPr>
        <w:t>Luận giải Công việc &amp; Tài lộc</w:t>
      </w:r>
    </w:p>
    <w:p>
      <w:pPr>
        <w:numPr>
          <w:ilvl w:val="0"/>
          <w:numId w:val="10"/>
        </w:numPr>
      </w:pPr>
      <w:r>
        <w:rPr>
          <w:rFonts w:ascii="DejaVu Sans" w:hAnsi="DejaVu Sans" w:eastAsia="DejaVu Sans"/>
          <w:color w:val="263445"/>
          <w:sz w:val="20"/>
        </w:rPr>
        <w:t>Luận giải Vận trình năm {YYYY}</w:t>
      </w:r>
    </w:p>
    <w:p>
      <w:pPr>
        <w:numPr>
          <w:ilvl w:val="0"/>
          <w:numId w:val="10"/>
        </w:numPr>
      </w:pPr>
      <w:r>
        <w:rPr>
          <w:rFonts w:ascii="DejaVu Sans" w:hAnsi="DejaVu Sans" w:eastAsia="DejaVu Sans"/>
          <w:color w:val="263445"/>
          <w:sz w:val="20"/>
        </w:rPr>
        <w:t>Không dùng: Gói Đại Cát, VIP Thiên Mệnh, Mở khóa vận số, Hóa giải vận hạn.</w:t>
      </w:r>
    </w:p>
    <w:p>
      <w:pPr>
        <w:pStyle w:val="Heading1"/>
      </w:pPr>
      <w:r>
        <w:t>09. Validation roadmap &amp; metrics</w:t>
      </w:r>
    </w:p>
    <w:p>
      <w:pPr>
        <w:pStyle w:val="Heading2"/>
      </w:pPr>
      <w:r>
        <w:t>9.1 Research trước khi khóa v1.1</w:t>
      </w:r>
    </w:p>
    <w:p>
      <w:pPr>
        <w:numPr>
          <w:ilvl w:val="0"/>
          <w:numId w:val="10"/>
        </w:numPr>
      </w:pPr>
      <w:r>
        <w:rPr>
          <w:rFonts w:ascii="DejaVu Sans" w:hAnsi="DejaVu Sans" w:eastAsia="DejaVu Sans"/>
          <w:color w:val="263445"/>
          <w:sz w:val="20"/>
        </w:rPr>
        <w:t>18–24 phỏng vấn theo JTBD: người mới, người xem nhiều, người hoài nghi, người đã trả tiền, người biết/không biết giờ sinh; đa dạng tuổi, địa bàn và trình độ số.</w:t>
      </w:r>
    </w:p>
    <w:p>
      <w:pPr>
        <w:numPr>
          <w:ilvl w:val="0"/>
          <w:numId w:val="10"/>
        </w:numPr>
      </w:pPr>
      <w:r>
        <w:rPr>
          <w:rFonts w:ascii="DejaVu Sans" w:hAnsi="DejaVu Sans" w:eastAsia="DejaVu Sans"/>
          <w:color w:val="263445"/>
          <w:sz w:val="20"/>
        </w:rPr>
        <w:t>Concept test 3 định vị; usability test mobile form ngày/giờ/nơi sinh; comprehension test disclaimer và confidence.</w:t>
      </w:r>
    </w:p>
    <w:p>
      <w:pPr>
        <w:numPr>
          <w:ilvl w:val="0"/>
          <w:numId w:val="10"/>
        </w:numPr>
      </w:pPr>
      <w:r>
        <w:rPr>
          <w:rFonts w:ascii="DejaVu Sans" w:hAnsi="DejaVu Sans" w:eastAsia="DejaVu Sans"/>
          <w:color w:val="263445"/>
          <w:sz w:val="20"/>
        </w:rPr>
        <w:t>Test “overview + detail panel” so với list-first trên mobile; test serif cho narrative dài trên Android phổ biến.</w:t>
      </w:r>
    </w:p>
    <w:p>
      <w:pPr>
        <w:numPr>
          <w:ilvl w:val="0"/>
          <w:numId w:val="10"/>
        </w:numPr>
      </w:pPr>
      <w:r>
        <w:rPr>
          <w:rFonts w:ascii="DejaVu Sans" w:hAnsi="DejaVu Sans" w:eastAsia="DejaVu Sans"/>
          <w:color w:val="263445"/>
          <w:sz w:val="20"/>
        </w:rPr>
        <w:t>Diary study 7–14 ngày để đo phản tư hữu ích so với lệ thuộc.</w:t>
      </w:r>
    </w:p>
    <w:p>
      <w:pPr>
        <w:numPr>
          <w:ilvl w:val="0"/>
          <w:numId w:val="10"/>
        </w:numPr>
      </w:pPr>
      <w:r>
        <w:rPr>
          <w:rFonts w:ascii="DejaVu Sans" w:hAnsi="DejaVu Sans" w:eastAsia="DejaVu Sans"/>
          <w:color w:val="263445"/>
          <w:sz w:val="20"/>
        </w:rPr>
        <w:t>Red-team với chuyên gia Tử Vi/rule set, behavioral scientist hoặc clinical safety reviewer, security/privacy và luật sư dữ liệu.</w:t>
      </w:r>
    </w:p>
    <w:p>
      <w:pPr>
        <w:pStyle w:val="Heading2"/>
      </w:pPr>
      <w:r>
        <w:t>9.2 Hypothesis backlog ưu tiên</w:t>
      </w:r>
    </w:p>
    <w:tbl>
      <w:tblPr>
        <w:tblStyle w:val="TableGrid"/>
        <w:tblW w:type="dxa" w:w="9360"/>
        <w:jc w:val="left"/>
        <w:tblLayout w:type="fixed"/>
        <w:tblLook w:firstColumn="1" w:firstRow="1" w:lastColumn="0" w:lastRow="0" w:noHBand="0" w:noVBand="1" w:val="04A0"/>
        <w:tblInd w:w="120" w:type="dxa"/>
      </w:tblPr>
      <w:tblGrid>
        <w:gridCol w:w="650"/>
        <w:gridCol w:w="3900"/>
        <w:gridCol w:w="2150"/>
        <w:gridCol w:w="2660"/>
      </w:tblGrid>
      <w:tr>
        <w:trPr>
          <w:tblHeader w:val="true"/>
        </w:trPr>
        <w:tc>
          <w:tcPr>
            <w:tcW w:type="dxa" w:w="650"/>
            <w:shd w:fill="14263D"/>
            <w:tcMar>
              <w:top w:w="100" w:type="dxa"/>
              <w:start w:w="120" w:type="dxa"/>
              <w:bottom w:w="100" w:type="dxa"/>
              <w:end w:w="120" w:type="dxa"/>
            </w:tcMar>
            <w:vAlign w:val="center"/>
          </w:tcPr>
          <w:p>
            <w:pPr>
              <w:spacing w:after="0"/>
            </w:pPr>
            <w:r>
              <w:rPr>
                <w:rFonts w:ascii="DejaVu Sans" w:hAnsi="DejaVu Sans" w:eastAsia="DejaVu Sans"/>
                <w:b/>
                <w:color w:val="FFFFFF"/>
                <w:sz w:val="16"/>
              </w:rPr>
              <w:t>ID</w:t>
            </w:r>
          </w:p>
        </w:tc>
        <w:tc>
          <w:tcPr>
            <w:tcW w:type="dxa" w:w="3900"/>
            <w:shd w:fill="14263D"/>
            <w:tcMar>
              <w:top w:w="100" w:type="dxa"/>
              <w:start w:w="120" w:type="dxa"/>
              <w:bottom w:w="100" w:type="dxa"/>
              <w:end w:w="120" w:type="dxa"/>
            </w:tcMar>
            <w:vAlign w:val="center"/>
          </w:tcPr>
          <w:p>
            <w:pPr>
              <w:spacing w:after="0"/>
            </w:pPr>
            <w:r>
              <w:rPr>
                <w:rFonts w:ascii="DejaVu Sans" w:hAnsi="DejaVu Sans" w:eastAsia="DejaVu Sans"/>
                <w:b/>
                <w:color w:val="FFFFFF"/>
                <w:sz w:val="16"/>
              </w:rPr>
              <w:t>Giả thuyết</w:t>
            </w:r>
          </w:p>
        </w:tc>
        <w:tc>
          <w:tcPr>
            <w:tcW w:type="dxa" w:w="2150"/>
            <w:shd w:fill="14263D"/>
            <w:tcMar>
              <w:top w:w="100" w:type="dxa"/>
              <w:start w:w="120" w:type="dxa"/>
              <w:bottom w:w="100" w:type="dxa"/>
              <w:end w:w="120" w:type="dxa"/>
            </w:tcMar>
            <w:vAlign w:val="center"/>
          </w:tcPr>
          <w:p>
            <w:pPr>
              <w:spacing w:after="0"/>
            </w:pPr>
            <w:r>
              <w:rPr>
                <w:rFonts w:ascii="DejaVu Sans" w:hAnsi="DejaVu Sans" w:eastAsia="DejaVu Sans"/>
                <w:b/>
                <w:color w:val="FFFFFF"/>
                <w:sz w:val="16"/>
              </w:rPr>
              <w:t>Metric</w:t>
            </w:r>
          </w:p>
        </w:tc>
        <w:tc>
          <w:tcPr>
            <w:tcW w:type="dxa" w:w="2660"/>
            <w:shd w:fill="14263D"/>
            <w:tcMar>
              <w:top w:w="100" w:type="dxa"/>
              <w:start w:w="120" w:type="dxa"/>
              <w:bottom w:w="100" w:type="dxa"/>
              <w:end w:w="120" w:type="dxa"/>
            </w:tcMar>
            <w:vAlign w:val="center"/>
          </w:tcPr>
          <w:p>
            <w:pPr>
              <w:spacing w:after="0"/>
            </w:pPr>
            <w:r>
              <w:rPr>
                <w:rFonts w:ascii="DejaVu Sans" w:hAnsi="DejaVu Sans" w:eastAsia="DejaVu Sans"/>
                <w:b/>
                <w:color w:val="FFFFFF"/>
                <w:sz w:val="16"/>
              </w:rPr>
              <w:t>Guardrail</w:t>
            </w:r>
          </w:p>
        </w:tc>
      </w:tr>
      <w:tr>
        <w:tc>
          <w:tcPr>
            <w:tcW w:type="dxa" w:w="65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H1</w:t>
            </w:r>
          </w:p>
        </w:tc>
        <w:tc>
          <w:tcPr>
            <w:tcW w:type="dxa" w:w="39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Canonical hero + agency subhead tạo trust tốt hơn challenger.</w:t>
            </w:r>
          </w:p>
        </w:tc>
        <w:tc>
          <w:tcPr>
            <w:tcW w:type="dxa" w:w="215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Form start, trust score</w:t>
            </w:r>
          </w:p>
        </w:tc>
        <w:tc>
          <w:tcPr>
            <w:tcW w:type="dxa" w:w="26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Hiểu sai là dự báo chắc chắn</w:t>
            </w:r>
          </w:p>
        </w:tc>
      </w:tr>
      <w:tr>
        <w:tc>
          <w:tcPr>
            <w:tcW w:type="dxa" w:w="65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H2</w:t>
            </w:r>
          </w:p>
        </w:tc>
        <w:tc>
          <w:tcPr>
            <w:tcW w:type="dxa" w:w="39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Giải thích giờ sinh giảm nhập đại.</w:t>
            </w:r>
          </w:p>
        </w:tc>
        <w:tc>
          <w:tcPr>
            <w:tcW w:type="dxa" w:w="215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Form completion, edit rate</w:t>
            </w:r>
          </w:p>
        </w:tc>
        <w:tc>
          <w:tcPr>
            <w:tcW w:type="dxa" w:w="26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Cognitive load</w:t>
            </w:r>
          </w:p>
        </w:tc>
      </w:tr>
      <w:tr>
        <w:tc>
          <w:tcPr>
            <w:tcW w:type="dxa" w:w="65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H3</w:t>
            </w:r>
          </w:p>
        </w:tc>
        <w:tc>
          <w:tcPr>
            <w:tcW w:type="dxa" w:w="39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Unknown-time mode giảm abandonment.</w:t>
            </w:r>
          </w:p>
        </w:tc>
        <w:tc>
          <w:tcPr>
            <w:tcW w:type="dxa" w:w="215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Chart created</w:t>
            </w:r>
          </w:p>
        </w:tc>
        <w:tc>
          <w:tcPr>
            <w:tcW w:type="dxa" w:w="26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Hiểu đúng giới hạn</w:t>
            </w:r>
          </w:p>
        </w:tc>
      </w:tr>
      <w:tr>
        <w:tc>
          <w:tcPr>
            <w:tcW w:type="dxa" w:w="65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H4</w:t>
            </w:r>
          </w:p>
        </w:tc>
        <w:tc>
          <w:tcPr>
            <w:tcW w:type="dxa" w:w="39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3 insight + evidence tăng paid intent.</w:t>
            </w:r>
          </w:p>
        </w:tc>
        <w:tc>
          <w:tcPr>
            <w:tcW w:type="dxa" w:w="215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Paid topic selected</w:t>
            </w:r>
          </w:p>
        </w:tc>
        <w:tc>
          <w:tcPr>
            <w:tcW w:type="dxa" w:w="26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Refund, “quá chung chung”</w:t>
            </w:r>
          </w:p>
        </w:tc>
      </w:tr>
      <w:tr>
        <w:tc>
          <w:tcPr>
            <w:tcW w:type="dxa" w:w="65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H5</w:t>
            </w:r>
          </w:p>
        </w:tc>
        <w:tc>
          <w:tcPr>
            <w:tcW w:type="dxa" w:w="39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Sample thật tốt hơn testimonial.</w:t>
            </w:r>
          </w:p>
        </w:tc>
        <w:tc>
          <w:tcPr>
            <w:tcW w:type="dxa" w:w="215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Checkout start</w:t>
            </w:r>
          </w:p>
        </w:tc>
        <w:tc>
          <w:tcPr>
            <w:tcW w:type="dxa" w:w="26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Time/scroll, refund</w:t>
            </w:r>
          </w:p>
        </w:tc>
      </w:tr>
      <w:tr>
        <w:tc>
          <w:tcPr>
            <w:tcW w:type="dxa" w:w="65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H6</w:t>
            </w:r>
          </w:p>
        </w:tc>
        <w:tc>
          <w:tcPr>
            <w:tcW w:type="dxa" w:w="39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Giá + mua một lần + policy cạnh CTA tăng payment success.</w:t>
            </w:r>
          </w:p>
        </w:tc>
        <w:tc>
          <w:tcPr>
            <w:tcW w:type="dxa" w:w="215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Payment completion</w:t>
            </w:r>
          </w:p>
        </w:tc>
        <w:tc>
          <w:tcPr>
            <w:tcW w:type="dxa" w:w="26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Chargeback/support</w:t>
            </w:r>
          </w:p>
        </w:tc>
      </w:tr>
      <w:tr>
        <w:tc>
          <w:tcPr>
            <w:tcW w:type="dxa" w:w="65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H7</w:t>
            </w:r>
          </w:p>
        </w:tc>
        <w:tc>
          <w:tcPr>
            <w:tcW w:type="dxa" w:w="390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Tone xác suất giữ usefulness và giảm lo âu.</w:t>
            </w:r>
          </w:p>
        </w:tc>
        <w:tc>
          <w:tcPr>
            <w:tcW w:type="dxa" w:w="215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Helpful rating</w:t>
            </w:r>
          </w:p>
        </w:tc>
        <w:tc>
          <w:tcPr>
            <w:tcW w:type="dxa" w:w="2660"/>
            <w:shd w:fill="FFFDF7"/>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Anxiety/misinterpretation</w:t>
            </w:r>
          </w:p>
        </w:tc>
      </w:tr>
      <w:tr>
        <w:tc>
          <w:tcPr>
            <w:tcW w:type="dxa" w:w="65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H8</w:t>
            </w:r>
          </w:p>
        </w:tc>
        <w:tc>
          <w:tcPr>
            <w:tcW w:type="dxa" w:w="390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Share card ẩn dữ liệu tăng chia sẻ an toàn.</w:t>
            </w:r>
          </w:p>
        </w:tc>
        <w:tc>
          <w:tcPr>
            <w:tcW w:type="dxa" w:w="215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Share completion</w:t>
            </w:r>
          </w:p>
        </w:tc>
        <w:tc>
          <w:tcPr>
            <w:tcW w:type="dxa" w:w="2660"/>
            <w:shd w:fill="FFFFFF"/>
            <w:tcMar>
              <w:top w:w="100" w:type="dxa"/>
              <w:start w:w="120" w:type="dxa"/>
              <w:bottom w:w="100" w:type="dxa"/>
              <w:end w:w="120" w:type="dxa"/>
            </w:tcMar>
            <w:vAlign w:val="center"/>
          </w:tcPr>
          <w:p>
            <w:pPr>
              <w:spacing w:after="0" w:line="269" w:lineRule="auto"/>
            </w:pPr>
            <w:r>
              <w:rPr>
                <w:rFonts w:ascii="DejaVu Sans" w:hAnsi="DejaVu Sans" w:eastAsia="DejaVu Sans"/>
                <w:b w:val="0"/>
                <w:color w:val="263445"/>
                <w:sz w:val="16"/>
              </w:rPr>
              <w:t>Tỷ lệ bật lại PII</w:t>
            </w:r>
          </w:p>
        </w:tc>
      </w:tr>
    </w:tbl>
    <w:p>
      <w:pPr>
        <w:spacing w:after="40"/>
      </w:pPr>
    </w:p>
    <w:p>
      <w:pPr>
        <w:pStyle w:val="Heading2"/>
      </w:pPr>
      <w:r>
        <w:t>9.3 Dashboard không chỉ tối ưu conversion</w:t>
      </w:r>
    </w:p>
    <w:p>
      <w:pPr>
        <w:numPr>
          <w:ilvl w:val="0"/>
          <w:numId w:val="10"/>
        </w:numPr>
      </w:pPr>
      <w:r>
        <w:rPr>
          <w:rFonts w:ascii="DejaVu Sans" w:hAnsi="DejaVu Sans" w:eastAsia="DejaVu Sans"/>
          <w:color w:val="263445"/>
          <w:sz w:val="20"/>
        </w:rPr>
        <w:t>Form completion, evidence open, paywall engagement, payment completion và revenue per valid chart.</w:t>
      </w:r>
    </w:p>
    <w:p>
      <w:pPr>
        <w:numPr>
          <w:ilvl w:val="0"/>
          <w:numId w:val="10"/>
        </w:numPr>
      </w:pPr>
      <w:r>
        <w:rPr>
          <w:rFonts w:ascii="DejaVu Sans" w:hAnsi="DejaVu Sans" w:eastAsia="DejaVu Sans"/>
          <w:color w:val="263445"/>
          <w:sz w:val="20"/>
        </w:rPr>
        <w:t>Refund/chargeback/regeneration; complaint “bị dọa/bị phán”; support về thanh toán/quyền riêng tư.</w:t>
      </w:r>
    </w:p>
    <w:p>
      <w:pPr>
        <w:numPr>
          <w:ilvl w:val="0"/>
          <w:numId w:val="10"/>
        </w:numPr>
      </w:pPr>
      <w:r>
        <w:rPr>
          <w:rFonts w:ascii="DejaVu Sans" w:hAnsi="DejaVu Sans" w:eastAsia="DejaVu Sans"/>
          <w:color w:val="263445"/>
          <w:sz w:val="20"/>
        </w:rPr>
        <w:t>Mức hiểu sai sản phẩm là dự báo chắc chắn; self-reported anxiety; nội dung bị đánh dấu gây lo âu.</w:t>
      </w:r>
    </w:p>
    <w:p>
      <w:pPr>
        <w:numPr>
          <w:ilvl w:val="0"/>
          <w:numId w:val="10"/>
        </w:numPr>
      </w:pPr>
      <w:r>
        <w:rPr>
          <w:rFonts w:ascii="DejaVu Sans" w:hAnsi="DejaVu Sans" w:eastAsia="DejaVu Sans"/>
          <w:color w:val="263445"/>
          <w:sz w:val="20"/>
        </w:rPr>
        <w:t>Yêu cầu xóa dữ liệu; share có lộ PII; tỷ lệ người dùng dưới tuổi policy.</w:t>
      </w:r>
    </w:p>
    <w:p>
      <w:pPr>
        <w:numPr>
          <w:ilvl w:val="0"/>
          <w:numId w:val="10"/>
        </w:numPr>
      </w:pPr>
      <w:r>
        <w:rPr>
          <w:rFonts w:ascii="DejaVu Sans" w:hAnsi="DejaVu Sans" w:eastAsia="DejaVu Sans"/>
          <w:color w:val="263445"/>
          <w:sz w:val="20"/>
        </w:rPr>
        <w:t>Repeat purchase 30/90 ngày nhưng không thúc bằng dependency loop.</w:t>
      </w:r>
    </w:p>
    <w:p>
      <w:pPr>
        <w:pStyle w:val="Heading2"/>
      </w:pPr>
      <w:r>
        <w:t>9.4 Ngưỡng vận hành từ repo</w:t>
      </w:r>
    </w:p>
    <w:p>
      <w:pPr>
        <w:numPr>
          <w:ilvl w:val="0"/>
          <w:numId w:val="10"/>
        </w:numPr>
      </w:pPr>
      <w:r>
        <w:rPr>
          <w:rFonts w:ascii="DejaVu Sans" w:hAnsi="DejaVu Sans" w:eastAsia="DejaVu Sans"/>
          <w:color w:val="263445"/>
          <w:sz w:val="20"/>
        </w:rPr>
        <w:t>Form completion &lt;35% → sửa form/input/timezone trước marketing.</w:t>
      </w:r>
    </w:p>
    <w:p>
      <w:pPr>
        <w:numPr>
          <w:ilvl w:val="0"/>
          <w:numId w:val="10"/>
        </w:numPr>
      </w:pPr>
      <w:r>
        <w:rPr>
          <w:rFonts w:ascii="DejaVu Sans" w:hAnsi="DejaVu Sans" w:eastAsia="DejaVu Sans"/>
          <w:color w:val="263445"/>
          <w:sz w:val="20"/>
        </w:rPr>
        <w:t>Free summary → paywall &lt;15% → xem lại value proposition/topic matching.</w:t>
      </w:r>
    </w:p>
    <w:p>
      <w:pPr>
        <w:numPr>
          <w:ilvl w:val="0"/>
          <w:numId w:val="10"/>
        </w:numPr>
      </w:pPr>
      <w:r>
        <w:rPr>
          <w:rFonts w:ascii="DejaVu Sans" w:hAnsi="DejaVu Sans" w:eastAsia="DejaVu Sans"/>
          <w:color w:val="263445"/>
          <w:sz w:val="20"/>
        </w:rPr>
        <w:t>Checkout completion &lt;50% → kiểm tra payment trust/UX/provider.</w:t>
      </w:r>
    </w:p>
    <w:p>
      <w:pPr>
        <w:numPr>
          <w:ilvl w:val="0"/>
          <w:numId w:val="10"/>
        </w:numPr>
      </w:pPr>
      <w:r>
        <w:rPr>
          <w:rFonts w:ascii="DejaVu Sans" w:hAnsi="DejaVu Sans" w:eastAsia="DejaVu Sans"/>
          <w:color w:val="263445"/>
          <w:sz w:val="20"/>
        </w:rPr>
        <w:t>Refund/regeneration &gt;8% → ưu tiên input validation và report quality.</w:t>
      </w:r>
    </w:p>
    <w:p>
      <w:pPr>
        <w:numPr>
          <w:ilvl w:val="0"/>
          <w:numId w:val="10"/>
        </w:numPr>
      </w:pPr>
      <w:r>
        <w:rPr>
          <w:rFonts w:ascii="DejaVu Sans" w:hAnsi="DejaVu Sans" w:eastAsia="DejaVu Sans"/>
          <w:color w:val="263445"/>
          <w:sz w:val="20"/>
        </w:rPr>
        <w:t>Các ngưỡng là giả thuyết vận hành, không phải benchmark ngành.</w:t>
      </w:r>
    </w:p>
    <w:p>
      <w:pPr>
        <w:pStyle w:val="Heading1"/>
      </w:pPr>
      <w:r>
        <w:t>10. Governance &amp; decision checklist</w:t>
      </w:r>
    </w:p>
    <w:p>
      <w:pPr>
        <w:pStyle w:val="Heading2"/>
      </w:pPr>
      <w:r>
        <w:t>10.1 Non-negotiables — luôn phải pass</w:t>
      </w:r>
    </w:p>
    <w:p>
      <w:pPr>
        <w:numPr>
          <w:ilvl w:val="0"/>
          <w:numId w:val="10"/>
        </w:numPr>
      </w:pPr>
      <w:r>
        <w:rPr>
          <w:rFonts w:ascii="DejaVu Sans" w:hAnsi="DejaVu Sans" w:eastAsia="DejaVu Sans"/>
          <w:color w:val="263445"/>
          <w:sz w:val="20"/>
        </w:rPr>
        <w:t>Không định vị là thầy bói AI; không hứa biết trước tương lai.</w:t>
      </w:r>
    </w:p>
    <w:p>
      <w:pPr>
        <w:numPr>
          <w:ilvl w:val="0"/>
          <w:numId w:val="10"/>
        </w:numPr>
      </w:pPr>
      <w:r>
        <w:rPr>
          <w:rFonts w:ascii="DejaVu Sans" w:hAnsi="DejaVu Sans" w:eastAsia="DejaVu Sans"/>
          <w:color w:val="263445"/>
          <w:sz w:val="20"/>
        </w:rPr>
        <w:t>Không fake expert, fake testimonial, fake scarcity, fake countdown hoặc “chính xác 99%”.</w:t>
      </w:r>
    </w:p>
    <w:p>
      <w:pPr>
        <w:numPr>
          <w:ilvl w:val="0"/>
          <w:numId w:val="10"/>
        </w:numPr>
      </w:pPr>
      <w:r>
        <w:rPr>
          <w:rFonts w:ascii="DejaVu Sans" w:hAnsi="DejaVu Sans" w:eastAsia="DejaVu Sans"/>
          <w:color w:val="263445"/>
          <w:sz w:val="20"/>
        </w:rPr>
        <w:t>Không dùng fear/vulnerability để upsell.</w:t>
      </w:r>
    </w:p>
    <w:p>
      <w:pPr>
        <w:numPr>
          <w:ilvl w:val="0"/>
          <w:numId w:val="10"/>
        </w:numPr>
      </w:pPr>
      <w:r>
        <w:rPr>
          <w:rFonts w:ascii="DejaVu Sans" w:hAnsi="DejaVu Sans" w:eastAsia="DejaVu Sans"/>
          <w:color w:val="263445"/>
          <w:sz w:val="20"/>
        </w:rPr>
        <w:t>Mọi claim quan trọng trong report có evidence key; engine/rule/AI tách lớp.</w:t>
      </w:r>
    </w:p>
    <w:p>
      <w:pPr>
        <w:numPr>
          <w:ilvl w:val="0"/>
          <w:numId w:val="10"/>
        </w:numPr>
      </w:pPr>
      <w:r>
        <w:rPr>
          <w:rFonts w:ascii="DejaVu Sans" w:hAnsi="DejaVu Sans" w:eastAsia="DejaVu Sans"/>
          <w:color w:val="263445"/>
          <w:sz w:val="20"/>
        </w:rPr>
        <w:t>AI disclosure, privacy, giới hạn và support dễ tìm.</w:t>
      </w:r>
    </w:p>
    <w:p>
      <w:pPr>
        <w:numPr>
          <w:ilvl w:val="0"/>
          <w:numId w:val="10"/>
        </w:numPr>
      </w:pPr>
      <w:r>
        <w:rPr>
          <w:rFonts w:ascii="DejaVu Sans" w:hAnsi="DejaVu Sans" w:eastAsia="DejaVu Sans"/>
          <w:color w:val="263445"/>
          <w:sz w:val="20"/>
        </w:rPr>
        <w:t>Report private/noindex; analytics không chứa dữ liệu sinh/nội dung report.</w:t>
      </w:r>
    </w:p>
    <w:p>
      <w:pPr>
        <w:numPr>
          <w:ilvl w:val="0"/>
          <w:numId w:val="10"/>
        </w:numPr>
      </w:pPr>
      <w:r>
        <w:rPr>
          <w:rFonts w:ascii="DejaVu Sans" w:hAnsi="DejaVu Sans" w:eastAsia="DejaVu Sans"/>
          <w:color w:val="263445"/>
          <w:sz w:val="20"/>
        </w:rPr>
        <w:t>WCAG 2.2 AA và mobile readability là release gate.</w:t>
      </w:r>
    </w:p>
    <w:p>
      <w:pPr>
        <w:pStyle w:val="Heading2"/>
      </w:pPr>
      <w:r>
        <w:t>10.2 Brand review checklist</w:t>
      </w:r>
    </w:p>
    <w:p>
      <w:pPr>
        <w:numPr>
          <w:ilvl w:val="0"/>
          <w:numId w:val="11"/>
        </w:numPr>
      </w:pPr>
      <w:r>
        <w:rPr>
          <w:rFonts w:ascii="DejaVu Sans" w:hAnsi="DejaVu Sans" w:eastAsia="DejaVu Sans"/>
          <w:color w:val="263445"/>
          <w:sz w:val="20"/>
        </w:rPr>
        <w:t>Quyết định này có giúp “hiểu mình có căn cứ” không?</w:t>
      </w:r>
    </w:p>
    <w:p>
      <w:pPr>
        <w:numPr>
          <w:ilvl w:val="0"/>
          <w:numId w:val="11"/>
        </w:numPr>
      </w:pPr>
      <w:r>
        <w:rPr>
          <w:rFonts w:ascii="DejaVu Sans" w:hAnsi="DejaVu Sans" w:eastAsia="DejaVu Sans"/>
          <w:color w:val="263445"/>
          <w:sz w:val="20"/>
        </w:rPr>
        <w:t>Có tôn trọng quyết định đã khóa trong repo không?</w:t>
      </w:r>
    </w:p>
    <w:p>
      <w:pPr>
        <w:numPr>
          <w:ilvl w:val="0"/>
          <w:numId w:val="11"/>
        </w:numPr>
      </w:pPr>
      <w:r>
        <w:rPr>
          <w:rFonts w:ascii="DejaVu Sans" w:hAnsi="DejaVu Sans" w:eastAsia="DejaVu Sans"/>
          <w:color w:val="263445"/>
          <w:sz w:val="20"/>
        </w:rPr>
        <w:t>Nó đang mô tả bằng chứng hay giả thuyết? Nhãn đã rõ chưa?</w:t>
      </w:r>
    </w:p>
    <w:p>
      <w:pPr>
        <w:numPr>
          <w:ilvl w:val="0"/>
          <w:numId w:val="11"/>
        </w:numPr>
      </w:pPr>
      <w:r>
        <w:rPr>
          <w:rFonts w:ascii="DejaVu Sans" w:hAnsi="DejaVu Sans" w:eastAsia="DejaVu Sans"/>
          <w:color w:val="263445"/>
          <w:sz w:val="20"/>
        </w:rPr>
        <w:t>Ngôn ngữ có thể bị hiểu thành định mệnh, chẩn đoán hoặc lời khuyên chuyên môn không?</w:t>
      </w:r>
    </w:p>
    <w:p>
      <w:pPr>
        <w:numPr>
          <w:ilvl w:val="0"/>
          <w:numId w:val="11"/>
        </w:numPr>
      </w:pPr>
      <w:r>
        <w:rPr>
          <w:rFonts w:ascii="DejaVu Sans" w:hAnsi="DejaVu Sans" w:eastAsia="DejaVu Sans"/>
          <w:color w:val="263445"/>
          <w:sz w:val="20"/>
        </w:rPr>
        <w:t>Người dùng có thấy căn cứ, giới hạn và lựa chọn tiếp theo không?</w:t>
      </w:r>
    </w:p>
    <w:p>
      <w:pPr>
        <w:numPr>
          <w:ilvl w:val="0"/>
          <w:numId w:val="11"/>
        </w:numPr>
      </w:pPr>
      <w:r>
        <w:rPr>
          <w:rFonts w:ascii="DejaVu Sans" w:hAnsi="DejaVu Sans" w:eastAsia="DejaVu Sans"/>
          <w:color w:val="263445"/>
          <w:sz w:val="20"/>
        </w:rPr>
        <w:t>Mặc định có bảo vệ dữ liệu và quyền tự chủ không?</w:t>
      </w:r>
    </w:p>
    <w:p>
      <w:pPr>
        <w:numPr>
          <w:ilvl w:val="0"/>
          <w:numId w:val="11"/>
        </w:numPr>
      </w:pPr>
      <w:r>
        <w:rPr>
          <w:rFonts w:ascii="DejaVu Sans" w:hAnsi="DejaVu Sans" w:eastAsia="DejaVu Sans"/>
          <w:color w:val="263445"/>
          <w:sz w:val="20"/>
        </w:rPr>
        <w:t>Có dark pattern, urgency giả, social proof giả hoặc fear cue không?</w:t>
      </w:r>
    </w:p>
    <w:p>
      <w:pPr>
        <w:numPr>
          <w:ilvl w:val="0"/>
          <w:numId w:val="11"/>
        </w:numPr>
      </w:pPr>
      <w:r>
        <w:rPr>
          <w:rFonts w:ascii="DejaVu Sans" w:hAnsi="DejaVu Sans" w:eastAsia="DejaVu Sans"/>
          <w:color w:val="263445"/>
          <w:sz w:val="20"/>
        </w:rPr>
        <w:t>Màu, font, spacing, contrast và state có theo token không?</w:t>
      </w:r>
    </w:p>
    <w:p>
      <w:pPr>
        <w:numPr>
          <w:ilvl w:val="0"/>
          <w:numId w:val="11"/>
        </w:numPr>
      </w:pPr>
      <w:r>
        <w:rPr>
          <w:rFonts w:ascii="DejaVu Sans" w:hAnsi="DejaVu Sans" w:eastAsia="DejaVu Sans"/>
          <w:color w:val="263445"/>
          <w:sz w:val="20"/>
        </w:rPr>
        <w:t>Trải nghiệm có dùng được trên mobile, keyboard, screen reader và zoom 200% không?</w:t>
      </w:r>
    </w:p>
    <w:p>
      <w:pPr>
        <w:numPr>
          <w:ilvl w:val="0"/>
          <w:numId w:val="11"/>
        </w:numPr>
      </w:pPr>
      <w:r>
        <w:rPr>
          <w:rFonts w:ascii="DejaVu Sans" w:hAnsi="DejaVu Sans" w:eastAsia="DejaVu Sans"/>
          <w:color w:val="263445"/>
          <w:sz w:val="20"/>
        </w:rPr>
        <w:t>Metric thành công có guardrail trust/safety không?</w:t>
      </w:r>
    </w:p>
    <w:p>
      <w:pPr>
        <w:pStyle w:val="Heading2"/>
      </w:pPr>
      <w:r>
        <w:t>10.3 Owner &amp; change control</w:t>
      </w:r>
    </w:p>
    <w:p>
      <w:pPr>
        <w:numPr>
          <w:ilvl w:val="0"/>
          <w:numId w:val="10"/>
        </w:numPr>
      </w:pPr>
      <w:r>
        <w:rPr>
          <w:rFonts w:ascii="DejaVu Sans" w:hAnsi="DejaVu Sans" w:eastAsia="DejaVu Sans"/>
          <w:b/>
          <w:color w:val="14263D"/>
          <w:sz w:val="20"/>
        </w:rPr>
        <w:t xml:space="preserve">Founder / Brand owner: </w:t>
      </w:r>
      <w:r>
        <w:rPr>
          <w:rFonts w:ascii="DejaVu Sans" w:hAnsi="DejaVu Sans" w:eastAsia="DejaVu Sans"/>
          <w:color w:val="263445"/>
          <w:sz w:val="20"/>
        </w:rPr>
        <w:t>duyệt thay đổi LOCKED và hero/positioning.</w:t>
      </w:r>
    </w:p>
    <w:p>
      <w:pPr>
        <w:numPr>
          <w:ilvl w:val="0"/>
          <w:numId w:val="10"/>
        </w:numPr>
      </w:pPr>
      <w:r>
        <w:rPr>
          <w:rFonts w:ascii="DejaVu Sans" w:hAnsi="DejaVu Sans" w:eastAsia="DejaVu Sans"/>
          <w:b/>
          <w:color w:val="14263D"/>
          <w:sz w:val="20"/>
        </w:rPr>
        <w:t xml:space="preserve">Design system owner: </w:t>
      </w:r>
      <w:r>
        <w:rPr>
          <w:rFonts w:ascii="DejaVu Sans" w:hAnsi="DejaVu Sans" w:eastAsia="DejaVu Sans"/>
          <w:color w:val="263445"/>
          <w:sz w:val="20"/>
        </w:rPr>
        <w:t>token, component, accessibility và visual QA.</w:t>
      </w:r>
    </w:p>
    <w:p>
      <w:pPr>
        <w:numPr>
          <w:ilvl w:val="0"/>
          <w:numId w:val="10"/>
        </w:numPr>
      </w:pPr>
      <w:r>
        <w:rPr>
          <w:rFonts w:ascii="DejaVu Sans" w:hAnsi="DejaVu Sans" w:eastAsia="DejaVu Sans"/>
          <w:b/>
          <w:color w:val="14263D"/>
          <w:sz w:val="20"/>
        </w:rPr>
        <w:t xml:space="preserve">Content owner: </w:t>
      </w:r>
      <w:r>
        <w:rPr>
          <w:rFonts w:ascii="DejaVu Sans" w:hAnsi="DejaVu Sans" w:eastAsia="DejaVu Sans"/>
          <w:color w:val="263445"/>
          <w:sz w:val="20"/>
        </w:rPr>
        <w:t>voice, terminology, copy lint và source quality.</w:t>
      </w:r>
    </w:p>
    <w:p>
      <w:pPr>
        <w:numPr>
          <w:ilvl w:val="0"/>
          <w:numId w:val="10"/>
        </w:numPr>
      </w:pPr>
      <w:r>
        <w:rPr>
          <w:rFonts w:ascii="DejaVu Sans" w:hAnsi="DejaVu Sans" w:eastAsia="DejaVu Sans"/>
          <w:b/>
          <w:color w:val="14263D"/>
          <w:sz w:val="20"/>
        </w:rPr>
        <w:t xml:space="preserve">Product/Research: </w:t>
      </w:r>
      <w:r>
        <w:rPr>
          <w:rFonts w:ascii="DejaVu Sans" w:hAnsi="DejaVu Sans" w:eastAsia="DejaVu Sans"/>
          <w:color w:val="263445"/>
          <w:sz w:val="20"/>
        </w:rPr>
        <w:t>hypothesis backlog, user research và guardrail metrics.</w:t>
      </w:r>
    </w:p>
    <w:p>
      <w:pPr>
        <w:numPr>
          <w:ilvl w:val="0"/>
          <w:numId w:val="10"/>
        </w:numPr>
      </w:pPr>
      <w:r>
        <w:rPr>
          <w:rFonts w:ascii="DejaVu Sans" w:hAnsi="DejaVu Sans" w:eastAsia="DejaVu Sans"/>
          <w:b/>
          <w:color w:val="14263D"/>
          <w:sz w:val="20"/>
        </w:rPr>
        <w:t xml:space="preserve">Trust &amp; Safety / Legal / Security: </w:t>
      </w:r>
      <w:r>
        <w:rPr>
          <w:rFonts w:ascii="DejaVu Sans" w:hAnsi="DejaVu Sans" w:eastAsia="DejaVu Sans"/>
          <w:color w:val="263445"/>
          <w:sz w:val="20"/>
        </w:rPr>
        <w:t>privacy, sensitive claims, crisis flow, incident response.</w:t>
      </w:r>
    </w:p>
    <w:p>
      <w:pPr>
        <w:numPr>
          <w:ilvl w:val="0"/>
          <w:numId w:val="10"/>
        </w:numPr>
      </w:pPr>
      <w:r>
        <w:rPr>
          <w:rFonts w:ascii="DejaVu Sans" w:hAnsi="DejaVu Sans" w:eastAsia="DejaVu Sans"/>
          <w:b/>
          <w:color w:val="14263D"/>
          <w:sz w:val="20"/>
        </w:rPr>
        <w:t xml:space="preserve">Decision log: </w:t>
      </w:r>
      <w:r>
        <w:rPr>
          <w:rFonts w:ascii="DejaVu Sans" w:hAnsi="DejaVu Sans" w:eastAsia="DejaVu Sans"/>
          <w:color w:val="263445"/>
          <w:sz w:val="20"/>
        </w:rPr>
        <w:t>mọi thay đổi lớn ghi ID, owner, ngày, bằng chứng, tác động và điều kiện rollback.</w:t>
      </w:r>
    </w:p>
    <w:p>
      <w:pPr>
        <w:spacing w:before="80" w:after="180"/>
        <w:ind w:left="202" w:right="115"/>
        <w:shd w:fill="F3DDD4"/>
        <w:pBdr>
          <w:left w:val="single" w:sz="18" w:space="8" w:color="81271F"/>
        </w:pBdr>
      </w:pPr>
      <w:r>
        <w:rPr>
          <w:rFonts w:ascii="DejaVu Sans" w:hAnsi="DejaVu Sans" w:eastAsia="DejaVu Sans"/>
          <w:b/>
          <w:color w:val="81271F"/>
          <w:sz w:val="18"/>
        </w:rPr>
        <w:t xml:space="preserve">DEFINITION OF DONE  </w:t>
      </w:r>
      <w:r>
        <w:rPr>
          <w:rFonts w:ascii="DejaVu Sans" w:hAnsi="DejaVu Sans" w:eastAsia="DejaVu Sans"/>
          <w:color w:val="14263D"/>
          <w:sz w:val="20"/>
        </w:rPr>
        <w:t>Một quyết định chưa “xong” chỉ vì đẹp hoặc tăng conversion. Nó chỉ xong khi đúng brand, dễ hiểu, truy nguyên được, an toàn, accessible và đo được.</w:t>
      </w:r>
    </w:p>
    <w:p>
      <w:pPr>
        <w:pStyle w:val="Heading1"/>
      </w:pPr>
      <w:r>
        <w:t>Appendix A. Copy library</w:t>
      </w:r>
    </w:p>
    <w:p>
      <w:pPr>
        <w:pStyle w:val="Heading2"/>
      </w:pPr>
      <w:r>
        <w:t>A1. Trust microcopy</w:t>
      </w:r>
    </w:p>
    <w:p>
      <w:pPr>
        <w:numPr>
          <w:ilvl w:val="0"/>
          <w:numId w:val="10"/>
        </w:numPr>
      </w:pPr>
      <w:r>
        <w:rPr>
          <w:rFonts w:ascii="DejaVu Sans" w:hAnsi="DejaVu Sans" w:eastAsia="DejaVu Sans"/>
          <w:color w:val="263445"/>
          <w:sz w:val="20"/>
        </w:rPr>
        <w:t>“Dữ liệu sinh của bạn được dùng để lập lá số và tạo phần diễn giải này.”</w:t>
      </w:r>
    </w:p>
    <w:p>
      <w:pPr>
        <w:numPr>
          <w:ilvl w:val="0"/>
          <w:numId w:val="10"/>
        </w:numPr>
      </w:pPr>
      <w:r>
        <w:rPr>
          <w:rFonts w:ascii="DejaVu Sans" w:hAnsi="DejaVu Sans" w:eastAsia="DejaVu Sans"/>
          <w:color w:val="263445"/>
          <w:sz w:val="20"/>
        </w:rPr>
        <w:t>“Bạn có thể kiểm tra, sửa hoặc xóa hồ sơ bất cứ lúc nào.”</w:t>
      </w:r>
    </w:p>
    <w:p>
      <w:pPr>
        <w:numPr>
          <w:ilvl w:val="0"/>
          <w:numId w:val="10"/>
        </w:numPr>
      </w:pPr>
      <w:r>
        <w:rPr>
          <w:rFonts w:ascii="DejaVu Sans" w:hAnsi="DejaVu Sans" w:eastAsia="DejaVu Sans"/>
          <w:color w:val="263445"/>
          <w:sz w:val="20"/>
        </w:rPr>
        <w:t>“Bản luận giải này là riêng tư và không xuất hiện trên công cụ tìm kiếm.”</w:t>
      </w:r>
    </w:p>
    <w:p>
      <w:pPr>
        <w:numPr>
          <w:ilvl w:val="0"/>
          <w:numId w:val="10"/>
        </w:numPr>
      </w:pPr>
      <w:r>
        <w:rPr>
          <w:rFonts w:ascii="DejaVu Sans" w:hAnsi="DejaVu Sans" w:eastAsia="DejaVu Sans"/>
          <w:color w:val="263445"/>
          <w:sz w:val="20"/>
        </w:rPr>
        <w:t>“Giá hiển thị là giá thanh toán một lần. Không tự động gia hạn.”</w:t>
      </w:r>
    </w:p>
    <w:p>
      <w:pPr>
        <w:numPr>
          <w:ilvl w:val="0"/>
          <w:numId w:val="10"/>
        </w:numPr>
      </w:pPr>
      <w:r>
        <w:rPr>
          <w:rFonts w:ascii="DejaVu Sans" w:hAnsi="DejaVu Sans" w:eastAsia="DejaVu Sans"/>
          <w:color w:val="263445"/>
          <w:sz w:val="20"/>
        </w:rPr>
        <w:t>“Nhận định này phụ thuộc vào độ chính xác của giờ sinh.”</w:t>
      </w:r>
    </w:p>
    <w:p>
      <w:pPr>
        <w:pStyle w:val="Heading2"/>
      </w:pPr>
      <w:r>
        <w:t>A2. Evidence microcopy</w:t>
      </w:r>
    </w:p>
    <w:p>
      <w:pPr>
        <w:numPr>
          <w:ilvl w:val="0"/>
          <w:numId w:val="10"/>
        </w:numPr>
      </w:pPr>
      <w:r>
        <w:rPr>
          <w:rFonts w:ascii="DejaVu Sans" w:hAnsi="DejaVu Sans" w:eastAsia="DejaVu Sans"/>
          <w:color w:val="263445"/>
          <w:sz w:val="20"/>
        </w:rPr>
        <w:t>“Vì sao có nhận định này?”</w:t>
      </w:r>
    </w:p>
    <w:p>
      <w:pPr>
        <w:numPr>
          <w:ilvl w:val="0"/>
          <w:numId w:val="10"/>
        </w:numPr>
      </w:pPr>
      <w:r>
        <w:rPr>
          <w:rFonts w:ascii="DejaVu Sans" w:hAnsi="DejaVu Sans" w:eastAsia="DejaVu Sans"/>
          <w:color w:val="263445"/>
          <w:sz w:val="20"/>
        </w:rPr>
        <w:t>“Căn cứ được sử dụng”</w:t>
      </w:r>
    </w:p>
    <w:p>
      <w:pPr>
        <w:numPr>
          <w:ilvl w:val="0"/>
          <w:numId w:val="10"/>
        </w:numPr>
      </w:pPr>
      <w:r>
        <w:rPr>
          <w:rFonts w:ascii="DejaVu Sans" w:hAnsi="DejaVu Sans" w:eastAsia="DejaVu Sans"/>
          <w:color w:val="263445"/>
          <w:sz w:val="20"/>
        </w:rPr>
        <w:t>“Mức độ tin cậy: trung bình — nhạy với giờ sinh”</w:t>
      </w:r>
    </w:p>
    <w:p>
      <w:pPr>
        <w:numPr>
          <w:ilvl w:val="0"/>
          <w:numId w:val="10"/>
        </w:numPr>
      </w:pPr>
      <w:r>
        <w:rPr>
          <w:rFonts w:ascii="DejaVu Sans" w:hAnsi="DejaVu Sans" w:eastAsia="DejaVu Sans"/>
          <w:color w:val="263445"/>
          <w:sz w:val="20"/>
        </w:rPr>
        <w:t>“Khi nào nhận định này có thể không đúng?”</w:t>
      </w:r>
    </w:p>
    <w:p>
      <w:pPr>
        <w:numPr>
          <w:ilvl w:val="0"/>
          <w:numId w:val="10"/>
        </w:numPr>
      </w:pPr>
      <w:r>
        <w:rPr>
          <w:rFonts w:ascii="DejaVu Sans" w:hAnsi="DejaVu Sans" w:eastAsia="DejaVu Sans"/>
          <w:color w:val="263445"/>
          <w:sz w:val="20"/>
        </w:rPr>
        <w:t>“Bạn có thể đối chiếu điều này với trải nghiệm thực tế.”</w:t>
      </w:r>
    </w:p>
    <w:p>
      <w:pPr>
        <w:pStyle w:val="Heading2"/>
      </w:pPr>
      <w:r>
        <w:t>A3. Safety microcopy</w:t>
      </w:r>
    </w:p>
    <w:p>
      <w:pPr>
        <w:numPr>
          <w:ilvl w:val="0"/>
          <w:numId w:val="10"/>
        </w:numPr>
      </w:pPr>
      <w:r>
        <w:rPr>
          <w:rFonts w:ascii="DejaVu Sans" w:hAnsi="DejaVu Sans" w:eastAsia="DejaVu Sans"/>
          <w:color w:val="263445"/>
          <w:sz w:val="20"/>
        </w:rPr>
        <w:t>“Đây là góc nhìn tham khảo và tự chiêm nghiệm, không phải kết luận về con người bạn.”</w:t>
      </w:r>
    </w:p>
    <w:p>
      <w:pPr>
        <w:numPr>
          <w:ilvl w:val="0"/>
          <w:numId w:val="10"/>
        </w:numPr>
      </w:pPr>
      <w:r>
        <w:rPr>
          <w:rFonts w:ascii="DejaVu Sans" w:hAnsi="DejaVu Sans" w:eastAsia="DejaVu Sans"/>
          <w:color w:val="263445"/>
          <w:sz w:val="20"/>
        </w:rPr>
        <w:t>“Nội dung không thay thế tư vấn y tế, pháp lý, tài chính hoặc sức khỏe tâm thần.”</w:t>
      </w:r>
    </w:p>
    <w:p>
      <w:pPr>
        <w:numPr>
          <w:ilvl w:val="0"/>
          <w:numId w:val="10"/>
        </w:numPr>
      </w:pPr>
      <w:r>
        <w:rPr>
          <w:rFonts w:ascii="DejaVu Sans" w:hAnsi="DejaVu Sans" w:eastAsia="DejaVu Sans"/>
          <w:color w:val="263445"/>
          <w:sz w:val="20"/>
        </w:rPr>
        <w:t>“Nếu phần này làm bạn lo lắng, hãy tạm dừng và trao đổi với người bạn tin cậy hoặc chuyên gia phù hợp.”</w:t>
      </w:r>
    </w:p>
    <w:p>
      <w:pPr>
        <w:pStyle w:val="Heading2"/>
      </w:pPr>
      <w:r>
        <w:t>A4. Payment &amp; regeneration</w:t>
      </w:r>
    </w:p>
    <w:p>
      <w:pPr>
        <w:numPr>
          <w:ilvl w:val="0"/>
          <w:numId w:val="10"/>
        </w:numPr>
      </w:pPr>
      <w:r>
        <w:rPr>
          <w:rFonts w:ascii="DejaVu Sans" w:hAnsi="DejaVu Sans" w:eastAsia="DejaVu Sans"/>
          <w:color w:val="263445"/>
          <w:sz w:val="20"/>
        </w:rPr>
        <w:t>“Bạn sẽ nhận: [mục lục], khoảng [độ dài], giao trong [thời gian], thanh toán một lần.”</w:t>
      </w:r>
    </w:p>
    <w:p>
      <w:pPr>
        <w:numPr>
          <w:ilvl w:val="0"/>
          <w:numId w:val="10"/>
        </w:numPr>
      </w:pPr>
      <w:r>
        <w:rPr>
          <w:rFonts w:ascii="DejaVu Sans" w:hAnsi="DejaVu Sans" w:eastAsia="DejaVu Sans"/>
          <w:color w:val="263445"/>
          <w:sz w:val="20"/>
        </w:rPr>
        <w:t>“Nếu nhập sai dữ liệu, bạn có thể sửa và yêu cầu tạo lại theo chính sách này.”</w:t>
      </w:r>
    </w:p>
    <w:p>
      <w:pPr>
        <w:numPr>
          <w:ilvl w:val="0"/>
          <w:numId w:val="10"/>
        </w:numPr>
      </w:pPr>
      <w:r>
        <w:rPr>
          <w:rFonts w:ascii="DejaVu Sans" w:hAnsi="DejaVu Sans" w:eastAsia="DejaVu Sans"/>
          <w:color w:val="263445"/>
          <w:sz w:val="20"/>
        </w:rPr>
        <w:t>“Thanh toán đang được xác nhận. Không cần thực hiện lại.”</w:t>
      </w:r>
    </w:p>
    <w:p>
      <w:pPr>
        <w:numPr>
          <w:ilvl w:val="0"/>
          <w:numId w:val="10"/>
        </w:numPr>
      </w:pPr>
      <w:r>
        <w:rPr>
          <w:rFonts w:ascii="DejaVu Sans" w:hAnsi="DejaVu Sans" w:eastAsia="DejaVu Sans"/>
          <w:color w:val="263445"/>
          <w:sz w:val="20"/>
        </w:rPr>
        <w:t>“Thanh toán chưa hoàn tất. Tài khoản của bạn chưa bị trừ tiền / hãy kiểm tra trạng thái tại…” — chỉ dùng khi đúng trạng thái hệ thống.</w:t>
      </w:r>
    </w:p>
    <w:p>
      <w:pPr>
        <w:pStyle w:val="Heading1"/>
      </w:pPr>
      <w:r>
        <w:t>Appendix B. Evidence &amp; sources</w:t>
      </w:r>
    </w:p>
    <w:p>
      <w:pPr>
        <w:keepLines w:val="0"/>
      </w:pPr>
      <w:r>
        <w:rPr>
          <w:rFonts w:ascii="DejaVu Sans" w:hAnsi="DejaVu Sans" w:eastAsia="DejaVu Sans"/>
          <w:i w:val="0"/>
          <w:color w:val="263445"/>
          <w:sz w:val="20"/>
        </w:rPr>
        <w:t>Nguồn được dùng để khóa guideline gồm source of truth trong repo, nghiên cứu hành vi, dữ liệu thị trường Việt Nam, pháp luật hiện hành và tiêu chuẩn accessibility. Các nghiên cứu không đại diện cho toàn bộ người Việt được ghi rõ là tín hiệu hoặc cơ chế, không phải chân dung văn hóa.</w:t>
      </w:r>
    </w:p>
    <w:p>
      <w:pPr>
        <w:spacing w:after="80"/>
      </w:pPr>
      <w:r>
        <w:rPr>
          <w:rFonts w:ascii="DejaVu Sans" w:hAnsi="DejaVu Sans" w:eastAsia="DejaVu Sans"/>
          <w:b/>
          <w:color w:val="A63D2F"/>
          <w:sz w:val="18"/>
        </w:rPr>
        <w:t xml:space="preserve">S1  </w:t>
      </w:r>
      <w:hyperlink r:id="rId13">
        <w:r>
          <w:rPr>
            <w:rFonts w:ascii="DejaVu Sans" w:hAnsi="DejaVu Sans"/>
            <w:color w:val="174F7A"/>
            <w:u w:val="single"/>
          </w:rPr>
          <w:t>Lá Số Việt — MASTER_CONCEPT.md</w:t>
        </w:r>
      </w:hyperlink>
    </w:p>
    <w:p>
      <w:pPr>
        <w:spacing w:after="80"/>
      </w:pPr>
      <w:r>
        <w:rPr>
          <w:rFonts w:ascii="DejaVu Sans" w:hAnsi="DejaVu Sans" w:eastAsia="DejaVu Sans"/>
          <w:b/>
          <w:color w:val="A63D2F"/>
          <w:sz w:val="18"/>
        </w:rPr>
        <w:t xml:space="preserve">S2  </w:t>
      </w:r>
      <w:hyperlink r:id="rId14">
        <w:r>
          <w:rPr>
            <w:rFonts w:ascii="DejaVu Sans" w:hAnsi="DejaVu Sans"/>
            <w:color w:val="174F7A"/>
            <w:u w:val="single"/>
          </w:rPr>
          <w:t>Brand, Positioning &amp; Trust — repo</w:t>
        </w:r>
      </w:hyperlink>
    </w:p>
    <w:p>
      <w:pPr>
        <w:spacing w:after="80"/>
      </w:pPr>
      <w:r>
        <w:rPr>
          <w:rFonts w:ascii="DejaVu Sans" w:hAnsi="DejaVu Sans" w:eastAsia="DejaVu Sans"/>
          <w:b/>
          <w:color w:val="A63D2F"/>
          <w:sz w:val="18"/>
        </w:rPr>
        <w:t xml:space="preserve">S3  </w:t>
      </w:r>
      <w:hyperlink r:id="rId15">
        <w:r>
          <w:rPr>
            <w:rFonts w:ascii="DejaVu Sans" w:hAnsi="DejaVu Sans"/>
            <w:color w:val="174F7A"/>
            <w:u w:val="single"/>
          </w:rPr>
          <w:t>Evidence &amp; Audience Insights — repo</w:t>
        </w:r>
      </w:hyperlink>
    </w:p>
    <w:p>
      <w:pPr>
        <w:spacing w:after="80"/>
      </w:pPr>
      <w:r>
        <w:rPr>
          <w:rFonts w:ascii="DejaVu Sans" w:hAnsi="DejaVu Sans" w:eastAsia="DejaVu Sans"/>
          <w:b/>
          <w:color w:val="A63D2F"/>
          <w:sz w:val="18"/>
        </w:rPr>
        <w:t xml:space="preserve">S4  </w:t>
      </w:r>
      <w:hyperlink r:id="rId16">
        <w:r>
          <w:rPr>
            <w:rFonts w:ascii="DejaVu Sans" w:hAnsi="DejaVu Sans"/>
            <w:color w:val="174F7A"/>
            <w:u w:val="single"/>
          </w:rPr>
          <w:t>CESifo Working Paper 11272 — Astrology and Matrimony in Vietnam (2024)</w:t>
        </w:r>
      </w:hyperlink>
    </w:p>
    <w:p>
      <w:pPr>
        <w:spacing w:after="80"/>
      </w:pPr>
      <w:r>
        <w:rPr>
          <w:rFonts w:ascii="DejaVu Sans" w:hAnsi="DejaVu Sans" w:eastAsia="DejaVu Sans"/>
          <w:b/>
          <w:color w:val="A63D2F"/>
          <w:sz w:val="18"/>
        </w:rPr>
        <w:t xml:space="preserve">S5  </w:t>
      </w:r>
      <w:hyperlink r:id="rId17">
        <w:r>
          <w:rPr>
            <w:rFonts w:ascii="DejaVu Sans" w:hAnsi="DejaVu Sans"/>
            <w:color w:val="174F7A"/>
            <w:u w:val="single"/>
          </w:rPr>
          <w:t>Drivers of consumers’ trust and online purchase decisions in Vietnam (2026)</w:t>
        </w:r>
      </w:hyperlink>
    </w:p>
    <w:p>
      <w:pPr>
        <w:spacing w:after="80"/>
      </w:pPr>
      <w:r>
        <w:rPr>
          <w:rFonts w:ascii="DejaVu Sans" w:hAnsi="DejaVu Sans" w:eastAsia="DejaVu Sans"/>
          <w:b/>
          <w:color w:val="A63D2F"/>
          <w:sz w:val="18"/>
        </w:rPr>
        <w:t xml:space="preserve">S6  </w:t>
      </w:r>
      <w:hyperlink r:id="rId18">
        <w:r>
          <w:rPr>
            <w:rFonts w:ascii="DejaVu Sans" w:hAnsi="DejaVu Sans"/>
            <w:color w:val="174F7A"/>
            <w:u w:val="single"/>
          </w:rPr>
          <w:t>Bộ Công an — phòng, chống lừa đảo trực tuyến (2025)</w:t>
        </w:r>
      </w:hyperlink>
    </w:p>
    <w:p>
      <w:pPr>
        <w:spacing w:after="80"/>
      </w:pPr>
      <w:r>
        <w:rPr>
          <w:rFonts w:ascii="DejaVu Sans" w:hAnsi="DejaVu Sans" w:eastAsia="DejaVu Sans"/>
          <w:b/>
          <w:color w:val="A63D2F"/>
          <w:sz w:val="18"/>
        </w:rPr>
        <w:t xml:space="preserve">S7  </w:t>
      </w:r>
      <w:hyperlink r:id="rId19">
        <w:r>
          <w:rPr>
            <w:rFonts w:ascii="DejaVu Sans" w:hAnsi="DejaVu Sans"/>
            <w:color w:val="174F7A"/>
            <w:u w:val="single"/>
          </w:rPr>
          <w:t>NAPAS 2025 Member Organization Conference — VietQR &amp; security</w:t>
        </w:r>
      </w:hyperlink>
    </w:p>
    <w:p>
      <w:pPr>
        <w:spacing w:after="80"/>
      </w:pPr>
      <w:r>
        <w:rPr>
          <w:rFonts w:ascii="DejaVu Sans" w:hAnsi="DejaVu Sans" w:eastAsia="DejaVu Sans"/>
          <w:b/>
          <w:color w:val="A63D2F"/>
          <w:sz w:val="18"/>
        </w:rPr>
        <w:t xml:space="preserve">S8  </w:t>
      </w:r>
      <w:hyperlink r:id="rId20">
        <w:r>
          <w:rPr>
            <w:rFonts w:ascii="DejaVu Sans" w:hAnsi="DejaVu Sans"/>
            <w:color w:val="174F7A"/>
            <w:u w:val="single"/>
          </w:rPr>
          <w:t>Forer (1949) — The fallacy of personal validation</w:t>
        </w:r>
      </w:hyperlink>
    </w:p>
    <w:p>
      <w:pPr>
        <w:spacing w:after="80"/>
      </w:pPr>
      <w:r>
        <w:rPr>
          <w:rFonts w:ascii="DejaVu Sans" w:hAnsi="DejaVu Sans" w:eastAsia="DejaVu Sans"/>
          <w:b/>
          <w:color w:val="A63D2F"/>
          <w:sz w:val="18"/>
        </w:rPr>
        <w:t xml:space="preserve">S9  </w:t>
      </w:r>
      <w:hyperlink r:id="rId21">
        <w:r>
          <w:rPr>
            <w:rFonts w:ascii="DejaVu Sans" w:hAnsi="DejaVu Sans"/>
            <w:color w:val="174F7A"/>
            <w:u w:val="single"/>
          </w:rPr>
          <w:t>Luật Bảo vệ dữ liệu cá nhân 91/2025/QH15 — hiệu lực 01.01.2026</w:t>
        </w:r>
      </w:hyperlink>
    </w:p>
    <w:p>
      <w:pPr>
        <w:spacing w:after="80"/>
      </w:pPr>
      <w:r>
        <w:rPr>
          <w:rFonts w:ascii="DejaVu Sans" w:hAnsi="DejaVu Sans" w:eastAsia="DejaVu Sans"/>
          <w:b/>
          <w:color w:val="A63D2F"/>
          <w:sz w:val="18"/>
        </w:rPr>
        <w:t xml:space="preserve">S10  </w:t>
      </w:r>
      <w:hyperlink r:id="rId22">
        <w:r>
          <w:rPr>
            <w:rFonts w:ascii="DejaVu Sans" w:hAnsi="DejaVu Sans"/>
            <w:color w:val="174F7A"/>
            <w:u w:val="single"/>
          </w:rPr>
          <w:t>W3C — WCAG 2.2 Understanding</w:t>
        </w:r>
      </w:hyperlink>
    </w:p>
    <w:p>
      <w:pPr>
        <w:spacing w:after="80"/>
      </w:pPr>
      <w:r>
        <w:rPr>
          <w:rFonts w:ascii="DejaVu Sans" w:hAnsi="DejaVu Sans" w:eastAsia="DejaVu Sans"/>
          <w:b/>
          <w:color w:val="A63D2F"/>
          <w:sz w:val="18"/>
        </w:rPr>
        <w:t xml:space="preserve">S11  </w:t>
      </w:r>
      <w:hyperlink r:id="rId23">
        <w:r>
          <w:rPr>
            <w:rFonts w:ascii="DejaVu Sans" w:hAnsi="DejaVu Sans"/>
            <w:color w:val="174F7A"/>
            <w:u w:val="single"/>
          </w:rPr>
          <w:t>W3C — How to Meet WCAG 2.2 / Target Size</w:t>
        </w:r>
      </w:hyperlink>
    </w:p>
    <w:p>
      <w:pPr>
        <w:spacing w:after="80"/>
      </w:pPr>
      <w:r>
        <w:rPr>
          <w:rFonts w:ascii="DejaVu Sans" w:hAnsi="DejaVu Sans" w:eastAsia="DejaVu Sans"/>
          <w:b/>
          <w:color w:val="A63D2F"/>
          <w:sz w:val="18"/>
        </w:rPr>
        <w:t xml:space="preserve">S12  </w:t>
      </w:r>
      <w:hyperlink r:id="rId24">
        <w:r>
          <w:rPr>
            <w:rFonts w:ascii="DejaVu Sans" w:hAnsi="DejaVu Sans"/>
            <w:color w:val="174F7A"/>
            <w:u w:val="single"/>
          </w:rPr>
          <w:t>W3C — Contrast (Minimum)</w:t>
        </w:r>
      </w:hyperlink>
    </w:p>
    <w:p>
      <w:pPr>
        <w:spacing w:after="80"/>
      </w:pPr>
      <w:r>
        <w:rPr>
          <w:rFonts w:ascii="DejaVu Sans" w:hAnsi="DejaVu Sans" w:eastAsia="DejaVu Sans"/>
          <w:b/>
          <w:color w:val="A63D2F"/>
          <w:sz w:val="18"/>
        </w:rPr>
        <w:t xml:space="preserve">S13  </w:t>
      </w:r>
      <w:hyperlink r:id="rId25">
        <w:r>
          <w:rPr>
            <w:rFonts w:ascii="DejaVu Sans" w:hAnsi="DejaVu Sans"/>
            <w:color w:val="174F7A"/>
            <w:u w:val="single"/>
          </w:rPr>
          <w:t>Be Vietnam Pro — official Google Fonts specimen</w:t>
        </w:r>
      </w:hyperlink>
    </w:p>
    <w:p>
      <w:pPr>
        <w:spacing w:after="80"/>
      </w:pPr>
      <w:r>
        <w:rPr>
          <w:rFonts w:ascii="DejaVu Sans" w:hAnsi="DejaVu Sans" w:eastAsia="DejaVu Sans"/>
          <w:b/>
          <w:color w:val="A63D2F"/>
          <w:sz w:val="18"/>
        </w:rPr>
        <w:t xml:space="preserve">S14  </w:t>
      </w:r>
      <w:hyperlink r:id="rId26">
        <w:r>
          <w:rPr>
            <w:rFonts w:ascii="DejaVu Sans" w:hAnsi="DejaVu Sans"/>
            <w:color w:val="174F7A"/>
            <w:u w:val="single"/>
          </w:rPr>
          <w:t>Source Serif — official Adobe open-source repository</w:t>
        </w:r>
      </w:hyperlink>
    </w:p>
    <w:p>
      <w:pPr>
        <w:spacing w:after="80"/>
      </w:pPr>
      <w:r>
        <w:rPr>
          <w:rFonts w:ascii="DejaVu Sans" w:hAnsi="DejaVu Sans" w:eastAsia="DejaVu Sans"/>
          <w:b/>
          <w:color w:val="A63D2F"/>
          <w:sz w:val="18"/>
        </w:rPr>
        <w:t xml:space="preserve">S15  </w:t>
      </w:r>
      <w:hyperlink r:id="rId27">
        <w:r>
          <w:rPr>
            <w:rFonts w:ascii="DejaVu Sans" w:hAnsi="DejaVu Sans"/>
            <w:color w:val="174F7A"/>
            <w:u w:val="single"/>
          </w:rPr>
          <w:t>PLOS ONE — Positive fortune telling and financial risk taking (2022)</w:t>
        </w:r>
      </w:hyperlink>
    </w:p>
    <w:p>
      <w:pPr>
        <w:spacing w:after="80"/>
      </w:pPr>
      <w:r>
        <w:rPr>
          <w:rFonts w:ascii="DejaVu Sans" w:hAnsi="DejaVu Sans" w:eastAsia="DejaVu Sans"/>
          <w:b/>
          <w:color w:val="A63D2F"/>
          <w:sz w:val="18"/>
        </w:rPr>
        <w:t xml:space="preserve">S16  </w:t>
      </w:r>
      <w:hyperlink r:id="rId28">
        <w:r>
          <w:rPr>
            <w:rFonts w:ascii="DejaVu Sans" w:hAnsi="DejaVu Sans"/>
            <w:color w:val="174F7A"/>
            <w:u w:val="single"/>
          </w:rPr>
          <w:t>Self-Determination Theory — autonomy, competence, relatedness</w:t>
        </w:r>
      </w:hyperlink>
    </w:p>
    <w:p>
      <w:pPr>
        <w:spacing w:after="80"/>
      </w:pPr>
      <w:r>
        <w:rPr>
          <w:rFonts w:ascii="DejaVu Sans" w:hAnsi="DejaVu Sans" w:eastAsia="DejaVu Sans"/>
          <w:b/>
          <w:color w:val="A63D2F"/>
          <w:sz w:val="18"/>
        </w:rPr>
        <w:t xml:space="preserve">S17  </w:t>
      </w:r>
      <w:hyperlink r:id="rId29">
        <w:r>
          <w:rPr>
            <w:rFonts w:ascii="DejaVu Sans" w:hAnsi="DejaVu Sans"/>
            <w:color w:val="174F7A"/>
            <w:u w:val="single"/>
          </w:rPr>
          <w:t>Luật Thương mại điện tử 122/2025/QH15 — hiệu lực 01.07.2026</w:t>
        </w:r>
      </w:hyperlink>
    </w:p>
    <w:p>
      <w:pPr>
        <w:spacing w:after="80"/>
      </w:pPr>
      <w:r>
        <w:rPr>
          <w:rFonts w:ascii="DejaVu Sans" w:hAnsi="DejaVu Sans" w:eastAsia="DejaVu Sans"/>
          <w:b/>
          <w:color w:val="A63D2F"/>
          <w:sz w:val="18"/>
        </w:rPr>
        <w:t xml:space="preserve">S18  </w:t>
      </w:r>
      <w:hyperlink r:id="rId30">
        <w:r>
          <w:rPr>
            <w:rFonts w:ascii="DejaVu Sans" w:hAnsi="DejaVu Sans"/>
            <w:color w:val="174F7A"/>
            <w:u w:val="single"/>
          </w:rPr>
          <w:t>Bộ Công Thương — TMĐT Việt Nam 2024: bước tiến và thách thức</w:t>
        </w:r>
      </w:hyperlink>
    </w:p>
    <w:p>
      <w:pPr>
        <w:pStyle w:val="Heading2"/>
      </w:pPr>
      <w:r>
        <w:t>Research caveats</w:t>
      </w:r>
    </w:p>
    <w:p>
      <w:pPr>
        <w:numPr>
          <w:ilvl w:val="0"/>
          <w:numId w:val="10"/>
        </w:numPr>
      </w:pPr>
      <w:r>
        <w:rPr>
          <w:rFonts w:ascii="DejaVu Sans" w:hAnsi="DejaVu Sans" w:eastAsia="DejaVu Sans"/>
          <w:color w:val="263445"/>
          <w:sz w:val="20"/>
        </w:rPr>
        <w:t>Keyword volume chứng minh nhu cầu tìm kiếm/công cụ, không chứng minh willingness-to-pay hoặc nhân khẩu học.</w:t>
      </w:r>
    </w:p>
    <w:p>
      <w:pPr>
        <w:numPr>
          <w:ilvl w:val="0"/>
          <w:numId w:val="10"/>
        </w:numPr>
      </w:pPr>
      <w:r>
        <w:rPr>
          <w:rFonts w:ascii="DejaVu Sans" w:hAnsi="DejaVu Sans" w:eastAsia="DejaVu Sans"/>
          <w:color w:val="263445"/>
          <w:sz w:val="20"/>
        </w:rPr>
        <w:t>Nghiên cứu e-commerce/payment chỉ cung cấp cơ chế trust gần kề; không trực tiếp đo hành vi mua luận giải tử vi.</w:t>
      </w:r>
    </w:p>
    <w:p>
      <w:pPr>
        <w:numPr>
          <w:ilvl w:val="0"/>
          <w:numId w:val="10"/>
        </w:numPr>
      </w:pPr>
      <w:r>
        <w:rPr>
          <w:rFonts w:ascii="DejaVu Sans" w:hAnsi="DejaVu Sans" w:eastAsia="DejaVu Sans"/>
          <w:color w:val="263445"/>
          <w:sz w:val="20"/>
        </w:rPr>
        <w:t>Nghiên cứu CESifo đo hệ quả xã hội của niềm tin Tử Vi trong hôn nhân; không cho phép suy rộng thành “mọi người Việt tin tử vi”.</w:t>
      </w:r>
    </w:p>
    <w:p>
      <w:pPr>
        <w:numPr>
          <w:ilvl w:val="0"/>
          <w:numId w:val="10"/>
        </w:numPr>
      </w:pPr>
      <w:r>
        <w:rPr>
          <w:rFonts w:ascii="DejaVu Sans" w:hAnsi="DejaVu Sans" w:eastAsia="DejaVu Sans"/>
          <w:color w:val="263445"/>
          <w:sz w:val="20"/>
        </w:rPr>
        <w:t>Nghiên cứu Barnum, autonomy và fortune-telling risk là bằng chứng tâm lý chung, không phải khảo sát đại diện Việt Nam.</w:t>
      </w:r>
    </w:p>
    <w:p>
      <w:pPr>
        <w:numPr>
          <w:ilvl w:val="0"/>
          <w:numId w:val="10"/>
        </w:numPr>
      </w:pPr>
      <w:r>
        <w:rPr>
          <w:rFonts w:ascii="DejaVu Sans" w:hAnsi="DejaVu Sans" w:eastAsia="DejaVu Sans"/>
          <w:color w:val="263445"/>
          <w:sz w:val="20"/>
        </w:rPr>
        <w:t>Màu/font/token phải được test trên thiết bị, nội dung và user thực; contrast trong guideline là baseline, không thay QA production.</w:t>
      </w:r>
    </w:p>
    <w:sectPr w:rsidR="00FC693F" w:rsidRPr="0006063C" w:rsidSect="00034616">
      <w:headerReference w:type="default" r:id="rId11"/>
      <w:footerReference w:type="default" r:id="rId12"/>
      <w:pgSz w:w="12240" w:h="15840"/>
      <w:pgMar w:top="1224" w:right="1296" w:bottom="1152"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eastAsia="DejaVu Sans"/>
        <w:color w:val="5E6873"/>
        <w:sz w:val="16"/>
      </w:rPr>
      <w:t xml:space="preserve">v1.0  •  31.08.2026   |   </w:t>
    </w:r>
    <w:r>
      <w:rPr>
        <w:rFonts w:ascii="DejaVu Sans" w:hAnsi="DejaVu Sans" w:eastAsia="DejaVu Sans"/>
        <w:color w:val="5E6873"/>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eastAsia="DejaVu Sans"/>
        <w:color w:val="5E6873"/>
        <w:sz w:val="16"/>
      </w:rPr>
      <w:t xml:space="preserve">v1.0  •  31.08.2026   |   </w:t>
    </w:r>
    <w:r>
      <w:rPr>
        <w:rFonts w:ascii="DejaVu Sans" w:hAnsi="DejaVu Sans" w:eastAsia="DejaVu Sans"/>
        <w:color w:val="5E68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DejaVu Sans" w:hAnsi="DejaVu Sans" w:eastAsia="DejaVu Sans"/>
        <w:b/>
        <w:color w:val="5E6873"/>
        <w:sz w:val="16"/>
      </w:rPr>
      <w:t>LÁ SỐ VIỆT  /  BRAND &amp; EXPERIENCE GUIDELINE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DejaVu Sans" w:hAnsi="DejaVu Sans" w:eastAsia="DejaVu Sans"/>
        <w:b/>
        <w:color w:val="5E6873"/>
        <w:sz w:val="16"/>
      </w:rPr>
      <w:t>LÁ SỐ VIỆT  /  BRAND &amp; EXPERIENCE GUIDELINE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300" w:lineRule="auto"/>
      </w:pPr>
      <w:rPr>
        <w:rFonts w:ascii="DejaVu Sans" w:hAnsi="DejaVu Sans"/>
      </w:r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DejaVu Sans" w:hAnsi="DejaVu Sans"/>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40"/>
      <w:outlineLvl w:val="0"/>
    </w:pPr>
    <w:rPr>
      <w:rFonts w:asciiTheme="majorHAnsi" w:eastAsiaTheme="majorEastAsia" w:hAnsiTheme="majorHAnsi" w:cstheme="majorBidi" w:ascii="DejaVu Serif" w:hAnsi="DejaVu Serif"/>
      <w:b/>
      <w:bCs/>
      <w:color w:val="14263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DejaVu Serif" w:hAnsi="DejaVu Serif"/>
      <w:b/>
      <w:bCs/>
      <w:color w:val="14263D"/>
      <w:sz w:val="29"/>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DejaVu Sans" w:hAnsi="DejaVu Sans"/>
      <w:b/>
      <w:bCs/>
      <w:color w:val="A63D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DejaVu Serif" w:hAnsi="DejaVu Serif"/>
      <w:b/>
      <w:color w:val="1426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b w:val="0"/>
      <w:i/>
      <w:iCs/>
      <w:color w:val="5E68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300" w:lineRule="auto"/>
    </w:pPr>
    <w:rPr>
      <w:rFonts w:ascii="DejaVu Serif" w:hAnsi="DejaVu Serif"/>
      <w:color w:val="14263D"/>
      <w:sz w:val="27"/>
    </w:rPr>
  </w:style>
  <w:style w:type="paragraph" w:customStyle="1" w:styleId="CaptionSmall">
    <w:name w:val="Caption Small"/>
    <w:pPr>
      <w:spacing w:after="80"/>
    </w:pPr>
    <w:rPr>
      <w:rFonts w:ascii="DejaVu Sans" w:hAnsi="DejaVu Sans"/>
      <w:color w:val="5E68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github.com/harris1111/lasoviet.vn/blob/master/MASTER_CONCEPT.md" TargetMode="External"/><Relationship Id="rId14" Type="http://schemas.openxmlformats.org/officeDocument/2006/relationships/hyperlink" Target="https://github.com/harris1111/lasoviet.vn/blob/master/docs/02-brand-and-positioning.md" TargetMode="External"/><Relationship Id="rId15" Type="http://schemas.openxmlformats.org/officeDocument/2006/relationships/hyperlink" Target="https://github.com/harris1111/lasoviet.vn/blob/master/docs/01-evidence-and-insights.md" TargetMode="External"/><Relationship Id="rId16" Type="http://schemas.openxmlformats.org/officeDocument/2006/relationships/hyperlink" Target="https://www.ifo.de/en/cesifo/publications/2024/working-paper/astrology-and-matrimony-social-reinforcement-religious-beliefs" TargetMode="External"/><Relationship Id="rId17" Type="http://schemas.openxmlformats.org/officeDocument/2006/relationships/hyperlink" Target="https://doi.org/10.21511/im.22(1).2026.06" TargetMode="External"/><Relationship Id="rId18" Type="http://schemas.openxmlformats.org/officeDocument/2006/relationships/hyperlink" Target="https://bocongan.gov.vn/bai-viet/tang-cuong-hop-tac-quoc-te-trong-phong-chong-toi-pham-lua-dao-truc-tuyen-1761383230" TargetMode="External"/><Relationship Id="rId19" Type="http://schemas.openxmlformats.org/officeDocument/2006/relationships/hyperlink" Target="https://en.napas.com.vn/napas-2025-member-organization-conference-184260317124736875.htm" TargetMode="External"/><Relationship Id="rId20" Type="http://schemas.openxmlformats.org/officeDocument/2006/relationships/hyperlink" Target="https://pubmed.ncbi.nlm.nih.gov/18110193/" TargetMode="External"/><Relationship Id="rId21" Type="http://schemas.openxmlformats.org/officeDocument/2006/relationships/hyperlink" Target="https://vanban.chinhphu.vn/?classid=1&amp;docid=214590&amp;pageid=27160&amp;typegroupid=3" TargetMode="External"/><Relationship Id="rId22" Type="http://schemas.openxmlformats.org/officeDocument/2006/relationships/hyperlink" Target="https://www.w3.org/WAI/WCAG22/Understanding/" TargetMode="External"/><Relationship Id="rId23" Type="http://schemas.openxmlformats.org/officeDocument/2006/relationships/hyperlink" Target="https://www.w3.org/WAI/WCAG22/quickref/" TargetMode="External"/><Relationship Id="rId24" Type="http://schemas.openxmlformats.org/officeDocument/2006/relationships/hyperlink" Target="https://www.w3.org/WAI/WCAG22/Understanding/contrast-minimum" TargetMode="External"/><Relationship Id="rId25" Type="http://schemas.openxmlformats.org/officeDocument/2006/relationships/hyperlink" Target="https://fonts.google.com/specimen/Be+Vietnam+Pro" TargetMode="External"/><Relationship Id="rId26" Type="http://schemas.openxmlformats.org/officeDocument/2006/relationships/hyperlink" Target="https://github.com/adobe-fonts/source-serif" TargetMode="External"/><Relationship Id="rId27" Type="http://schemas.openxmlformats.org/officeDocument/2006/relationships/hyperlink" Target="https://journals.plos.org/plosone/article?id=10.1371/journal.pone.0273233" TargetMode="External"/><Relationship Id="rId28" Type="http://schemas.openxmlformats.org/officeDocument/2006/relationships/hyperlink" Target="https://selfdeterminationtheory.org/theory/" TargetMode="External"/><Relationship Id="rId29" Type="http://schemas.openxmlformats.org/officeDocument/2006/relationships/hyperlink" Target="https://vanban.chinhphu.vn/?classid=1&amp;docid=216503&amp;pageid=27160&amp;typegroupid=3" TargetMode="External"/><Relationship Id="rId30" Type="http://schemas.openxmlformats.org/officeDocument/2006/relationships/hyperlink" Target="https://moit.gov.vn/khoa-hoc-va-cong-nghe/thuong-mai-dien-tu-viet-nam-nam-2024-nhung-buoc-tien-va-thach-thu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Lá Số Việt — Brand &amp; Experience Guideline v1.0</dc:title>
  <dc:subject>Brand, behavioral UX, visual identity, tone of voice and product experience principles</dc:subject>
  <dc:creator>Lá Số Việt</dc:creator>
  <cp:keywords>Lá Số Việt, brand guideline, UX, visual identity, tone of voice, trust, safety</cp:keywords>
  <dc:description>generated by python-docx</dc:description>
  <cp:lastModifiedBy/>
  <cp:revision>1</cp:revision>
  <dcterms:created xsi:type="dcterms:W3CDTF">2013-12-23T23:15:00Z</dcterms:created>
  <dcterms:modified xsi:type="dcterms:W3CDTF">2013-12-23T23:15:00Z</dcterms:modified>
  <cp:category/>
</cp:coreProperties>
</file>