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轻转 LiteConvert 测试文档</w:t>
      </w:r>
    </w:p>
    <w:p>
      <w:r>
        <w:t>这是一个用于验证 Word 转 PDF 的测试文档。包含</w:t>
      </w:r>
      <w:r>
        <w:rPr>
          <w:b/>
        </w:rPr>
        <w:t>加粗</w:t>
      </w:r>
      <w:r>
        <w:t>、</w:t>
      </w:r>
      <w:r>
        <w:rPr>
          <w:i/>
        </w:rPr>
        <w:t>斜体</w:t>
      </w:r>
      <w:r>
        <w:t>、</w:t>
      </w:r>
      <w:r>
        <w:rPr>
          <w:color w:val="E5484D"/>
        </w:rPr>
        <w:t>彩色文字</w:t>
      </w:r>
      <w:r>
        <w:t xml:space="preserve"> 以及 English mixed content for word-wrap testing.  以及 English mixed content for word-wrap testing.  以及 English mixed content for word-wrap testing. </w:t>
      </w:r>
    </w:p>
    <w:p>
      <w:pPr>
        <w:pStyle w:val="Heading1"/>
      </w:pPr>
      <w:r>
        <w:t>第二节 · 列表与表格</w:t>
      </w:r>
    </w:p>
    <w:p>
      <w:pPr>
        <w:pStyle w:val="ListBullet"/>
      </w:pPr>
      <w:r>
        <w:t>第一项:图片格式互转</w:t>
      </w:r>
    </w:p>
    <w:p>
      <w:pPr>
        <w:pStyle w:val="ListBullet"/>
      </w:pPr>
      <w:r>
        <w:t>第二项:PDF 与 Office 互转</w:t>
      </w:r>
    </w:p>
    <w:p>
      <w:pPr>
        <w:pStyle w:val="ListBullet"/>
      </w:pPr>
      <w:r>
        <w:t>第三项:本地离线运行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单元格 1-1</w:t>
            </w:r>
          </w:p>
        </w:tc>
        <w:tc>
          <w:tcPr>
            <w:tcW w:type="dxa" w:w="2880"/>
          </w:tcPr>
          <w:p>
            <w:r>
              <w:t>单元格 1-2</w:t>
            </w:r>
          </w:p>
        </w:tc>
        <w:tc>
          <w:tcPr>
            <w:tcW w:type="dxa" w:w="2880"/>
          </w:tcPr>
          <w:p>
            <w:r>
              <w:t>单元格 1-3</w:t>
            </w:r>
          </w:p>
        </w:tc>
      </w:tr>
      <w:tr>
        <w:tc>
          <w:tcPr>
            <w:tcW w:type="dxa" w:w="2880"/>
          </w:tcPr>
          <w:p>
            <w:r>
              <w:t>单元格 2-1</w:t>
            </w:r>
          </w:p>
        </w:tc>
        <w:tc>
          <w:tcPr>
            <w:tcW w:type="dxa" w:w="2880"/>
          </w:tcPr>
          <w:p>
            <w:r>
              <w:t>单元格 2-2</w:t>
            </w:r>
          </w:p>
        </w:tc>
        <w:tc>
          <w:tcPr>
            <w:tcW w:type="dxa" w:w="2880"/>
          </w:tcPr>
          <w:p>
            <w:r>
              <w:t>单元格 2-3</w:t>
            </w:r>
          </w:p>
        </w:tc>
      </w:tr>
      <w:tr>
        <w:tc>
          <w:tcPr>
            <w:tcW w:type="dxa" w:w="2880"/>
          </w:tcPr>
          <w:p>
            <w:r>
              <w:t>单元格 3-1</w:t>
            </w:r>
          </w:p>
        </w:tc>
        <w:tc>
          <w:tcPr>
            <w:tcW w:type="dxa" w:w="2880"/>
          </w:tcPr>
          <w:p>
            <w:r>
              <w:t>单元格 3-2</w:t>
            </w:r>
          </w:p>
        </w:tc>
        <w:tc>
          <w:tcPr>
            <w:tcW w:type="dxa" w:w="2880"/>
          </w:tcPr>
          <w:p>
            <w:r>
              <w:t>单元格 3-3</w:t>
            </w:r>
          </w:p>
        </w:tc>
      </w:tr>
    </w:tbl>
    <w:p>
      <w:r>
        <w:t>长段落测试:中文排版与自动换行能力验证,包括标点、字号与行距。中文排版与自动换行能力验证,包括标点、字号与行距。中文排版与自动换行能力验证,包括标点、字号与行距。中文排版与自动换行能力验证,包括标点、字号与行距。中文排版与自动换行能力验证,包括标点、字号与行距。中文排版与自动换行能力验证,包括标点、字号与行距。中文排版与自动换行能力验证,包括标点、字号与行距。中文排版与自动换行能力验证,包括标点、字号与行距。</w:t>
      </w:r>
    </w:p>
    <w:p>
      <w:r>
        <w:drawing>
          <wp:inline xmlns:a="http://schemas.openxmlformats.org/drawingml/2006/main" xmlns:pic="http://schemas.openxmlformats.org/drawingml/2006/picture">
            <wp:extent cx="2743200" cy="171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