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3B15B" w14:textId="439F8432" w:rsidR="000E1A25" w:rsidRPr="000E1A25" w:rsidRDefault="000E1A25" w:rsidP="000E1A25">
      <w:pPr>
        <w:pStyle w:val="1"/>
      </w:pPr>
      <w:r>
        <w:rPr>
          <w:rFonts w:hint="eastAsia"/>
        </w:rPr>
        <w:t>图文对编写</w:t>
      </w:r>
    </w:p>
    <w:p w14:paraId="49845988" w14:textId="21017F2D" w:rsidR="001F127A" w:rsidRPr="001F127A" w:rsidRDefault="001F127A" w:rsidP="000E1A25">
      <w:pPr>
        <w:pStyle w:val="2"/>
      </w:pPr>
      <w:r w:rsidRPr="001F127A">
        <w:t>图文对编写核心原则</w:t>
      </w:r>
      <w:r w:rsidRPr="001F127A">
        <w:rPr>
          <w:rFonts w:ascii="Times New Roman" w:hAnsi="Times New Roman" w:cs="Times New Roman"/>
        </w:rPr>
        <w:t>​</w:t>
      </w:r>
    </w:p>
    <w:p w14:paraId="3D0A95B8" w14:textId="1B30F779" w:rsidR="001F127A" w:rsidRPr="001F127A" w:rsidRDefault="001F127A" w:rsidP="001F127A">
      <w:pPr>
        <w:ind w:firstLine="640"/>
      </w:pPr>
      <w:r w:rsidRPr="001F127A">
        <w:rPr>
          <w:rFonts w:ascii="Times New Roman" w:hAnsi="Times New Roman" w:cs="Times New Roman"/>
        </w:rPr>
        <w:t>​</w:t>
      </w:r>
      <w:r w:rsidRPr="001F127A">
        <w:rPr>
          <w:b/>
          <w:bCs/>
        </w:rPr>
        <w:t>精准对应</w:t>
      </w:r>
      <w:r w:rsidRPr="001F127A">
        <w:t>：文字</w:t>
      </w:r>
      <w:proofErr w:type="gramStart"/>
      <w:r w:rsidRPr="001F127A">
        <w:t>解读需</w:t>
      </w:r>
      <w:proofErr w:type="gramEnd"/>
      <w:r w:rsidRPr="001F127A">
        <w:t>与图中标识一一匹配（如颜色分区、数字编号、符号标注），避免 “图有文无” 或 “文右图左” 的脱节；</w:t>
      </w:r>
      <w:r w:rsidRPr="001F127A">
        <w:rPr>
          <w:rFonts w:ascii="Times New Roman" w:hAnsi="Times New Roman" w:cs="Times New Roman"/>
        </w:rPr>
        <w:t>​</w:t>
      </w:r>
    </w:p>
    <w:p w14:paraId="5A1E8F08" w14:textId="77777777" w:rsidR="001F127A" w:rsidRPr="001F127A" w:rsidRDefault="001F127A" w:rsidP="001F127A">
      <w:pPr>
        <w:ind w:firstLine="643"/>
      </w:pPr>
      <w:r w:rsidRPr="001F127A">
        <w:rPr>
          <w:b/>
          <w:bCs/>
        </w:rPr>
        <w:t>逻辑分层</w:t>
      </w:r>
      <w:r w:rsidRPr="001F127A">
        <w:t>：按 “整体 - 局部 - 细节” 递进，先讲用地整体定位，再</w:t>
      </w:r>
      <w:proofErr w:type="gramStart"/>
      <w:r w:rsidRPr="001F127A">
        <w:t>拆功能</w:t>
      </w:r>
      <w:proofErr w:type="gramEnd"/>
      <w:r w:rsidRPr="001F127A">
        <w:t>分区，最后补充指标与约束；</w:t>
      </w:r>
      <w:r w:rsidRPr="001F127A">
        <w:rPr>
          <w:rFonts w:ascii="Times New Roman" w:hAnsi="Times New Roman" w:cs="Times New Roman"/>
        </w:rPr>
        <w:t>​</w:t>
      </w:r>
    </w:p>
    <w:p w14:paraId="616201EB" w14:textId="77777777" w:rsidR="001F127A" w:rsidRPr="001F127A" w:rsidRDefault="001F127A" w:rsidP="001F127A">
      <w:pPr>
        <w:ind w:firstLine="643"/>
      </w:pPr>
      <w:r w:rsidRPr="001F127A">
        <w:rPr>
          <w:b/>
          <w:bCs/>
        </w:rPr>
        <w:t>受众适配</w:t>
      </w:r>
      <w:r w:rsidRPr="001F127A">
        <w:t>：面向审批者侧重合</w:t>
      </w:r>
      <w:proofErr w:type="gramStart"/>
      <w:r w:rsidRPr="001F127A">
        <w:t>规</w:t>
      </w:r>
      <w:proofErr w:type="gramEnd"/>
      <w:r w:rsidRPr="001F127A">
        <w:t>性（如用地性质、指标达标情况），面向建设方侧重实施性（</w:t>
      </w:r>
      <w:proofErr w:type="gramStart"/>
      <w:r w:rsidRPr="001F127A">
        <w:t>如设施</w:t>
      </w:r>
      <w:proofErr w:type="gramEnd"/>
      <w:r w:rsidRPr="001F127A">
        <w:t>布局、衔接要求），面向公众侧重易懂性（如功能用途、便民设施）；</w:t>
      </w:r>
      <w:r w:rsidRPr="001F127A">
        <w:rPr>
          <w:rFonts w:ascii="Times New Roman" w:hAnsi="Times New Roman" w:cs="Times New Roman"/>
        </w:rPr>
        <w:t>​</w:t>
      </w:r>
    </w:p>
    <w:p w14:paraId="07F07050" w14:textId="77777777" w:rsidR="001F127A" w:rsidRPr="001F127A" w:rsidRDefault="001F127A" w:rsidP="001F127A">
      <w:pPr>
        <w:ind w:firstLine="643"/>
      </w:pPr>
      <w:r w:rsidRPr="001F127A">
        <w:rPr>
          <w:b/>
          <w:bCs/>
        </w:rPr>
        <w:t>数据一致</w:t>
      </w:r>
      <w:r w:rsidRPr="001F127A">
        <w:t>：文字中的面积、距离、指标（如容积率、绿地率）需与图中标注完全统一，避免矛盾。</w:t>
      </w:r>
      <w:r w:rsidRPr="001F127A">
        <w:rPr>
          <w:rFonts w:ascii="Times New Roman" w:hAnsi="Times New Roman" w:cs="Times New Roman"/>
        </w:rPr>
        <w:t>​</w:t>
      </w:r>
    </w:p>
    <w:p w14:paraId="5AAC277B" w14:textId="1CA4154A" w:rsidR="001F127A" w:rsidRDefault="001F127A" w:rsidP="000E1A25">
      <w:pPr>
        <w:pStyle w:val="2"/>
      </w:pPr>
      <w:r w:rsidRPr="001F127A">
        <w:t>图文对核心结构</w:t>
      </w:r>
    </w:p>
    <w:p w14:paraId="6AF68835" w14:textId="47412C63" w:rsidR="001F127A" w:rsidRPr="001F127A" w:rsidRDefault="001F127A" w:rsidP="000E1A25">
      <w:pPr>
        <w:pStyle w:val="3"/>
        <w:ind w:firstLine="643"/>
      </w:pPr>
      <w:r w:rsidRPr="001F127A">
        <w:t xml:space="preserve"> 图件基础信息（开篇必含，锚定图的核心范围）</w:t>
      </w:r>
      <w:r w:rsidRPr="001F127A">
        <w:rPr>
          <w:rFonts w:ascii="Times New Roman" w:hAnsi="Times New Roman" w:cs="Times New Roman"/>
        </w:rPr>
        <w:t>​</w:t>
      </w:r>
    </w:p>
    <w:p w14:paraId="0ED45856" w14:textId="77777777" w:rsidR="001F127A" w:rsidRPr="001F127A" w:rsidRDefault="001F127A" w:rsidP="000E1A25">
      <w:pPr>
        <w:ind w:firstLine="643"/>
      </w:pPr>
      <w:r w:rsidRPr="001F127A">
        <w:rPr>
          <w:b/>
          <w:bCs/>
        </w:rPr>
        <w:t>图名</w:t>
      </w:r>
      <w:r w:rsidRPr="001F127A">
        <w:t>：XX 片区（东至 XX 路、南至 XX 河、西至 XX 大道、北至 XX 公园）控制性详细规划图</w:t>
      </w:r>
      <w:r w:rsidRPr="001F127A">
        <w:rPr>
          <w:rFonts w:ascii="Times New Roman" w:hAnsi="Times New Roman" w:cs="Times New Roman"/>
        </w:rPr>
        <w:t>​</w:t>
      </w:r>
    </w:p>
    <w:p w14:paraId="034D911F" w14:textId="77777777" w:rsidR="001F127A" w:rsidRPr="001F127A" w:rsidRDefault="001F127A" w:rsidP="000E1A25">
      <w:pPr>
        <w:ind w:firstLine="643"/>
      </w:pPr>
      <w:r w:rsidRPr="001F127A">
        <w:rPr>
          <w:b/>
          <w:bCs/>
        </w:rPr>
        <w:t>比例尺</w:t>
      </w:r>
      <w:r w:rsidRPr="001F127A">
        <w:t>：1:2000（需与图中标注一致，方便读者估算实际尺寸）</w:t>
      </w:r>
      <w:r w:rsidRPr="001F127A">
        <w:rPr>
          <w:rFonts w:ascii="Times New Roman" w:hAnsi="Times New Roman" w:cs="Times New Roman"/>
        </w:rPr>
        <w:t>​</w:t>
      </w:r>
    </w:p>
    <w:p w14:paraId="51C4F660" w14:textId="77777777" w:rsidR="001F127A" w:rsidRPr="001F127A" w:rsidRDefault="001F127A" w:rsidP="000E1A25">
      <w:pPr>
        <w:ind w:firstLine="643"/>
      </w:pPr>
      <w:r w:rsidRPr="001F127A">
        <w:rPr>
          <w:b/>
          <w:bCs/>
        </w:rPr>
        <w:t>规划期限</w:t>
      </w:r>
      <w:r w:rsidRPr="001F127A">
        <w:t>：202X-203X 年（明确规划时效性）</w:t>
      </w:r>
      <w:r w:rsidRPr="001F127A">
        <w:rPr>
          <w:rFonts w:ascii="Times New Roman" w:hAnsi="Times New Roman" w:cs="Times New Roman"/>
        </w:rPr>
        <w:t>​</w:t>
      </w:r>
    </w:p>
    <w:p w14:paraId="0C2CAFDA" w14:textId="77777777" w:rsidR="001F127A" w:rsidRPr="001F127A" w:rsidRDefault="001F127A" w:rsidP="000E1A25">
      <w:pPr>
        <w:ind w:firstLine="643"/>
      </w:pPr>
      <w:r w:rsidRPr="001F127A">
        <w:rPr>
          <w:b/>
          <w:bCs/>
        </w:rPr>
        <w:t>坐标系</w:t>
      </w:r>
      <w:r w:rsidRPr="001F127A">
        <w:t>：2000 国家大地坐标系 / 1985 国家高程基准（规范图件空间基准）</w:t>
      </w:r>
      <w:r w:rsidRPr="001F127A">
        <w:rPr>
          <w:rFonts w:ascii="Times New Roman" w:hAnsi="Times New Roman" w:cs="Times New Roman"/>
        </w:rPr>
        <w:t>​</w:t>
      </w:r>
    </w:p>
    <w:p w14:paraId="2962E2B0" w14:textId="76441374" w:rsidR="001F127A" w:rsidRPr="001F127A" w:rsidRDefault="001F127A" w:rsidP="000E1A25">
      <w:pPr>
        <w:pStyle w:val="3"/>
        <w:ind w:firstLine="643"/>
      </w:pPr>
      <w:r w:rsidRPr="001F127A">
        <w:lastRenderedPageBreak/>
        <w:t>文字解读框架（与图中要素强绑定）</w:t>
      </w:r>
      <w:r w:rsidRPr="001F127A">
        <w:rPr>
          <w:rFonts w:ascii="Times New Roman" w:hAnsi="Times New Roman" w:cs="Times New Roman"/>
        </w:rPr>
        <w:t>​</w:t>
      </w:r>
    </w:p>
    <w:p w14:paraId="519F3F05" w14:textId="77777777" w:rsidR="001F127A" w:rsidRPr="001F127A" w:rsidRDefault="001F127A" w:rsidP="000E1A25">
      <w:pPr>
        <w:ind w:firstLine="640"/>
      </w:pPr>
      <w:r w:rsidRPr="001F127A">
        <w:rPr>
          <w:rFonts w:ascii="Times New Roman" w:hAnsi="Times New Roman" w:cs="Times New Roman"/>
        </w:rPr>
        <w:t>​</w:t>
      </w:r>
    </w:p>
    <w:tbl>
      <w:tblPr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5387"/>
      </w:tblGrid>
      <w:tr w:rsidR="001F127A" w:rsidRPr="001F127A" w14:paraId="372F8E52" w14:textId="77777777" w:rsidTr="001F127A">
        <w:trPr>
          <w:trHeight w:val="600"/>
        </w:trPr>
        <w:tc>
          <w:tcPr>
            <w:tcW w:w="2977" w:type="dxa"/>
            <w:hideMark/>
          </w:tcPr>
          <w:p w14:paraId="65418EC9" w14:textId="77777777" w:rsidR="001F127A" w:rsidRPr="001F127A" w:rsidRDefault="001F127A" w:rsidP="000E1A25">
            <w:pPr>
              <w:pStyle w:val="ae"/>
            </w:pPr>
            <w:r w:rsidRPr="001F127A">
              <w:t>图中核心要素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5387" w:type="dxa"/>
            <w:hideMark/>
          </w:tcPr>
          <w:p w14:paraId="1F0FAB69" w14:textId="77777777" w:rsidR="001F127A" w:rsidRPr="001F127A" w:rsidRDefault="001F127A" w:rsidP="000E1A25">
            <w:pPr>
              <w:pStyle w:val="ae"/>
            </w:pPr>
            <w:r w:rsidRPr="001F127A">
              <w:t>文字解读要点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</w:tr>
      <w:tr w:rsidR="001F127A" w:rsidRPr="001F127A" w14:paraId="0562FBE6" w14:textId="77777777" w:rsidTr="001F127A">
        <w:trPr>
          <w:trHeight w:val="600"/>
        </w:trPr>
        <w:tc>
          <w:tcPr>
            <w:tcW w:w="2977" w:type="dxa"/>
            <w:hideMark/>
          </w:tcPr>
          <w:p w14:paraId="3673BBF4" w14:textId="77777777" w:rsidR="001F127A" w:rsidRPr="001F127A" w:rsidRDefault="001F127A" w:rsidP="000E1A25">
            <w:pPr>
              <w:pStyle w:val="ae"/>
            </w:pPr>
            <w:r w:rsidRPr="001F127A">
              <w:t>1. 用地范围线（红线）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5387" w:type="dxa"/>
            <w:hideMark/>
          </w:tcPr>
          <w:p w14:paraId="10FE4327" w14:textId="77777777" w:rsidR="001F127A" w:rsidRPr="001F127A" w:rsidRDefault="001F127A" w:rsidP="000E1A25">
            <w:pPr>
              <w:pStyle w:val="ae"/>
            </w:pPr>
            <w:r w:rsidRPr="001F127A">
              <w:t>明确用地四至边界对应的现状地标（如 “东接现状 XX 居住区，南邻 XX 生态河，西靠 XX 快速路”），说明用地总面积（如 “规划总用地 128 公顷，其中城市建设用地 105 公顷，生态保留用地 23 公顷”）。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</w:tr>
      <w:tr w:rsidR="001F127A" w:rsidRPr="001F127A" w14:paraId="13A12528" w14:textId="77777777" w:rsidTr="001F127A">
        <w:trPr>
          <w:trHeight w:val="600"/>
        </w:trPr>
        <w:tc>
          <w:tcPr>
            <w:tcW w:w="2977" w:type="dxa"/>
            <w:hideMark/>
          </w:tcPr>
          <w:p w14:paraId="41665A08" w14:textId="77777777" w:rsidR="001F127A" w:rsidRPr="001F127A" w:rsidRDefault="001F127A" w:rsidP="000E1A25">
            <w:pPr>
              <w:pStyle w:val="ae"/>
            </w:pPr>
            <w:r w:rsidRPr="001F127A">
              <w:t>2. 功能分区（彩色块）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5387" w:type="dxa"/>
            <w:hideMark/>
          </w:tcPr>
          <w:p w14:paraId="0E98B695" w14:textId="77777777" w:rsidR="001F127A" w:rsidRPr="001F127A" w:rsidRDefault="001F127A" w:rsidP="000E1A25">
            <w:pPr>
              <w:pStyle w:val="ae"/>
            </w:pPr>
            <w:r w:rsidRPr="001F127A">
              <w:t xml:space="preserve">按图中颜色 / 图例对应解读：- 黄色（居住用地）：分 3 </w:t>
            </w:r>
            <w:proofErr w:type="gramStart"/>
            <w:r w:rsidRPr="001F127A">
              <w:t>个</w:t>
            </w:r>
            <w:proofErr w:type="gramEnd"/>
            <w:r w:rsidRPr="001F127A">
              <w:t>居住组团，配建 1 所 12 班幼儿园（图中编号 Y1）、2 处社区服务中心（Y2、Y3），容积率≤2.2，建筑高度≤60 米；- 红色（商业用地）：集中布局于 XX 路与 XX 大道交叉口（图中 S1 地块），规划建设商业综合体，兼容 15% 办公用途，容积率≤4.0；- 绿色（绿地与广场用地）：沿 XX 河布局带状公园（图中 G1，宽度≥30 米），社区公园 2 处（G2、G3，每处面积≥5000</w:t>
            </w:r>
            <w:r w:rsidRPr="001F127A">
              <w:rPr>
                <w:rFonts w:ascii="微软雅黑" w:eastAsia="微软雅黑" w:hAnsi="微软雅黑" w:cs="微软雅黑" w:hint="eastAsia"/>
              </w:rPr>
              <w:t>㎡</w:t>
            </w:r>
            <w:r w:rsidRPr="001F127A">
              <w:rPr>
                <w:rFonts w:hint="eastAsia"/>
              </w:rPr>
              <w:t>）。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</w:tr>
      <w:tr w:rsidR="001F127A" w:rsidRPr="001F127A" w14:paraId="4CAB2E69" w14:textId="77777777" w:rsidTr="001F127A">
        <w:trPr>
          <w:trHeight w:val="600"/>
        </w:trPr>
        <w:tc>
          <w:tcPr>
            <w:tcW w:w="2977" w:type="dxa"/>
            <w:hideMark/>
          </w:tcPr>
          <w:p w14:paraId="281B3DC2" w14:textId="77777777" w:rsidR="001F127A" w:rsidRPr="001F127A" w:rsidRDefault="001F127A" w:rsidP="000E1A25">
            <w:pPr>
              <w:pStyle w:val="ae"/>
            </w:pPr>
            <w:r w:rsidRPr="001F127A">
              <w:t>3. 交通系统（道路 / 轨道）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5387" w:type="dxa"/>
            <w:hideMark/>
          </w:tcPr>
          <w:p w14:paraId="381D073B" w14:textId="77777777" w:rsidR="001F127A" w:rsidRPr="001F127A" w:rsidRDefault="001F127A" w:rsidP="000E1A25">
            <w:pPr>
              <w:pStyle w:val="ae"/>
            </w:pPr>
            <w:r w:rsidRPr="001F127A">
              <w:t>解读路网与图中线条对应：- 主干路：XX 大道（红线宽 40 米，双向 6 车</w:t>
            </w:r>
            <w:r w:rsidRPr="001F127A">
              <w:lastRenderedPageBreak/>
              <w:t>道，图中加粗实线）、XX 路（红线宽 35 米，双向 4 车道）；- 支路：规划 4 条支路（红线宽 18-24 米，图中细实线），衔接各功能分区；- 轨道：规划 XX 号线（图中虚线）穿片区北部，设 XX 站（图中 T1），距居住组团最远步行距离≤800 米。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</w:tr>
      <w:tr w:rsidR="001F127A" w:rsidRPr="001F127A" w14:paraId="30282375" w14:textId="77777777" w:rsidTr="001F127A">
        <w:trPr>
          <w:trHeight w:val="600"/>
        </w:trPr>
        <w:tc>
          <w:tcPr>
            <w:tcW w:w="2977" w:type="dxa"/>
            <w:hideMark/>
          </w:tcPr>
          <w:p w14:paraId="5E205306" w14:textId="77777777" w:rsidR="001F127A" w:rsidRPr="001F127A" w:rsidRDefault="001F127A" w:rsidP="000E1A25">
            <w:pPr>
              <w:pStyle w:val="ae"/>
            </w:pPr>
            <w:r w:rsidRPr="001F127A">
              <w:lastRenderedPageBreak/>
              <w:t>4. 公共设施（符号标注）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5387" w:type="dxa"/>
            <w:hideMark/>
          </w:tcPr>
          <w:p w14:paraId="191E0811" w14:textId="77777777" w:rsidR="001F127A" w:rsidRPr="001F127A" w:rsidRDefault="001F127A" w:rsidP="000E1A25">
            <w:pPr>
              <w:pStyle w:val="ae"/>
            </w:pPr>
            <w:r w:rsidRPr="001F127A">
              <w:t>按图中符号（如△幼儿园、□社区中心、○医院）逐一说明：- 教育设施：除 Y1 幼儿园外，片区东北侧预留中学用地（图中 E1，规模 36 班），服务半径覆盖整个片区；- 医疗设施：规划社区卫生服务中心 1 处（图中 M1，建筑面积≥3000</w:t>
            </w:r>
            <w:r w:rsidRPr="001F127A">
              <w:rPr>
                <w:rFonts w:ascii="微软雅黑" w:eastAsia="微软雅黑" w:hAnsi="微软雅黑" w:cs="微软雅黑" w:hint="eastAsia"/>
              </w:rPr>
              <w:t>㎡</w:t>
            </w:r>
            <w:r w:rsidRPr="001F127A">
              <w:rPr>
                <w:rFonts w:hint="eastAsia"/>
              </w:rPr>
              <w:t>），紧邻居住组团</w:t>
            </w:r>
            <w:r w:rsidRPr="001F127A">
              <w:t xml:space="preserve"> Y2。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</w:tr>
      <w:tr w:rsidR="001F127A" w:rsidRPr="001F127A" w14:paraId="6FE3EE81" w14:textId="77777777" w:rsidTr="001F127A">
        <w:trPr>
          <w:trHeight w:val="600"/>
        </w:trPr>
        <w:tc>
          <w:tcPr>
            <w:tcW w:w="2977" w:type="dxa"/>
            <w:hideMark/>
          </w:tcPr>
          <w:p w14:paraId="0EE50A96" w14:textId="77777777" w:rsidR="001F127A" w:rsidRPr="001F127A" w:rsidRDefault="001F127A" w:rsidP="000E1A25">
            <w:pPr>
              <w:pStyle w:val="ae"/>
            </w:pPr>
            <w:r w:rsidRPr="001F127A">
              <w:t>5. 控制指标（数字标注）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5387" w:type="dxa"/>
            <w:hideMark/>
          </w:tcPr>
          <w:p w14:paraId="03D3D01F" w14:textId="77777777" w:rsidR="001F127A" w:rsidRPr="001F127A" w:rsidRDefault="001F127A" w:rsidP="000E1A25">
            <w:pPr>
              <w:pStyle w:val="ae"/>
            </w:pPr>
            <w:r w:rsidRPr="001F127A">
              <w:t xml:space="preserve">针对图中地块编号（如 A1、A2）补充指标：- A1 地块（居住）：容积率 2.0，建筑密度≤25%，绿地率≥35%，配套车位 1.2 </w:t>
            </w:r>
            <w:proofErr w:type="gramStart"/>
            <w:r w:rsidRPr="001F127A">
              <w:t>个</w:t>
            </w:r>
            <w:proofErr w:type="gramEnd"/>
            <w:r w:rsidRPr="001F127A">
              <w:t xml:space="preserve"> / 100</w:t>
            </w:r>
            <w:r w:rsidRPr="001F127A">
              <w:rPr>
                <w:rFonts w:ascii="微软雅黑" w:eastAsia="微软雅黑" w:hAnsi="微软雅黑" w:cs="微软雅黑" w:hint="eastAsia"/>
              </w:rPr>
              <w:t>㎡</w:t>
            </w:r>
            <w:r w:rsidRPr="001F127A">
              <w:rPr>
                <w:rFonts w:hint="eastAsia"/>
              </w:rPr>
              <w:t>建筑面积；</w:t>
            </w:r>
            <w:r w:rsidRPr="001F127A">
              <w:t xml:space="preserve">- A2 地块（商业）：容积率 3.8，建筑密度≤40%，绿地率≥20%，需配建公共停车场（≥200 </w:t>
            </w:r>
            <w:proofErr w:type="gramStart"/>
            <w:r w:rsidRPr="001F127A">
              <w:t>个</w:t>
            </w:r>
            <w:proofErr w:type="gramEnd"/>
            <w:r w:rsidRPr="001F127A">
              <w:t>车位）。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</w:tr>
      <w:tr w:rsidR="001F127A" w:rsidRPr="001F127A" w14:paraId="41326EC7" w14:textId="77777777" w:rsidTr="001F127A">
        <w:trPr>
          <w:trHeight w:val="600"/>
        </w:trPr>
        <w:tc>
          <w:tcPr>
            <w:tcW w:w="2977" w:type="dxa"/>
            <w:hideMark/>
          </w:tcPr>
          <w:p w14:paraId="1641C260" w14:textId="77777777" w:rsidR="001F127A" w:rsidRPr="001F127A" w:rsidRDefault="001F127A" w:rsidP="000E1A25">
            <w:pPr>
              <w:pStyle w:val="ae"/>
            </w:pPr>
            <w:r w:rsidRPr="001F127A">
              <w:t>6. 约束条件（特殊标注）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5387" w:type="dxa"/>
            <w:hideMark/>
          </w:tcPr>
          <w:p w14:paraId="73CAABEC" w14:textId="77777777" w:rsidR="001F127A" w:rsidRPr="001F127A" w:rsidRDefault="001F127A" w:rsidP="000E1A25">
            <w:pPr>
              <w:pStyle w:val="ae"/>
            </w:pPr>
            <w:r w:rsidRPr="001F127A">
              <w:t xml:space="preserve">解读图中特殊符号 / 备注：- 生态控制线（图中绿虚线）：XX 河两岸 50 </w:t>
            </w:r>
            <w:proofErr w:type="gramStart"/>
            <w:r w:rsidRPr="001F127A">
              <w:t>米</w:t>
            </w:r>
            <w:r w:rsidRPr="001F127A">
              <w:lastRenderedPageBreak/>
              <w:t>范围</w:t>
            </w:r>
            <w:proofErr w:type="gramEnd"/>
            <w:r w:rsidRPr="001F127A">
              <w:t>内禁止建设永久性建筑，仅允许生态修复工程；- 历史建筑保护（图中黑框）：现状 XX 老宅（图中 H1）需保留，周边建筑高度≤12 米，风格与老宅协调。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</w:tr>
    </w:tbl>
    <w:p w14:paraId="46D08D74" w14:textId="77777777" w:rsidR="001F127A" w:rsidRPr="001F127A" w:rsidRDefault="001F127A" w:rsidP="000E1A25">
      <w:pPr>
        <w:ind w:firstLine="640"/>
      </w:pPr>
      <w:r w:rsidRPr="001F127A">
        <w:rPr>
          <w:rFonts w:ascii="Times New Roman" w:hAnsi="Times New Roman" w:cs="Times New Roman"/>
        </w:rPr>
        <w:lastRenderedPageBreak/>
        <w:t>​</w:t>
      </w:r>
    </w:p>
    <w:p w14:paraId="49CF67B8" w14:textId="3F638696" w:rsidR="001F127A" w:rsidRPr="001F127A" w:rsidRDefault="001F127A" w:rsidP="000E1A25">
      <w:pPr>
        <w:pStyle w:val="3"/>
        <w:ind w:firstLine="643"/>
      </w:pPr>
      <w:r w:rsidRPr="001F127A">
        <w:t xml:space="preserve"> 结尾补充（增强实用性）</w:t>
      </w:r>
      <w:r w:rsidRPr="001F127A">
        <w:rPr>
          <w:rFonts w:ascii="Times New Roman" w:hAnsi="Times New Roman" w:cs="Times New Roman"/>
        </w:rPr>
        <w:t>​</w:t>
      </w:r>
    </w:p>
    <w:p w14:paraId="34CAC9BF" w14:textId="77777777" w:rsidR="001F127A" w:rsidRPr="001F127A" w:rsidRDefault="001F127A" w:rsidP="001F127A">
      <w:pPr>
        <w:ind w:firstLine="643"/>
      </w:pPr>
      <w:r w:rsidRPr="001F127A">
        <w:rPr>
          <w:b/>
          <w:bCs/>
        </w:rPr>
        <w:t>实施提示</w:t>
      </w:r>
      <w:r w:rsidRPr="001F127A">
        <w:t>：“本规划图中居住用地需与周边现状市政管网（给水、排水、电力）衔接，具体接口位置需结合后续修建性详细规划确定”；</w:t>
      </w:r>
      <w:r w:rsidRPr="001F127A">
        <w:rPr>
          <w:rFonts w:ascii="Times New Roman" w:hAnsi="Times New Roman" w:cs="Times New Roman"/>
        </w:rPr>
        <w:t>​</w:t>
      </w:r>
    </w:p>
    <w:p w14:paraId="62AA7E4D" w14:textId="77777777" w:rsidR="001F127A" w:rsidRPr="001F127A" w:rsidRDefault="001F127A" w:rsidP="001F127A">
      <w:pPr>
        <w:ind w:firstLine="643"/>
      </w:pPr>
      <w:r w:rsidRPr="001F127A">
        <w:rPr>
          <w:b/>
          <w:bCs/>
        </w:rPr>
        <w:t>查阅说明</w:t>
      </w:r>
      <w:r w:rsidRPr="001F127A">
        <w:t>：“图中未明确的细节（如建筑退线、管线走向），可参照《XX 片区规划设计导则》（编号 XX）执行”。</w:t>
      </w:r>
      <w:r w:rsidRPr="001F127A">
        <w:rPr>
          <w:rFonts w:ascii="Times New Roman" w:hAnsi="Times New Roman" w:cs="Times New Roman"/>
        </w:rPr>
        <w:t>​</w:t>
      </w:r>
    </w:p>
    <w:p w14:paraId="41BC289D" w14:textId="5B657859" w:rsidR="001F127A" w:rsidRPr="001F127A" w:rsidRDefault="001F127A" w:rsidP="000E1A25">
      <w:pPr>
        <w:pStyle w:val="2"/>
      </w:pPr>
      <w:r w:rsidRPr="001F127A">
        <w:t>不同类型用地规划图的图文对侧重</w:t>
      </w:r>
      <w:r w:rsidRPr="001F127A">
        <w:rPr>
          <w:rFonts w:ascii="Times New Roman" w:hAnsi="Times New Roman" w:cs="Times New Roman"/>
        </w:rPr>
        <w:t>​</w:t>
      </w:r>
    </w:p>
    <w:p w14:paraId="6A6EE44D" w14:textId="77777777" w:rsidR="001F127A" w:rsidRPr="001F127A" w:rsidRDefault="001F127A" w:rsidP="000E1A25">
      <w:pPr>
        <w:pStyle w:val="3"/>
        <w:ind w:firstLine="643"/>
      </w:pPr>
      <w:r w:rsidRPr="001F127A">
        <w:t>总平面图（宏观布局）：</w:t>
      </w:r>
      <w:r w:rsidRPr="001F127A">
        <w:rPr>
          <w:rFonts w:ascii="Times New Roman" w:hAnsi="Times New Roman" w:cs="Times New Roman"/>
        </w:rPr>
        <w:t>​</w:t>
      </w:r>
    </w:p>
    <w:p w14:paraId="3B3952F0" w14:textId="77777777" w:rsidR="001F127A" w:rsidRPr="001F127A" w:rsidRDefault="001F127A" w:rsidP="000E1A25">
      <w:pPr>
        <w:ind w:firstLine="640"/>
      </w:pPr>
      <w:r w:rsidRPr="001F127A">
        <w:t>侧重 “整体定位 + 空间结构”，文字需说明用地在城市中的角色（如 “城市副中心核心区”），解读 “一心两轴三组团” 等结构（图中用轴线箭头、组团边界线标注）；</w:t>
      </w:r>
      <w:r w:rsidRPr="001F127A">
        <w:rPr>
          <w:rFonts w:ascii="Times New Roman" w:hAnsi="Times New Roman" w:cs="Times New Roman"/>
        </w:rPr>
        <w:t>​</w:t>
      </w:r>
    </w:p>
    <w:p w14:paraId="212F896C" w14:textId="77777777" w:rsidR="001F127A" w:rsidRPr="001F127A" w:rsidRDefault="001F127A" w:rsidP="000E1A25">
      <w:pPr>
        <w:pStyle w:val="3"/>
        <w:ind w:firstLine="643"/>
      </w:pPr>
      <w:r w:rsidRPr="001F127A">
        <w:t>专项规划图（如绿地 / 交通）：</w:t>
      </w:r>
      <w:r w:rsidRPr="001F127A">
        <w:rPr>
          <w:rFonts w:ascii="Times New Roman" w:hAnsi="Times New Roman" w:cs="Times New Roman"/>
        </w:rPr>
        <w:t>​</w:t>
      </w:r>
    </w:p>
    <w:p w14:paraId="37B7AB9B" w14:textId="77777777" w:rsidR="001F127A" w:rsidRPr="001F127A" w:rsidRDefault="001F127A" w:rsidP="000E1A25">
      <w:pPr>
        <w:ind w:firstLine="640"/>
      </w:pPr>
      <w:r w:rsidRPr="001F127A">
        <w:t>绿地规划图：文字重点对应图中绿地类型（公园绿地、防护绿地）、服务半径、生态功能（如 “防护绿地沿高速路布局，宽度 50 米，阻隔噪声与扬尘”）；</w:t>
      </w:r>
      <w:r w:rsidRPr="001F127A">
        <w:rPr>
          <w:rFonts w:ascii="Times New Roman" w:hAnsi="Times New Roman" w:cs="Times New Roman"/>
        </w:rPr>
        <w:t>​</w:t>
      </w:r>
    </w:p>
    <w:p w14:paraId="1C3F3C11" w14:textId="77777777" w:rsidR="001F127A" w:rsidRPr="001F127A" w:rsidRDefault="001F127A" w:rsidP="000E1A25">
      <w:pPr>
        <w:ind w:firstLine="640"/>
      </w:pPr>
      <w:r w:rsidRPr="001F127A">
        <w:t xml:space="preserve">交通规划图：文字解读路网等级、交叉口形式（如 “XX </w:t>
      </w:r>
      <w:r w:rsidRPr="001F127A">
        <w:lastRenderedPageBreak/>
        <w:t>路与 XX 大道交叉口规划为环岛，缓解交通拥堵”）、公共交通站点覆盖；</w:t>
      </w:r>
      <w:r w:rsidRPr="001F127A">
        <w:rPr>
          <w:rFonts w:ascii="Times New Roman" w:hAnsi="Times New Roman" w:cs="Times New Roman"/>
        </w:rPr>
        <w:t>​</w:t>
      </w:r>
    </w:p>
    <w:p w14:paraId="40F01B16" w14:textId="77777777" w:rsidR="001F127A" w:rsidRPr="001F127A" w:rsidRDefault="001F127A" w:rsidP="000E1A25">
      <w:pPr>
        <w:pStyle w:val="3"/>
        <w:ind w:firstLine="643"/>
      </w:pPr>
      <w:r w:rsidRPr="001F127A">
        <w:t>村庄用地规划图：</w:t>
      </w:r>
      <w:r w:rsidRPr="001F127A">
        <w:rPr>
          <w:rFonts w:ascii="Times New Roman" w:hAnsi="Times New Roman" w:cs="Times New Roman"/>
        </w:rPr>
        <w:t>​</w:t>
      </w:r>
    </w:p>
    <w:p w14:paraId="564BFCB3" w14:textId="77777777" w:rsidR="001F127A" w:rsidRPr="001F127A" w:rsidRDefault="001F127A" w:rsidP="001F127A">
      <w:pPr>
        <w:ind w:firstLine="640"/>
      </w:pPr>
      <w:r w:rsidRPr="001F127A">
        <w:t>需结合现状农房、耕地，文字用通俗语言解读（如 “图中粉色区域为保留农房区，蓝色区域为新建居民点，配套建设村口广场（图中 C1）与便民超市（C2）”）。</w:t>
      </w:r>
      <w:r w:rsidRPr="001F127A">
        <w:rPr>
          <w:rFonts w:ascii="Times New Roman" w:hAnsi="Times New Roman" w:cs="Times New Roman"/>
        </w:rPr>
        <w:t>​</w:t>
      </w:r>
    </w:p>
    <w:p w14:paraId="3C2A3379" w14:textId="77777777" w:rsidR="001F127A" w:rsidRPr="001F127A" w:rsidRDefault="001F127A" w:rsidP="000E1A25">
      <w:pPr>
        <w:pStyle w:val="2"/>
      </w:pPr>
      <w:r w:rsidRPr="001F127A">
        <w:t>四、常见误区</w:t>
      </w:r>
      <w:proofErr w:type="gramStart"/>
      <w:r w:rsidRPr="001F127A">
        <w:t>与避坑</w:t>
      </w:r>
      <w:proofErr w:type="gramEnd"/>
      <w:r w:rsidRPr="001F127A">
        <w:t>要点</w:t>
      </w:r>
      <w:r w:rsidRPr="001F127A">
        <w:rPr>
          <w:rFonts w:ascii="Times New Roman" w:hAnsi="Times New Roman" w:cs="Times New Roman"/>
        </w:rPr>
        <w:t>​</w:t>
      </w:r>
    </w:p>
    <w:p w14:paraId="3A0577A2" w14:textId="77777777" w:rsidR="001F127A" w:rsidRPr="001F127A" w:rsidRDefault="001F127A" w:rsidP="001F127A">
      <w:pPr>
        <w:ind w:firstLine="643"/>
      </w:pPr>
      <w:r w:rsidRPr="001F127A">
        <w:rPr>
          <w:b/>
          <w:bCs/>
        </w:rPr>
        <w:t>避免 “重图轻文”</w:t>
      </w:r>
      <w:r w:rsidRPr="001F127A">
        <w:t>：仅贴图标注，不解释 “为什么这么规划”（如只</w:t>
      </w:r>
      <w:proofErr w:type="gramStart"/>
      <w:r w:rsidRPr="001F127A">
        <w:t>标商业</w:t>
      </w:r>
      <w:proofErr w:type="gramEnd"/>
      <w:r w:rsidRPr="001F127A">
        <w:t>用地，不说明 “因临近地铁站，适合布局商业”）；</w:t>
      </w:r>
      <w:r w:rsidRPr="001F127A">
        <w:rPr>
          <w:rFonts w:ascii="Times New Roman" w:hAnsi="Times New Roman" w:cs="Times New Roman"/>
        </w:rPr>
        <w:t>​</w:t>
      </w:r>
    </w:p>
    <w:p w14:paraId="7ECB510C" w14:textId="77777777" w:rsidR="001F127A" w:rsidRPr="001F127A" w:rsidRDefault="001F127A" w:rsidP="001F127A">
      <w:pPr>
        <w:ind w:firstLine="643"/>
      </w:pPr>
      <w:r w:rsidRPr="001F127A">
        <w:rPr>
          <w:b/>
          <w:bCs/>
        </w:rPr>
        <w:t>避免术语堆砌</w:t>
      </w:r>
      <w:r w:rsidRPr="001F127A">
        <w:t xml:space="preserve">：对 “容积率”“建筑密度” 等专业词，可简单补充（如 “容积率 2.0：约每公顷用地允许建设 2 </w:t>
      </w:r>
      <w:proofErr w:type="gramStart"/>
      <w:r w:rsidRPr="001F127A">
        <w:t>万平方米</w:t>
      </w:r>
      <w:proofErr w:type="gramEnd"/>
      <w:r w:rsidRPr="001F127A">
        <w:t>建筑”）；</w:t>
      </w:r>
      <w:r w:rsidRPr="001F127A">
        <w:rPr>
          <w:rFonts w:ascii="Times New Roman" w:hAnsi="Times New Roman" w:cs="Times New Roman"/>
        </w:rPr>
        <w:t>​</w:t>
      </w:r>
    </w:p>
    <w:p w14:paraId="58F13956" w14:textId="77777777" w:rsidR="001F127A" w:rsidRPr="001F127A" w:rsidRDefault="001F127A" w:rsidP="001F127A">
      <w:pPr>
        <w:ind w:firstLine="643"/>
      </w:pPr>
      <w:r w:rsidRPr="001F127A">
        <w:rPr>
          <w:b/>
          <w:bCs/>
        </w:rPr>
        <w:t>避免信息矛盾</w:t>
      </w:r>
      <w:r w:rsidRPr="001F127A">
        <w:t>：如图中标注居住用地面积 5 公顷，文字却写 “6 公顷”，需反复核对图件数据与文字描述；</w:t>
      </w:r>
      <w:r w:rsidRPr="001F127A">
        <w:rPr>
          <w:rFonts w:ascii="Times New Roman" w:hAnsi="Times New Roman" w:cs="Times New Roman"/>
        </w:rPr>
        <w:t>​</w:t>
      </w:r>
    </w:p>
    <w:p w14:paraId="39317B60" w14:textId="77777777" w:rsidR="001F127A" w:rsidRPr="001F127A" w:rsidRDefault="001F127A" w:rsidP="001F127A">
      <w:pPr>
        <w:ind w:firstLine="643"/>
      </w:pPr>
      <w:r w:rsidRPr="001F127A">
        <w:rPr>
          <w:b/>
          <w:bCs/>
        </w:rPr>
        <w:t>避免标识模糊</w:t>
      </w:r>
      <w:r w:rsidRPr="001F127A">
        <w:t>：图中颜色 / 符号需在文字中明确（如 “图中橙色区域：工业用地（一类），非橙色均为非工业用地”），不依赖读者 “猜图例”。</w:t>
      </w:r>
      <w:r w:rsidRPr="001F127A">
        <w:rPr>
          <w:rFonts w:ascii="Times New Roman" w:hAnsi="Times New Roman" w:cs="Times New Roman"/>
        </w:rPr>
        <w:t>​</w:t>
      </w:r>
    </w:p>
    <w:p w14:paraId="0EA67694" w14:textId="77777777" w:rsidR="009C5863" w:rsidRDefault="009C5863" w:rsidP="001F127A">
      <w:pPr>
        <w:ind w:firstLine="640"/>
      </w:pPr>
    </w:p>
    <w:p w14:paraId="7411C34E" w14:textId="09B55D09" w:rsidR="000E1A25" w:rsidRDefault="000E1A25" w:rsidP="000E1A25">
      <w:pPr>
        <w:pStyle w:val="1"/>
      </w:pPr>
      <w:r>
        <w:rPr>
          <w:rFonts w:hint="eastAsia"/>
        </w:rPr>
        <w:lastRenderedPageBreak/>
        <w:t>图例与图则</w:t>
      </w:r>
    </w:p>
    <w:p w14:paraId="2C363F24" w14:textId="7FDD9E60" w:rsidR="001F127A" w:rsidRDefault="000E1A25" w:rsidP="000E1A25">
      <w:pPr>
        <w:pStyle w:val="2"/>
        <w:rPr>
          <w:rFonts w:hint="eastAsia"/>
        </w:rPr>
      </w:pPr>
      <w:r>
        <w:rPr>
          <w:rFonts w:hint="eastAsia"/>
        </w:rPr>
        <w:t>图例标注</w:t>
      </w:r>
    </w:p>
    <w:p w14:paraId="781ACCC6" w14:textId="682EEFF9" w:rsidR="001F127A" w:rsidRPr="001F127A" w:rsidRDefault="001F127A" w:rsidP="000E1A25">
      <w:pPr>
        <w:ind w:firstLine="640"/>
      </w:pPr>
      <w:r w:rsidRPr="001F127A">
        <w:t>让 “符号 / 颜色” 有明确解释（图件必备索引）</w:t>
      </w:r>
      <w:r w:rsidRPr="001F127A">
        <w:rPr>
          <w:rFonts w:ascii="Times New Roman" w:hAnsi="Times New Roman" w:cs="Times New Roman"/>
        </w:rPr>
        <w:t>​</w:t>
      </w:r>
    </w:p>
    <w:p w14:paraId="372EC476" w14:textId="1FC39DD5" w:rsidR="001F127A" w:rsidRPr="001F127A" w:rsidRDefault="001F127A" w:rsidP="000E1A25">
      <w:pPr>
        <w:pStyle w:val="3"/>
      </w:pPr>
      <w:r w:rsidRPr="001F127A">
        <w:t>图例标注核心原则</w:t>
      </w:r>
      <w:r w:rsidRPr="001F127A">
        <w:rPr>
          <w:rFonts w:ascii="Times New Roman" w:hAnsi="Times New Roman" w:cs="Times New Roman"/>
        </w:rPr>
        <w:t>​</w:t>
      </w:r>
    </w:p>
    <w:p w14:paraId="1833B883" w14:textId="77777777" w:rsidR="001F127A" w:rsidRPr="001F127A" w:rsidRDefault="001F127A" w:rsidP="000E1A25">
      <w:pPr>
        <w:ind w:firstLine="643"/>
      </w:pPr>
      <w:r w:rsidRPr="001F127A">
        <w:rPr>
          <w:b/>
          <w:bCs/>
        </w:rPr>
        <w:t>全覆盖无遗漏</w:t>
      </w:r>
      <w:r w:rsidRPr="001F127A">
        <w:t>：图中出现的所有符号（</w:t>
      </w:r>
      <w:proofErr w:type="gramStart"/>
      <w:r w:rsidRPr="001F127A">
        <w:t>如设施</w:t>
      </w:r>
      <w:proofErr w:type="gramEnd"/>
      <w:r w:rsidRPr="001F127A">
        <w:t>图标）、颜色（如功能分区色）、线条（如边界线），必须在图例中对应标注，避免 “图有例无”；</w:t>
      </w:r>
      <w:r w:rsidRPr="001F127A">
        <w:rPr>
          <w:rFonts w:ascii="Times New Roman" w:hAnsi="Times New Roman" w:cs="Times New Roman"/>
        </w:rPr>
        <w:t>​</w:t>
      </w:r>
    </w:p>
    <w:p w14:paraId="133A44AC" w14:textId="77777777" w:rsidR="001F127A" w:rsidRPr="001F127A" w:rsidRDefault="001F127A" w:rsidP="000E1A25">
      <w:pPr>
        <w:ind w:firstLine="643"/>
      </w:pPr>
      <w:r w:rsidRPr="001F127A">
        <w:rPr>
          <w:b/>
          <w:bCs/>
        </w:rPr>
        <w:t>与文字同口径</w:t>
      </w:r>
      <w:r w:rsidRPr="001F127A">
        <w:t>：图例中的名称、缩写需与文字解读完全一致（</w:t>
      </w:r>
      <w:proofErr w:type="gramStart"/>
      <w:r w:rsidRPr="001F127A">
        <w:t>如文字</w:t>
      </w:r>
      <w:proofErr w:type="gramEnd"/>
      <w:r w:rsidRPr="001F127A">
        <w:t>写 “居住用地（R2）”，图例不可写 “住宅用地”）；</w:t>
      </w:r>
      <w:r w:rsidRPr="001F127A">
        <w:rPr>
          <w:rFonts w:ascii="Times New Roman" w:hAnsi="Times New Roman" w:cs="Times New Roman"/>
        </w:rPr>
        <w:t>​</w:t>
      </w:r>
    </w:p>
    <w:p w14:paraId="3D692E1C" w14:textId="77777777" w:rsidR="001F127A" w:rsidRPr="001F127A" w:rsidRDefault="001F127A" w:rsidP="000E1A25">
      <w:pPr>
        <w:ind w:firstLine="643"/>
      </w:pPr>
      <w:r w:rsidRPr="001F127A">
        <w:rPr>
          <w:b/>
          <w:bCs/>
        </w:rPr>
        <w:t>按类别分组</w:t>
      </w:r>
      <w:r w:rsidRPr="001F127A">
        <w:t>：避免杂乱堆砌，按 “用地性质”“公共设施”“交通系统”“约束边界” 等维度分类排列，方便查找。</w:t>
      </w:r>
      <w:r w:rsidRPr="001F127A">
        <w:rPr>
          <w:rFonts w:ascii="Times New Roman" w:hAnsi="Times New Roman" w:cs="Times New Roman"/>
        </w:rPr>
        <w:t>​</w:t>
      </w:r>
    </w:p>
    <w:p w14:paraId="071AC7C9" w14:textId="2E8AB891" w:rsidR="001F127A" w:rsidRPr="001F127A" w:rsidRDefault="001F127A" w:rsidP="000E1A25">
      <w:pPr>
        <w:pStyle w:val="3"/>
      </w:pPr>
      <w:r w:rsidRPr="001F127A">
        <w:t>图例标注内容与方法（附示例）</w:t>
      </w:r>
      <w:r w:rsidRPr="001F127A">
        <w:rPr>
          <w:rFonts w:ascii="Times New Roman" w:hAnsi="Times New Roman" w:cs="Times New Roman"/>
        </w:rPr>
        <w:t>​</w:t>
      </w:r>
    </w:p>
    <w:p w14:paraId="296F14CE" w14:textId="77777777" w:rsidR="001F127A" w:rsidRPr="001F127A" w:rsidRDefault="001F127A" w:rsidP="000E1A25">
      <w:pPr>
        <w:ind w:firstLine="640"/>
      </w:pPr>
      <w:r w:rsidRPr="001F127A">
        <w:rPr>
          <w:rFonts w:ascii="Times New Roman" w:hAnsi="Times New Roman" w:cs="Times New Roman"/>
        </w:rPr>
        <w:t>​</w:t>
      </w:r>
    </w:p>
    <w:tbl>
      <w:tblPr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59"/>
        <w:gridCol w:w="5245"/>
      </w:tblGrid>
      <w:tr w:rsidR="000E1A25" w:rsidRPr="001F127A" w14:paraId="7F67E593" w14:textId="77777777" w:rsidTr="000E1A25">
        <w:trPr>
          <w:trHeight w:val="600"/>
        </w:trPr>
        <w:tc>
          <w:tcPr>
            <w:tcW w:w="1560" w:type="dxa"/>
            <w:hideMark/>
          </w:tcPr>
          <w:p w14:paraId="257DF1D0" w14:textId="77777777" w:rsidR="001F127A" w:rsidRPr="001F127A" w:rsidRDefault="001F127A" w:rsidP="000E1A25">
            <w:pPr>
              <w:pStyle w:val="ae"/>
            </w:pPr>
            <w:r w:rsidRPr="001F127A">
              <w:t>标注类别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1559" w:type="dxa"/>
            <w:hideMark/>
          </w:tcPr>
          <w:p w14:paraId="6BB27D45" w14:textId="77777777" w:rsidR="001F127A" w:rsidRPr="001F127A" w:rsidRDefault="001F127A" w:rsidP="000E1A25">
            <w:pPr>
              <w:pStyle w:val="ae"/>
            </w:pPr>
            <w:r w:rsidRPr="001F127A">
              <w:t>具体内容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5245" w:type="dxa"/>
            <w:hideMark/>
          </w:tcPr>
          <w:p w14:paraId="397CAF8F" w14:textId="77777777" w:rsidR="001F127A" w:rsidRPr="001F127A" w:rsidRDefault="001F127A" w:rsidP="000E1A25">
            <w:pPr>
              <w:pStyle w:val="ae"/>
            </w:pPr>
            <w:r w:rsidRPr="001F127A">
              <w:t>标注格式示例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</w:tr>
      <w:tr w:rsidR="000E1A25" w:rsidRPr="001F127A" w14:paraId="326B2C88" w14:textId="77777777" w:rsidTr="000E1A25">
        <w:trPr>
          <w:trHeight w:val="600"/>
        </w:trPr>
        <w:tc>
          <w:tcPr>
            <w:tcW w:w="1560" w:type="dxa"/>
            <w:hideMark/>
          </w:tcPr>
          <w:p w14:paraId="4FDF366E" w14:textId="77777777" w:rsidR="001F127A" w:rsidRPr="001F127A" w:rsidRDefault="001F127A" w:rsidP="000E1A25">
            <w:pPr>
              <w:pStyle w:val="ae"/>
            </w:pPr>
            <w:r w:rsidRPr="001F127A">
              <w:t>1. 用地性质类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1559" w:type="dxa"/>
            <w:hideMark/>
          </w:tcPr>
          <w:p w14:paraId="413807E2" w14:textId="77777777" w:rsidR="001F127A" w:rsidRPr="001F127A" w:rsidRDefault="001F127A" w:rsidP="000E1A25">
            <w:pPr>
              <w:pStyle w:val="ae"/>
            </w:pPr>
            <w:r w:rsidRPr="001F127A">
              <w:t>各类用地的颜色 + 文字 + 代码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5245" w:type="dxa"/>
            <w:hideMark/>
          </w:tcPr>
          <w:p w14:paraId="522698DC" w14:textId="77777777" w:rsidR="000E1A25" w:rsidRDefault="001F127A" w:rsidP="000E1A25">
            <w:pPr>
              <w:pStyle w:val="ae"/>
            </w:pPr>
            <w:r w:rsidRPr="001F127A">
              <w:t>■ 居住用地（R2）：黄色（Pantone 1235C）</w:t>
            </w:r>
          </w:p>
          <w:p w14:paraId="2CFE7F29" w14:textId="77777777" w:rsidR="000E1A25" w:rsidRDefault="001F127A" w:rsidP="000E1A25">
            <w:pPr>
              <w:pStyle w:val="ae"/>
            </w:pPr>
            <w:r w:rsidRPr="001F127A">
              <w:t>■ 商业用地（B1）：红色（Pantone 485C）</w:t>
            </w:r>
          </w:p>
          <w:p w14:paraId="1D932E7D" w14:textId="2DC300B2" w:rsidR="001F127A" w:rsidRPr="001F127A" w:rsidRDefault="001F127A" w:rsidP="000E1A25">
            <w:pPr>
              <w:pStyle w:val="ae"/>
            </w:pPr>
            <w:r w:rsidRPr="001F127A">
              <w:t xml:space="preserve">■ 公园绿地（G1）：绿色（Pantone </w:t>
            </w:r>
            <w:r w:rsidRPr="001F127A">
              <w:lastRenderedPageBreak/>
              <w:t>368C）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</w:tr>
      <w:tr w:rsidR="000E1A25" w:rsidRPr="001F127A" w14:paraId="5F9A90A8" w14:textId="77777777" w:rsidTr="000E1A25">
        <w:trPr>
          <w:trHeight w:val="600"/>
        </w:trPr>
        <w:tc>
          <w:tcPr>
            <w:tcW w:w="1560" w:type="dxa"/>
            <w:hideMark/>
          </w:tcPr>
          <w:p w14:paraId="54981CF2" w14:textId="77777777" w:rsidR="001F127A" w:rsidRPr="001F127A" w:rsidRDefault="001F127A" w:rsidP="000E1A25">
            <w:pPr>
              <w:pStyle w:val="ae"/>
            </w:pPr>
            <w:r w:rsidRPr="001F127A">
              <w:lastRenderedPageBreak/>
              <w:t>2. 公共设施类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1559" w:type="dxa"/>
            <w:hideMark/>
          </w:tcPr>
          <w:p w14:paraId="6A9B4AF3" w14:textId="77777777" w:rsidR="001F127A" w:rsidRPr="001F127A" w:rsidRDefault="001F127A" w:rsidP="000E1A25">
            <w:pPr>
              <w:pStyle w:val="ae"/>
            </w:pPr>
            <w:r w:rsidRPr="001F127A">
              <w:t>设施符号 + 名称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5245" w:type="dxa"/>
            <w:hideMark/>
          </w:tcPr>
          <w:p w14:paraId="629740B7" w14:textId="77777777" w:rsidR="001F127A" w:rsidRPr="001F127A" w:rsidRDefault="001F127A" w:rsidP="000E1A25">
            <w:pPr>
              <w:pStyle w:val="ae"/>
            </w:pPr>
            <w:r w:rsidRPr="001F127A">
              <w:t>△ 幼儿园（12 班）□ 社区服务中心（≥2000</w:t>
            </w:r>
            <w:r w:rsidRPr="001F127A">
              <w:rPr>
                <w:rFonts w:ascii="微软雅黑" w:eastAsia="微软雅黑" w:hAnsi="微软雅黑" w:cs="微软雅黑" w:hint="eastAsia"/>
              </w:rPr>
              <w:t>㎡</w:t>
            </w:r>
            <w:r w:rsidRPr="001F127A">
              <w:rPr>
                <w:rFonts w:hint="eastAsia"/>
              </w:rPr>
              <w:t>）</w:t>
            </w:r>
            <w:r w:rsidRPr="001F127A">
              <w:t>○ 社区卫生服务中心（配建停车场）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</w:tr>
      <w:tr w:rsidR="000E1A25" w:rsidRPr="001F127A" w14:paraId="0F7B0E91" w14:textId="77777777" w:rsidTr="000E1A25">
        <w:trPr>
          <w:trHeight w:val="600"/>
        </w:trPr>
        <w:tc>
          <w:tcPr>
            <w:tcW w:w="1560" w:type="dxa"/>
            <w:hideMark/>
          </w:tcPr>
          <w:p w14:paraId="47AC779D" w14:textId="77777777" w:rsidR="001F127A" w:rsidRPr="001F127A" w:rsidRDefault="001F127A" w:rsidP="000E1A25">
            <w:pPr>
              <w:pStyle w:val="ae"/>
            </w:pPr>
            <w:r w:rsidRPr="001F127A">
              <w:t>3. 交通系统类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1559" w:type="dxa"/>
            <w:hideMark/>
          </w:tcPr>
          <w:p w14:paraId="3E75A22B" w14:textId="77777777" w:rsidR="001F127A" w:rsidRPr="001F127A" w:rsidRDefault="001F127A" w:rsidP="000E1A25">
            <w:pPr>
              <w:pStyle w:val="ae"/>
            </w:pPr>
            <w:r w:rsidRPr="001F127A">
              <w:t>线条 / 图标 + 属性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5245" w:type="dxa"/>
            <w:hideMark/>
          </w:tcPr>
          <w:p w14:paraId="41DB272F" w14:textId="77777777" w:rsidR="001F127A" w:rsidRPr="001F127A" w:rsidRDefault="001F127A" w:rsidP="000E1A25">
            <w:pPr>
              <w:pStyle w:val="ae"/>
            </w:pPr>
            <w:r w:rsidRPr="001F127A">
              <w:t>━━ 主干路（红线宽 40m，双向 6 车道）━━ 支路（红线宽 18m，双向 2 车道）◇ 地铁站（XX 号线 T1 站）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</w:tr>
      <w:tr w:rsidR="000E1A25" w:rsidRPr="001F127A" w14:paraId="32272DF8" w14:textId="77777777" w:rsidTr="000E1A25">
        <w:trPr>
          <w:trHeight w:val="600"/>
        </w:trPr>
        <w:tc>
          <w:tcPr>
            <w:tcW w:w="1560" w:type="dxa"/>
            <w:hideMark/>
          </w:tcPr>
          <w:p w14:paraId="7EEA9801" w14:textId="77777777" w:rsidR="001F127A" w:rsidRPr="001F127A" w:rsidRDefault="001F127A" w:rsidP="000E1A25">
            <w:pPr>
              <w:pStyle w:val="ae"/>
            </w:pPr>
            <w:r w:rsidRPr="001F127A">
              <w:t>4. 约束边界类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1559" w:type="dxa"/>
            <w:hideMark/>
          </w:tcPr>
          <w:p w14:paraId="08D65B92" w14:textId="77777777" w:rsidR="001F127A" w:rsidRPr="001F127A" w:rsidRDefault="001F127A" w:rsidP="000E1A25">
            <w:pPr>
              <w:pStyle w:val="ae"/>
            </w:pPr>
            <w:r w:rsidRPr="001F127A">
              <w:t>线条样式 + 边界性质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5245" w:type="dxa"/>
            <w:hideMark/>
          </w:tcPr>
          <w:p w14:paraId="2283B799" w14:textId="77777777" w:rsidR="001F127A" w:rsidRPr="001F127A" w:rsidRDefault="001F127A" w:rsidP="000E1A25">
            <w:pPr>
              <w:pStyle w:val="ae"/>
            </w:pPr>
            <w:r w:rsidRPr="001F127A">
              <w:t>┄┄ 生态控制线（禁止永久性建筑）□□□ 历史建筑保护范围（建筑高度≤12m）●●● 高压走廊（</w:t>
            </w:r>
            <w:proofErr w:type="gramStart"/>
            <w:r w:rsidRPr="001F127A">
              <w:t>退线</w:t>
            </w:r>
            <w:proofErr w:type="gramEnd"/>
            <w:r w:rsidRPr="001F127A">
              <w:t xml:space="preserve"> 30m）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</w:tr>
    </w:tbl>
    <w:p w14:paraId="241B3E37" w14:textId="77777777" w:rsidR="001F127A" w:rsidRPr="001F127A" w:rsidRDefault="001F127A" w:rsidP="000E1A25">
      <w:pPr>
        <w:ind w:firstLine="640"/>
      </w:pPr>
      <w:r w:rsidRPr="001F127A">
        <w:rPr>
          <w:rFonts w:ascii="Times New Roman" w:hAnsi="Times New Roman" w:cs="Times New Roman"/>
        </w:rPr>
        <w:t>​</w:t>
      </w:r>
    </w:p>
    <w:p w14:paraId="442E8385" w14:textId="1AD75165" w:rsidR="001F127A" w:rsidRPr="001F127A" w:rsidRDefault="001F127A" w:rsidP="000E1A25">
      <w:pPr>
        <w:pStyle w:val="3"/>
      </w:pPr>
      <w:r w:rsidRPr="001F127A">
        <w:t>图例设计规范</w:t>
      </w:r>
      <w:r w:rsidRPr="001F127A">
        <w:rPr>
          <w:rFonts w:ascii="Times New Roman" w:hAnsi="Times New Roman" w:cs="Times New Roman"/>
        </w:rPr>
        <w:t>​</w:t>
      </w:r>
    </w:p>
    <w:p w14:paraId="4778605B" w14:textId="77777777" w:rsidR="001F127A" w:rsidRPr="001F127A" w:rsidRDefault="001F127A" w:rsidP="001F127A">
      <w:pPr>
        <w:ind w:firstLine="643"/>
      </w:pPr>
      <w:r w:rsidRPr="001F127A">
        <w:rPr>
          <w:b/>
          <w:bCs/>
        </w:rPr>
        <w:t>位置固定</w:t>
      </w:r>
      <w:r w:rsidRPr="001F127A">
        <w:t>：优先放在图幅右下角或左下角（避开核心规划区域），若图件较大，可在图幅两侧分栏放置；</w:t>
      </w:r>
      <w:r w:rsidRPr="001F127A">
        <w:rPr>
          <w:rFonts w:ascii="Times New Roman" w:hAnsi="Times New Roman" w:cs="Times New Roman"/>
        </w:rPr>
        <w:t>​</w:t>
      </w:r>
    </w:p>
    <w:p w14:paraId="70155122" w14:textId="77777777" w:rsidR="001F127A" w:rsidRPr="001F127A" w:rsidRDefault="001F127A" w:rsidP="001F127A">
      <w:pPr>
        <w:ind w:firstLine="643"/>
      </w:pPr>
      <w:r w:rsidRPr="001F127A">
        <w:rPr>
          <w:b/>
          <w:bCs/>
        </w:rPr>
        <w:t>尺寸适配</w:t>
      </w:r>
      <w:r w:rsidRPr="001F127A">
        <w:t xml:space="preserve">：图例符号尺寸需比图中实际符号放大 1.5-2 </w:t>
      </w:r>
      <w:proofErr w:type="gramStart"/>
      <w:r w:rsidRPr="001F127A">
        <w:t>倍</w:t>
      </w:r>
      <w:proofErr w:type="gramEnd"/>
      <w:r w:rsidRPr="001F127A">
        <w:t>（如实地块中幼儿园符号 1cm，图例中设为 1.5-2cm），文字用宋体 / 黑体，字号比图中注记大 1-2 号（如地块注记 8 号字，图例用 10 号字）；</w:t>
      </w:r>
      <w:r w:rsidRPr="001F127A">
        <w:rPr>
          <w:rFonts w:ascii="Times New Roman" w:hAnsi="Times New Roman" w:cs="Times New Roman"/>
        </w:rPr>
        <w:t>​</w:t>
      </w:r>
    </w:p>
    <w:p w14:paraId="7CD66987" w14:textId="77777777" w:rsidR="001F127A" w:rsidRPr="001F127A" w:rsidRDefault="001F127A" w:rsidP="001F127A">
      <w:pPr>
        <w:ind w:firstLine="643"/>
      </w:pPr>
      <w:r w:rsidRPr="001F127A">
        <w:rPr>
          <w:b/>
          <w:bCs/>
        </w:rPr>
        <w:t>颜色保真</w:t>
      </w:r>
      <w:r w:rsidRPr="001F127A">
        <w:t>：图例中用地颜色需与图中色块完全一致（避免打印色差，可标注色号），黑白图需用 “斜线 / 点纹” 区分（如居住用地用 “///”，商业用地用 “●●●”）。</w:t>
      </w:r>
      <w:r w:rsidRPr="001F127A">
        <w:rPr>
          <w:rFonts w:ascii="Times New Roman" w:hAnsi="Times New Roman" w:cs="Times New Roman"/>
        </w:rPr>
        <w:t>​</w:t>
      </w:r>
    </w:p>
    <w:p w14:paraId="200C10C7" w14:textId="53E530F5" w:rsidR="000E1A25" w:rsidRDefault="001F127A" w:rsidP="000E1A25">
      <w:pPr>
        <w:pStyle w:val="2"/>
      </w:pPr>
      <w:r w:rsidRPr="001F127A">
        <w:lastRenderedPageBreak/>
        <w:t>图则标注</w:t>
      </w:r>
    </w:p>
    <w:p w14:paraId="489B5AB3" w14:textId="0F007819" w:rsidR="001F127A" w:rsidRPr="001F127A" w:rsidRDefault="001F127A" w:rsidP="000E1A25">
      <w:pPr>
        <w:ind w:firstLine="640"/>
      </w:pPr>
      <w:r w:rsidRPr="001F127A">
        <w:t>让 “地块 / 指标 / 约束” 精准落地（图件核心信息载体）</w:t>
      </w:r>
      <w:r w:rsidRPr="001F127A">
        <w:rPr>
          <w:rFonts w:ascii="Times New Roman" w:hAnsi="Times New Roman" w:cs="Times New Roman"/>
        </w:rPr>
        <w:t>​</w:t>
      </w:r>
    </w:p>
    <w:p w14:paraId="0AF36C35" w14:textId="1A62B0B3" w:rsidR="001F127A" w:rsidRPr="001F127A" w:rsidRDefault="001F127A" w:rsidP="000E1A25">
      <w:pPr>
        <w:pStyle w:val="3"/>
      </w:pPr>
      <w:r w:rsidRPr="001F127A">
        <w:t xml:space="preserve"> 图则标注核心原则</w:t>
      </w:r>
      <w:r w:rsidRPr="001F127A">
        <w:rPr>
          <w:rFonts w:ascii="Times New Roman" w:hAnsi="Times New Roman" w:cs="Times New Roman"/>
        </w:rPr>
        <w:t>​</w:t>
      </w:r>
    </w:p>
    <w:p w14:paraId="378AE54D" w14:textId="77777777" w:rsidR="001F127A" w:rsidRPr="001F127A" w:rsidRDefault="001F127A" w:rsidP="000E1A25">
      <w:pPr>
        <w:ind w:firstLine="643"/>
      </w:pPr>
      <w:r w:rsidRPr="001F127A">
        <w:rPr>
          <w:b/>
          <w:bCs/>
        </w:rPr>
        <w:t>“</w:t>
      </w:r>
      <w:proofErr w:type="gramStart"/>
      <w:r w:rsidRPr="001F127A">
        <w:rPr>
          <w:b/>
          <w:bCs/>
        </w:rPr>
        <w:t>一</w:t>
      </w:r>
      <w:proofErr w:type="gramEnd"/>
      <w:r w:rsidRPr="001F127A">
        <w:rPr>
          <w:b/>
          <w:bCs/>
        </w:rPr>
        <w:t>地块</w:t>
      </w:r>
      <w:proofErr w:type="gramStart"/>
      <w:r w:rsidRPr="001F127A">
        <w:rPr>
          <w:b/>
          <w:bCs/>
        </w:rPr>
        <w:t>一</w:t>
      </w:r>
      <w:proofErr w:type="gramEnd"/>
      <w:r w:rsidRPr="001F127A">
        <w:rPr>
          <w:b/>
          <w:bCs/>
        </w:rPr>
        <w:t>标识”</w:t>
      </w:r>
      <w:r w:rsidRPr="001F127A">
        <w:t>：每个独立地块需标注唯一编号（如 A1、B3），方便与文字解读中的地块指标对应；</w:t>
      </w:r>
      <w:r w:rsidRPr="001F127A">
        <w:rPr>
          <w:rFonts w:ascii="Times New Roman" w:hAnsi="Times New Roman" w:cs="Times New Roman"/>
        </w:rPr>
        <w:t>​</w:t>
      </w:r>
    </w:p>
    <w:p w14:paraId="668B8FB7" w14:textId="77777777" w:rsidR="001F127A" w:rsidRPr="001F127A" w:rsidRDefault="001F127A" w:rsidP="000E1A25">
      <w:pPr>
        <w:ind w:firstLine="643"/>
      </w:pPr>
      <w:r w:rsidRPr="001F127A">
        <w:rPr>
          <w:b/>
          <w:bCs/>
        </w:rPr>
        <w:t>指标 “就近标注”</w:t>
      </w:r>
      <w:r w:rsidRPr="001F127A">
        <w:t>：控制指标（容积率、绿地率等）需放在对应地块内部或地块边缘（不遮挡关键布局），避免集中放在图外导致 “找地块对指标” 困难；</w:t>
      </w:r>
      <w:r w:rsidRPr="001F127A">
        <w:rPr>
          <w:rFonts w:ascii="Times New Roman" w:hAnsi="Times New Roman" w:cs="Times New Roman"/>
        </w:rPr>
        <w:t>​</w:t>
      </w:r>
    </w:p>
    <w:p w14:paraId="13154A08" w14:textId="77777777" w:rsidR="001F127A" w:rsidRPr="001F127A" w:rsidRDefault="001F127A" w:rsidP="000E1A25">
      <w:pPr>
        <w:ind w:firstLine="643"/>
      </w:pPr>
      <w:r w:rsidRPr="001F127A">
        <w:rPr>
          <w:b/>
          <w:bCs/>
        </w:rPr>
        <w:t>边界 “清晰可辨”</w:t>
      </w:r>
      <w:r w:rsidRPr="001F127A">
        <w:t>：不同性质的边界（用地红线、生态控制线）需用不同线条样式 + 文字注记，避免混淆。</w:t>
      </w:r>
      <w:r w:rsidRPr="001F127A">
        <w:rPr>
          <w:rFonts w:ascii="Times New Roman" w:hAnsi="Times New Roman" w:cs="Times New Roman"/>
        </w:rPr>
        <w:t>​</w:t>
      </w:r>
    </w:p>
    <w:p w14:paraId="32C5D39F" w14:textId="3C4475E9" w:rsidR="001F127A" w:rsidRPr="001F127A" w:rsidRDefault="001F127A" w:rsidP="000E1A25">
      <w:pPr>
        <w:pStyle w:val="3"/>
      </w:pPr>
      <w:r w:rsidRPr="001F127A">
        <w:t xml:space="preserve"> 图则标注关键内容与方法</w:t>
      </w:r>
      <w:r w:rsidRPr="001F127A">
        <w:rPr>
          <w:rFonts w:ascii="Times New Roman" w:hAnsi="Times New Roman" w:cs="Times New Roman"/>
        </w:rPr>
        <w:t>​</w:t>
      </w:r>
    </w:p>
    <w:tbl>
      <w:tblPr>
        <w:tblW w:w="8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1559"/>
        <w:gridCol w:w="5245"/>
      </w:tblGrid>
      <w:tr w:rsidR="001F127A" w:rsidRPr="001F127A" w14:paraId="1E25A3B3" w14:textId="77777777" w:rsidTr="000E1A25">
        <w:trPr>
          <w:trHeight w:val="600"/>
        </w:trPr>
        <w:tc>
          <w:tcPr>
            <w:tcW w:w="1418" w:type="dxa"/>
            <w:hideMark/>
          </w:tcPr>
          <w:p w14:paraId="406F476B" w14:textId="77777777" w:rsidR="001F127A" w:rsidRPr="001F127A" w:rsidRDefault="001F127A" w:rsidP="000E1A25">
            <w:pPr>
              <w:pStyle w:val="ae"/>
            </w:pPr>
            <w:r w:rsidRPr="001F127A">
              <w:t>标注对象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1559" w:type="dxa"/>
            <w:hideMark/>
          </w:tcPr>
          <w:p w14:paraId="0813B3EF" w14:textId="77777777" w:rsidR="001F127A" w:rsidRPr="001F127A" w:rsidRDefault="001F127A" w:rsidP="000E1A25">
            <w:pPr>
              <w:pStyle w:val="ae"/>
            </w:pPr>
            <w:r w:rsidRPr="001F127A">
              <w:t>标注要点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5245" w:type="dxa"/>
            <w:hideMark/>
          </w:tcPr>
          <w:p w14:paraId="76EA860D" w14:textId="77777777" w:rsidR="001F127A" w:rsidRPr="001F127A" w:rsidRDefault="001F127A" w:rsidP="000E1A25">
            <w:pPr>
              <w:pStyle w:val="ae"/>
            </w:pPr>
            <w:r w:rsidRPr="001F127A">
              <w:t>示例（以 A1 居住地块为例）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</w:tr>
      <w:tr w:rsidR="001F127A" w:rsidRPr="001F127A" w14:paraId="222B2BEA" w14:textId="77777777" w:rsidTr="000E1A25">
        <w:trPr>
          <w:trHeight w:val="600"/>
        </w:trPr>
        <w:tc>
          <w:tcPr>
            <w:tcW w:w="1418" w:type="dxa"/>
            <w:hideMark/>
          </w:tcPr>
          <w:p w14:paraId="2505D0FD" w14:textId="77777777" w:rsidR="001F127A" w:rsidRPr="001F127A" w:rsidRDefault="001F127A" w:rsidP="000E1A25">
            <w:pPr>
              <w:pStyle w:val="ae"/>
            </w:pPr>
            <w:r w:rsidRPr="001F127A">
              <w:t>1. 地块基础标识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1559" w:type="dxa"/>
            <w:hideMark/>
          </w:tcPr>
          <w:p w14:paraId="6B2F2DE8" w14:textId="77777777" w:rsidR="001F127A" w:rsidRPr="001F127A" w:rsidRDefault="001F127A" w:rsidP="000E1A25">
            <w:pPr>
              <w:pStyle w:val="ae"/>
            </w:pPr>
            <w:r w:rsidRPr="001F127A">
              <w:t>① 地块编号（唯一）② 用地性质（文字 + 代码）③ 用地面积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5245" w:type="dxa"/>
            <w:hideMark/>
          </w:tcPr>
          <w:p w14:paraId="0C011FBC" w14:textId="77777777" w:rsidR="001F127A" w:rsidRPr="001F127A" w:rsidRDefault="001F127A" w:rsidP="000E1A25">
            <w:pPr>
              <w:pStyle w:val="ae"/>
            </w:pPr>
            <w:r w:rsidRPr="001F127A">
              <w:t xml:space="preserve">在地块中心标注：A1居住用地（R2）面积：3.2 </w:t>
            </w:r>
            <w:proofErr w:type="gramStart"/>
            <w:r w:rsidRPr="001F127A">
              <w:t>公顷</w:t>
            </w:r>
            <w:r w:rsidRPr="001F127A">
              <w:rPr>
                <w:rFonts w:ascii="Times New Roman" w:hAnsi="Times New Roman" w:cs="Times New Roman"/>
              </w:rPr>
              <w:t>​</w:t>
            </w:r>
            <w:proofErr w:type="gramEnd"/>
          </w:p>
        </w:tc>
      </w:tr>
      <w:tr w:rsidR="001F127A" w:rsidRPr="001F127A" w14:paraId="54F2DF3C" w14:textId="77777777" w:rsidTr="000E1A25">
        <w:trPr>
          <w:trHeight w:val="600"/>
        </w:trPr>
        <w:tc>
          <w:tcPr>
            <w:tcW w:w="1418" w:type="dxa"/>
            <w:hideMark/>
          </w:tcPr>
          <w:p w14:paraId="6D4087D2" w14:textId="77777777" w:rsidR="001F127A" w:rsidRPr="001F127A" w:rsidRDefault="001F127A" w:rsidP="000E1A25">
            <w:pPr>
              <w:pStyle w:val="ae"/>
            </w:pPr>
            <w:r w:rsidRPr="001F127A">
              <w:t>2. 控制指标标注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1559" w:type="dxa"/>
            <w:hideMark/>
          </w:tcPr>
          <w:p w14:paraId="5FA77EFE" w14:textId="77777777" w:rsidR="001F127A" w:rsidRPr="001F127A" w:rsidRDefault="001F127A" w:rsidP="000E1A25">
            <w:pPr>
              <w:pStyle w:val="ae"/>
            </w:pPr>
            <w:r w:rsidRPr="001F127A">
              <w:t xml:space="preserve">① 容积率（≤/≥具体值）② </w:t>
            </w:r>
            <w:r w:rsidRPr="001F127A">
              <w:lastRenderedPageBreak/>
              <w:t>建筑密度（%）③ 绿地率（%）④ 建筑高度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5245" w:type="dxa"/>
            <w:hideMark/>
          </w:tcPr>
          <w:p w14:paraId="37BFD248" w14:textId="77777777" w:rsidR="001F127A" w:rsidRPr="001F127A" w:rsidRDefault="001F127A" w:rsidP="000E1A25">
            <w:pPr>
              <w:pStyle w:val="ae"/>
            </w:pPr>
            <w:r w:rsidRPr="001F127A">
              <w:lastRenderedPageBreak/>
              <w:t>在地块边缘空白处标注：容积率≤2.0建筑密度≤25%绿地率≥35%建筑高度≤60m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</w:tr>
      <w:tr w:rsidR="001F127A" w:rsidRPr="001F127A" w14:paraId="46047930" w14:textId="77777777" w:rsidTr="000E1A25">
        <w:trPr>
          <w:trHeight w:val="600"/>
        </w:trPr>
        <w:tc>
          <w:tcPr>
            <w:tcW w:w="1418" w:type="dxa"/>
            <w:hideMark/>
          </w:tcPr>
          <w:p w14:paraId="046ADACA" w14:textId="77777777" w:rsidR="001F127A" w:rsidRPr="001F127A" w:rsidRDefault="001F127A" w:rsidP="000E1A25">
            <w:pPr>
              <w:pStyle w:val="ae"/>
            </w:pPr>
            <w:r w:rsidRPr="001F127A">
              <w:t>3. 边界与衔接标注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1559" w:type="dxa"/>
            <w:hideMark/>
          </w:tcPr>
          <w:p w14:paraId="125830A2" w14:textId="77777777" w:rsidR="001F127A" w:rsidRPr="001F127A" w:rsidRDefault="001F127A" w:rsidP="000E1A25">
            <w:pPr>
              <w:pStyle w:val="ae"/>
            </w:pPr>
            <w:r w:rsidRPr="001F127A">
              <w:t>① 边界性质（如 “用地红线”“生态控制线”）② 边界宽度（若有）③ 衔接现状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5245" w:type="dxa"/>
            <w:hideMark/>
          </w:tcPr>
          <w:p w14:paraId="5C4E61A2" w14:textId="77777777" w:rsidR="001F127A" w:rsidRPr="001F127A" w:rsidRDefault="001F127A" w:rsidP="000E1A25">
            <w:pPr>
              <w:pStyle w:val="ae"/>
            </w:pPr>
            <w:r w:rsidRPr="001F127A">
              <w:t>在边界线旁标注：用地红线（接 XX 路现状人行道）生态控制线（宽 50m，临 XX 河）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</w:tr>
      <w:tr w:rsidR="001F127A" w:rsidRPr="001F127A" w14:paraId="32CBC3B3" w14:textId="77777777" w:rsidTr="000E1A25">
        <w:trPr>
          <w:trHeight w:val="600"/>
        </w:trPr>
        <w:tc>
          <w:tcPr>
            <w:tcW w:w="1418" w:type="dxa"/>
            <w:hideMark/>
          </w:tcPr>
          <w:p w14:paraId="34AA1183" w14:textId="77777777" w:rsidR="001F127A" w:rsidRPr="001F127A" w:rsidRDefault="001F127A" w:rsidP="000E1A25">
            <w:pPr>
              <w:pStyle w:val="ae"/>
            </w:pPr>
            <w:r w:rsidRPr="001F127A">
              <w:t>4. 设施与交通标注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1559" w:type="dxa"/>
            <w:hideMark/>
          </w:tcPr>
          <w:p w14:paraId="7B6E97B7" w14:textId="77777777" w:rsidR="001F127A" w:rsidRPr="001F127A" w:rsidRDefault="001F127A" w:rsidP="000E1A25">
            <w:pPr>
              <w:pStyle w:val="ae"/>
            </w:pPr>
            <w:r w:rsidRPr="001F127A">
              <w:t>① 设施名称 + 规模（如 “幼儿园 Y1，12 班”）② 交通站点 + 距离（如 “T1 站，800m”）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5245" w:type="dxa"/>
            <w:hideMark/>
          </w:tcPr>
          <w:p w14:paraId="5CBF5279" w14:textId="77777777" w:rsidR="001F127A" w:rsidRPr="001F127A" w:rsidRDefault="001F127A" w:rsidP="000E1A25">
            <w:pPr>
              <w:pStyle w:val="ae"/>
            </w:pPr>
            <w:r w:rsidRPr="001F127A">
              <w:t xml:space="preserve">在设施图标旁标注：Y1 幼儿园（12 班，配建 30 </w:t>
            </w:r>
            <w:proofErr w:type="gramStart"/>
            <w:r w:rsidRPr="001F127A">
              <w:t>个</w:t>
            </w:r>
            <w:proofErr w:type="gramEnd"/>
            <w:r w:rsidRPr="001F127A">
              <w:t>车位）距 T1 地铁站步行约 600m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</w:tr>
    </w:tbl>
    <w:p w14:paraId="4E1F7867" w14:textId="77777777" w:rsidR="001F127A" w:rsidRPr="001F127A" w:rsidRDefault="001F127A" w:rsidP="000E1A25">
      <w:pPr>
        <w:ind w:firstLine="640"/>
      </w:pPr>
      <w:r w:rsidRPr="001F127A">
        <w:rPr>
          <w:rFonts w:ascii="Times New Roman" w:hAnsi="Times New Roman" w:cs="Times New Roman"/>
        </w:rPr>
        <w:lastRenderedPageBreak/>
        <w:t>​</w:t>
      </w:r>
    </w:p>
    <w:p w14:paraId="285AE11C" w14:textId="15FF57F2" w:rsidR="001F127A" w:rsidRPr="001F127A" w:rsidRDefault="001F127A" w:rsidP="000E1A25">
      <w:pPr>
        <w:pStyle w:val="3"/>
      </w:pPr>
      <w:r w:rsidRPr="001F127A">
        <w:t xml:space="preserve"> 图则</w:t>
      </w:r>
      <w:proofErr w:type="gramStart"/>
      <w:r w:rsidRPr="001F127A">
        <w:t>标注避坑要点</w:t>
      </w:r>
      <w:proofErr w:type="gramEnd"/>
      <w:r w:rsidRPr="001F127A">
        <w:rPr>
          <w:rFonts w:ascii="Times New Roman" w:hAnsi="Times New Roman" w:cs="Times New Roman"/>
        </w:rPr>
        <w:t>​</w:t>
      </w:r>
    </w:p>
    <w:p w14:paraId="417AB2E8" w14:textId="77777777" w:rsidR="001F127A" w:rsidRPr="001F127A" w:rsidRDefault="001F127A" w:rsidP="001F127A">
      <w:pPr>
        <w:ind w:firstLine="643"/>
      </w:pPr>
      <w:r w:rsidRPr="001F127A">
        <w:rPr>
          <w:b/>
          <w:bCs/>
        </w:rPr>
        <w:t>避免遮挡</w:t>
      </w:r>
      <w:r w:rsidRPr="001F127A">
        <w:t>：指标标注不可覆盖地块内的设施图标、道路线条（可采用 “悬浮文本框”“引线标注”，引线长度≤5cm，避免交叉）；</w:t>
      </w:r>
      <w:r w:rsidRPr="001F127A">
        <w:rPr>
          <w:rFonts w:ascii="Times New Roman" w:hAnsi="Times New Roman" w:cs="Times New Roman"/>
        </w:rPr>
        <w:t>​</w:t>
      </w:r>
    </w:p>
    <w:p w14:paraId="1B2E4FEA" w14:textId="77777777" w:rsidR="001F127A" w:rsidRPr="001F127A" w:rsidRDefault="001F127A" w:rsidP="001F127A">
      <w:pPr>
        <w:ind w:firstLine="643"/>
      </w:pPr>
      <w:r w:rsidRPr="001F127A">
        <w:rPr>
          <w:b/>
          <w:bCs/>
        </w:rPr>
        <w:t>数字规范</w:t>
      </w:r>
      <w:r w:rsidRPr="001F127A">
        <w:t>：面积单位统一用 “公顷（hm</w:t>
      </w:r>
      <w:r w:rsidRPr="001F127A">
        <w:rPr>
          <w:rFonts w:ascii="Calibri" w:hAnsi="Calibri" w:cs="Calibri"/>
        </w:rPr>
        <w:t>²</w:t>
      </w:r>
      <w:r w:rsidRPr="001F127A">
        <w:t>）” 或 “平方米（</w:t>
      </w:r>
      <w:r w:rsidRPr="001F127A">
        <w:rPr>
          <w:rFonts w:ascii="微软雅黑" w:eastAsia="微软雅黑" w:hAnsi="微软雅黑" w:cs="微软雅黑" w:hint="eastAsia"/>
        </w:rPr>
        <w:t>㎡</w:t>
      </w:r>
      <w:r w:rsidRPr="001F127A">
        <w:rPr>
          <w:rFonts w:hint="eastAsia"/>
        </w:rPr>
        <w:t>）</w:t>
      </w:r>
      <w:r w:rsidRPr="001F127A">
        <w:t>”（1 公顷 = 10000</w:t>
      </w:r>
      <w:r w:rsidRPr="001F127A">
        <w:rPr>
          <w:rFonts w:ascii="微软雅黑" w:eastAsia="微软雅黑" w:hAnsi="微软雅黑" w:cs="微软雅黑" w:hint="eastAsia"/>
        </w:rPr>
        <w:t>㎡</w:t>
      </w:r>
      <w:r w:rsidRPr="001F127A">
        <w:rPr>
          <w:rFonts w:hint="eastAsia"/>
        </w:rPr>
        <w:t>，避免混用），指标保留</w:t>
      </w:r>
      <w:r w:rsidRPr="001F127A">
        <w:t xml:space="preserve"> 1 位小数（如容积率 2.0，不写 2）；</w:t>
      </w:r>
      <w:r w:rsidRPr="001F127A">
        <w:rPr>
          <w:rFonts w:ascii="Times New Roman" w:hAnsi="Times New Roman" w:cs="Times New Roman"/>
        </w:rPr>
        <w:t>​</w:t>
      </w:r>
    </w:p>
    <w:p w14:paraId="5ABC917B" w14:textId="77777777" w:rsidR="001F127A" w:rsidRPr="001F127A" w:rsidRDefault="001F127A" w:rsidP="001F127A">
      <w:pPr>
        <w:ind w:firstLine="643"/>
      </w:pPr>
      <w:r w:rsidRPr="001F127A">
        <w:rPr>
          <w:b/>
          <w:bCs/>
        </w:rPr>
        <w:t>特殊情况标注</w:t>
      </w:r>
      <w:r w:rsidRPr="001F127A">
        <w:t xml:space="preserve">：若地块有 “兼容用途”（如商业兼容 15% 办公）或 “特殊要求”（如需配建充电桩），需用 “*” 引出注释，注释内容放在图幅下方（如 “*A2 地块：商业兼容 15% 办公，需配建≥50 </w:t>
      </w:r>
      <w:proofErr w:type="gramStart"/>
      <w:r w:rsidRPr="001F127A">
        <w:t>个</w:t>
      </w:r>
      <w:proofErr w:type="gramEnd"/>
      <w:r w:rsidRPr="001F127A">
        <w:t>充电桩”）。</w:t>
      </w:r>
      <w:r w:rsidRPr="001F127A">
        <w:rPr>
          <w:rFonts w:ascii="Times New Roman" w:hAnsi="Times New Roman" w:cs="Times New Roman"/>
        </w:rPr>
        <w:t>​</w:t>
      </w:r>
    </w:p>
    <w:p w14:paraId="0F2614D9" w14:textId="06F01643" w:rsidR="001F127A" w:rsidRPr="001F127A" w:rsidRDefault="001F127A" w:rsidP="000E1A25">
      <w:pPr>
        <w:pStyle w:val="2"/>
      </w:pPr>
      <w:r w:rsidRPr="001F127A">
        <w:t>图例与图则的协同标注要点</w:t>
      </w:r>
      <w:r w:rsidRPr="001F127A">
        <w:rPr>
          <w:rFonts w:ascii="Times New Roman" w:hAnsi="Times New Roman" w:cs="Times New Roman"/>
        </w:rPr>
        <w:t>​</w:t>
      </w:r>
    </w:p>
    <w:p w14:paraId="42FA714B" w14:textId="77777777" w:rsidR="001F127A" w:rsidRPr="001F127A" w:rsidRDefault="001F127A" w:rsidP="001F127A">
      <w:pPr>
        <w:ind w:firstLine="643"/>
      </w:pPr>
      <w:r w:rsidRPr="001F127A">
        <w:rPr>
          <w:b/>
          <w:bCs/>
        </w:rPr>
        <w:t>符号统一</w:t>
      </w:r>
      <w:r w:rsidRPr="001F127A">
        <w:t>：图例中 “幼儿园用△”，图则中所有幼儿园必须用相同△，不可混用 “○”；</w:t>
      </w:r>
      <w:r w:rsidRPr="001F127A">
        <w:rPr>
          <w:rFonts w:ascii="Times New Roman" w:hAnsi="Times New Roman" w:cs="Times New Roman"/>
        </w:rPr>
        <w:t>​</w:t>
      </w:r>
    </w:p>
    <w:p w14:paraId="1CD92762" w14:textId="77777777" w:rsidR="001F127A" w:rsidRPr="001F127A" w:rsidRDefault="001F127A" w:rsidP="001F127A">
      <w:pPr>
        <w:ind w:firstLine="643"/>
      </w:pPr>
      <w:r w:rsidRPr="001F127A">
        <w:rPr>
          <w:b/>
          <w:bCs/>
        </w:rPr>
        <w:t>文字呼应</w:t>
      </w:r>
      <w:r w:rsidRPr="001F127A">
        <w:t>：图则中 “A1 地块容积率 2.0”，文字</w:t>
      </w:r>
      <w:proofErr w:type="gramStart"/>
      <w:r w:rsidRPr="001F127A">
        <w:t>解读需</w:t>
      </w:r>
      <w:proofErr w:type="gramEnd"/>
      <w:r w:rsidRPr="001F127A">
        <w:t>对应 “A1 地块（居住）：容积率 2.0”，图例中居住用地颜色需与 A1 地块颜色一致；</w:t>
      </w:r>
      <w:r w:rsidRPr="001F127A">
        <w:rPr>
          <w:rFonts w:ascii="Times New Roman" w:hAnsi="Times New Roman" w:cs="Times New Roman"/>
        </w:rPr>
        <w:t>​</w:t>
      </w:r>
    </w:p>
    <w:p w14:paraId="51C8ABF9" w14:textId="77777777" w:rsidR="001F127A" w:rsidRPr="001F127A" w:rsidRDefault="001F127A" w:rsidP="001F127A">
      <w:pPr>
        <w:ind w:firstLine="643"/>
      </w:pPr>
      <w:r w:rsidRPr="001F127A">
        <w:rPr>
          <w:b/>
          <w:bCs/>
        </w:rPr>
        <w:t>动态调整</w:t>
      </w:r>
      <w:r w:rsidRPr="001F127A">
        <w:t>：若图件比例尺缩小（如从 1:2000 缩为 1:5000），需同步缩小图则标注文字字号（如从 10 号缩为 8 号），避免文字重叠，但图例字号需保持不变（确保可读性）。</w:t>
      </w:r>
      <w:r w:rsidRPr="001F127A">
        <w:rPr>
          <w:rFonts w:ascii="Times New Roman" w:hAnsi="Times New Roman" w:cs="Times New Roman"/>
        </w:rPr>
        <w:t>​</w:t>
      </w:r>
    </w:p>
    <w:p w14:paraId="1A7A5357" w14:textId="1A7DF8EA" w:rsidR="001F127A" w:rsidRPr="001F127A" w:rsidRDefault="001F127A" w:rsidP="000E1A25">
      <w:pPr>
        <w:pStyle w:val="2"/>
      </w:pPr>
      <w:r w:rsidRPr="001F127A">
        <w:lastRenderedPageBreak/>
        <w:t>标注检查清单（确保无遗漏）</w:t>
      </w:r>
      <w:r w:rsidRPr="001F127A">
        <w:rPr>
          <w:rFonts w:ascii="Times New Roman" w:hAnsi="Times New Roman" w:cs="Times New Roman"/>
        </w:rPr>
        <w:t>​</w:t>
      </w:r>
    </w:p>
    <w:p w14:paraId="61DBE8F3" w14:textId="77777777" w:rsidR="001F127A" w:rsidRPr="001F127A" w:rsidRDefault="001F127A" w:rsidP="001F127A">
      <w:pPr>
        <w:ind w:firstLine="640"/>
      </w:pPr>
      <w:r w:rsidRPr="001F127A">
        <w:t>图例是否覆盖图中所有符号、颜色、线条？</w:t>
      </w:r>
      <w:r w:rsidRPr="001F127A">
        <w:rPr>
          <w:rFonts w:ascii="Times New Roman" w:hAnsi="Times New Roman" w:cs="Times New Roman"/>
        </w:rPr>
        <w:t>​</w:t>
      </w:r>
    </w:p>
    <w:p w14:paraId="4C84A2E5" w14:textId="77777777" w:rsidR="001F127A" w:rsidRPr="001F127A" w:rsidRDefault="001F127A" w:rsidP="001F127A">
      <w:pPr>
        <w:ind w:firstLine="640"/>
      </w:pPr>
      <w:r w:rsidRPr="001F127A">
        <w:t>图则中每个地块是否有唯一编号 + 用地性质 + 核心指标？</w:t>
      </w:r>
      <w:r w:rsidRPr="001F127A">
        <w:rPr>
          <w:rFonts w:ascii="Times New Roman" w:hAnsi="Times New Roman" w:cs="Times New Roman"/>
        </w:rPr>
        <w:t>​</w:t>
      </w:r>
    </w:p>
    <w:p w14:paraId="176A0542" w14:textId="77777777" w:rsidR="001F127A" w:rsidRPr="001F127A" w:rsidRDefault="001F127A" w:rsidP="001F127A">
      <w:pPr>
        <w:ind w:firstLine="640"/>
      </w:pPr>
      <w:r w:rsidRPr="001F127A">
        <w:t>标注的数字（面积、指标）是否与文字解读完全一致？</w:t>
      </w:r>
      <w:r w:rsidRPr="001F127A">
        <w:rPr>
          <w:rFonts w:ascii="Times New Roman" w:hAnsi="Times New Roman" w:cs="Times New Roman"/>
        </w:rPr>
        <w:t>​</w:t>
      </w:r>
    </w:p>
    <w:p w14:paraId="59587530" w14:textId="77777777" w:rsidR="001F127A" w:rsidRPr="001F127A" w:rsidRDefault="001F127A" w:rsidP="001F127A">
      <w:pPr>
        <w:ind w:firstLine="640"/>
      </w:pPr>
      <w:r w:rsidRPr="001F127A">
        <w:t>图例位置是否显眼，图则标注是否无遮挡、易查找？</w:t>
      </w:r>
    </w:p>
    <w:p w14:paraId="69A64B79" w14:textId="77777777" w:rsidR="001F127A" w:rsidRDefault="001F127A" w:rsidP="001F127A">
      <w:pPr>
        <w:ind w:firstLine="640"/>
      </w:pPr>
    </w:p>
    <w:p w14:paraId="40EA0737" w14:textId="1163FBF8" w:rsidR="001F127A" w:rsidRDefault="000E1A25" w:rsidP="000E1A25">
      <w:pPr>
        <w:pStyle w:val="1"/>
      </w:pPr>
      <w:r>
        <w:rPr>
          <w:rFonts w:hint="eastAsia"/>
        </w:rPr>
        <w:t>其他图文要素</w:t>
      </w:r>
    </w:p>
    <w:p w14:paraId="083CAA9B" w14:textId="6C3143EF" w:rsidR="001F127A" w:rsidRPr="001F127A" w:rsidRDefault="001F127A" w:rsidP="000E1A25">
      <w:pPr>
        <w:pStyle w:val="2"/>
      </w:pPr>
      <w:r w:rsidRPr="001F127A">
        <w:t>比例尺</w:t>
      </w:r>
      <w:r w:rsidR="000E1A25">
        <w:rPr>
          <w:rFonts w:hint="eastAsia"/>
        </w:rPr>
        <w:t>：</w:t>
      </w:r>
      <w:proofErr w:type="gramStart"/>
      <w:r w:rsidRPr="001F127A">
        <w:t>构建图</w:t>
      </w:r>
      <w:proofErr w:type="gramEnd"/>
      <w:r w:rsidRPr="001F127A">
        <w:t>与现实的量化桥梁</w:t>
      </w:r>
      <w:r w:rsidRPr="000E1A25">
        <w:rPr>
          <w:rFonts w:ascii="Times New Roman" w:hAnsi="Times New Roman" w:cs="Times New Roman"/>
        </w:rPr>
        <w:t>​</w:t>
      </w:r>
    </w:p>
    <w:p w14:paraId="1A69C2AB" w14:textId="0E94A383" w:rsidR="001F127A" w:rsidRPr="001F127A" w:rsidRDefault="001F127A" w:rsidP="000E1A25">
      <w:pPr>
        <w:pStyle w:val="3"/>
      </w:pPr>
      <w:r w:rsidRPr="001F127A">
        <w:t>图注规范（双格式并行）</w:t>
      </w:r>
      <w:r w:rsidRPr="001F127A">
        <w:rPr>
          <w:rFonts w:ascii="Times New Roman" w:hAnsi="Times New Roman" w:cs="Times New Roman"/>
        </w:rPr>
        <w:t>​</w:t>
      </w:r>
    </w:p>
    <w:p w14:paraId="665DE319" w14:textId="77777777" w:rsidR="001F127A" w:rsidRPr="001F127A" w:rsidRDefault="001F127A" w:rsidP="001F127A">
      <w:pPr>
        <w:ind w:firstLine="643"/>
      </w:pPr>
      <w:r w:rsidRPr="001F127A">
        <w:rPr>
          <w:b/>
          <w:bCs/>
        </w:rPr>
        <w:t>数字式标注</w:t>
      </w:r>
      <w:r w:rsidRPr="001F127A">
        <w:t>：在图幅右下角图例区明确标注 “比例尺：1:2000”，若为特殊图件（如剖面图）需区分水平 / 垂直比例，标注为 “H=1:100 V=1:200”。</w:t>
      </w:r>
      <w:r w:rsidRPr="001F127A">
        <w:rPr>
          <w:rFonts w:ascii="Times New Roman" w:hAnsi="Times New Roman" w:cs="Times New Roman"/>
        </w:rPr>
        <w:t>​</w:t>
      </w:r>
    </w:p>
    <w:p w14:paraId="3ADE3323" w14:textId="77777777" w:rsidR="001F127A" w:rsidRPr="001F127A" w:rsidRDefault="001F127A" w:rsidP="001F127A">
      <w:pPr>
        <w:ind w:firstLine="643"/>
      </w:pPr>
      <w:r w:rsidRPr="001F127A">
        <w:rPr>
          <w:b/>
          <w:bCs/>
        </w:rPr>
        <w:t>线段式标注</w:t>
      </w:r>
      <w:r w:rsidRPr="001F127A">
        <w:t>：紧邻数字比例尺绘制线段标尺，按 “0-10-20-30 米” 分段（1:2000 比例尺对应图上 1cm = 实际 20m），线宽 0.2mm，刻度线宽 0.1mm，确保缩放后仍可量测。</w:t>
      </w:r>
      <w:r w:rsidRPr="001F127A">
        <w:rPr>
          <w:rFonts w:ascii="Times New Roman" w:hAnsi="Times New Roman" w:cs="Times New Roman"/>
        </w:rPr>
        <w:t>​</w:t>
      </w:r>
    </w:p>
    <w:p w14:paraId="795CA59F" w14:textId="77777777" w:rsidR="001F127A" w:rsidRPr="001F127A" w:rsidRDefault="001F127A" w:rsidP="001F127A">
      <w:pPr>
        <w:ind w:firstLine="643"/>
      </w:pPr>
      <w:r w:rsidRPr="001F127A">
        <w:rPr>
          <w:b/>
          <w:bCs/>
        </w:rPr>
        <w:t>特殊情况标注</w:t>
      </w:r>
      <w:r w:rsidRPr="001F127A">
        <w:t>：无比例图需在图名下方标注 “不按比例（NTS）”，避免误导量测。</w:t>
      </w:r>
      <w:r w:rsidRPr="001F127A">
        <w:rPr>
          <w:rFonts w:ascii="Times New Roman" w:hAnsi="Times New Roman" w:cs="Times New Roman"/>
        </w:rPr>
        <w:t>​</w:t>
      </w:r>
    </w:p>
    <w:p w14:paraId="724AB1C8" w14:textId="0B3DB6C6" w:rsidR="001F127A" w:rsidRPr="001F127A" w:rsidRDefault="001F127A" w:rsidP="000E1A25">
      <w:pPr>
        <w:pStyle w:val="3"/>
      </w:pPr>
      <w:r w:rsidRPr="001F127A">
        <w:t>文字解读要点（量化 + 场景）</w:t>
      </w:r>
      <w:r w:rsidRPr="001F127A">
        <w:rPr>
          <w:rFonts w:ascii="Times New Roman" w:hAnsi="Times New Roman" w:cs="Times New Roman"/>
        </w:rPr>
        <w:t>​</w:t>
      </w:r>
    </w:p>
    <w:p w14:paraId="36932A96" w14:textId="77777777" w:rsidR="001F127A" w:rsidRPr="001F127A" w:rsidRDefault="001F127A" w:rsidP="001F127A">
      <w:pPr>
        <w:ind w:firstLine="643"/>
      </w:pPr>
      <w:r w:rsidRPr="001F127A">
        <w:rPr>
          <w:b/>
          <w:bCs/>
        </w:rPr>
        <w:t>基础换算说明</w:t>
      </w:r>
      <w:r w:rsidRPr="001F127A">
        <w:t xml:space="preserve">：“本图采用 1:2000 比例尺，图上 1 厘米代表实际距离 20 米。例如：图中 A1 地块东西向长度为 </w:t>
      </w:r>
      <w:r w:rsidRPr="001F127A">
        <w:lastRenderedPageBreak/>
        <w:t>5 厘米，对应实际长度 100 米”。</w:t>
      </w:r>
      <w:r w:rsidRPr="001F127A">
        <w:rPr>
          <w:rFonts w:ascii="Times New Roman" w:hAnsi="Times New Roman" w:cs="Times New Roman"/>
        </w:rPr>
        <w:t>​</w:t>
      </w:r>
    </w:p>
    <w:p w14:paraId="46D589BE" w14:textId="77777777" w:rsidR="001F127A" w:rsidRPr="001F127A" w:rsidRDefault="001F127A" w:rsidP="001F127A">
      <w:pPr>
        <w:ind w:firstLine="643"/>
      </w:pPr>
      <w:r w:rsidRPr="001F127A">
        <w:rPr>
          <w:b/>
          <w:bCs/>
        </w:rPr>
        <w:t>比例尺选择逻辑</w:t>
      </w:r>
      <w:r w:rsidRPr="001F127A">
        <w:t>：“因本次规划为片区控制性详细规划，选用 1:2000 比例尺，兼顾空间覆盖范围与地块细节清晰度（同类型规划常用比例尺为 1:1000-1:5000）”。</w:t>
      </w:r>
      <w:r w:rsidRPr="001F127A">
        <w:rPr>
          <w:rFonts w:ascii="Times New Roman" w:hAnsi="Times New Roman" w:cs="Times New Roman"/>
        </w:rPr>
        <w:t>​</w:t>
      </w:r>
    </w:p>
    <w:p w14:paraId="09122248" w14:textId="77777777" w:rsidR="001F127A" w:rsidRPr="001F127A" w:rsidRDefault="001F127A" w:rsidP="001F127A">
      <w:pPr>
        <w:ind w:firstLine="643"/>
      </w:pPr>
      <w:r w:rsidRPr="001F127A">
        <w:rPr>
          <w:b/>
          <w:bCs/>
        </w:rPr>
        <w:t>量测提示</w:t>
      </w:r>
      <w:r w:rsidRPr="001F127A">
        <w:t>：“线段比例尺可直接比对量测，数字比例尺需注意：打印缩放后数字比例不变，但线段比例尺会同步缩放，建议以数字比例为准”。</w:t>
      </w:r>
      <w:r w:rsidRPr="001F127A">
        <w:rPr>
          <w:rFonts w:ascii="Times New Roman" w:hAnsi="Times New Roman" w:cs="Times New Roman"/>
        </w:rPr>
        <w:t>​</w:t>
      </w:r>
    </w:p>
    <w:p w14:paraId="17B9D8FC" w14:textId="391719DD" w:rsidR="001F127A" w:rsidRPr="001F127A" w:rsidRDefault="008F50F3" w:rsidP="000E1A25">
      <w:pPr>
        <w:pStyle w:val="3"/>
      </w:pPr>
      <w:r>
        <w:rPr>
          <w:rFonts w:hint="eastAsia"/>
        </w:rPr>
        <w:t>注意事项</w:t>
      </w:r>
      <w:r w:rsidR="001F127A" w:rsidRPr="001F127A">
        <w:rPr>
          <w:rFonts w:ascii="Times New Roman" w:hAnsi="Times New Roman" w:cs="Times New Roman"/>
        </w:rPr>
        <w:t>​</w:t>
      </w:r>
    </w:p>
    <w:p w14:paraId="4FC5F132" w14:textId="77777777" w:rsidR="001F127A" w:rsidRPr="001F127A" w:rsidRDefault="001F127A" w:rsidP="001F127A">
      <w:pPr>
        <w:ind w:firstLine="640"/>
      </w:pPr>
      <w:r w:rsidRPr="001F127A">
        <w:t>避免单一格式标注，数字式便于精确计算，线段式便于快速估测，两者需同时呈现；</w:t>
      </w:r>
      <w:r w:rsidRPr="001F127A">
        <w:rPr>
          <w:rFonts w:ascii="Times New Roman" w:hAnsi="Times New Roman" w:cs="Times New Roman"/>
        </w:rPr>
        <w:t>​</w:t>
      </w:r>
    </w:p>
    <w:p w14:paraId="77C2E719" w14:textId="77777777" w:rsidR="001F127A" w:rsidRPr="001F127A" w:rsidRDefault="001F127A" w:rsidP="001F127A">
      <w:pPr>
        <w:ind w:firstLine="640"/>
      </w:pPr>
      <w:r w:rsidRPr="001F127A">
        <w:t>用地面积统计需注明 “按图示比例尺核算”，与文字描述中的公顷数形成闭环验证；</w:t>
      </w:r>
      <w:r w:rsidRPr="001F127A">
        <w:rPr>
          <w:rFonts w:ascii="Times New Roman" w:hAnsi="Times New Roman" w:cs="Times New Roman"/>
        </w:rPr>
        <w:t>​</w:t>
      </w:r>
    </w:p>
    <w:p w14:paraId="0B28A56B" w14:textId="77777777" w:rsidR="001F127A" w:rsidRPr="001F127A" w:rsidRDefault="001F127A" w:rsidP="001F127A">
      <w:pPr>
        <w:ind w:firstLine="640"/>
      </w:pPr>
      <w:r w:rsidRPr="001F127A">
        <w:t>不同图件（</w:t>
      </w:r>
      <w:proofErr w:type="gramStart"/>
      <w:r w:rsidRPr="001F127A">
        <w:t>总平图</w:t>
      </w:r>
      <w:proofErr w:type="gramEnd"/>
      <w:r w:rsidRPr="001F127A">
        <w:t xml:space="preserve"> / 详图）比例尺差异需在图名后单独标注，如 “XX 地块详图（1:500）”。</w:t>
      </w:r>
      <w:r w:rsidRPr="001F127A">
        <w:rPr>
          <w:rFonts w:ascii="Times New Roman" w:hAnsi="Times New Roman" w:cs="Times New Roman"/>
        </w:rPr>
        <w:t>​</w:t>
      </w:r>
    </w:p>
    <w:p w14:paraId="315EACC0" w14:textId="1D372A3E" w:rsidR="001F127A" w:rsidRPr="001F127A" w:rsidRDefault="001F127A" w:rsidP="000E1A25">
      <w:pPr>
        <w:pStyle w:val="2"/>
      </w:pPr>
      <w:r w:rsidRPr="001F127A">
        <w:t>风玫瑰：解码风向的空间语言</w:t>
      </w:r>
      <w:r w:rsidRPr="001F127A">
        <w:rPr>
          <w:rFonts w:ascii="Times New Roman" w:hAnsi="Times New Roman" w:cs="Times New Roman"/>
        </w:rPr>
        <w:t>​</w:t>
      </w:r>
    </w:p>
    <w:p w14:paraId="1816020B" w14:textId="6B3ADEF2" w:rsidR="001F127A" w:rsidRPr="001F127A" w:rsidRDefault="001F127A" w:rsidP="000E1A25">
      <w:pPr>
        <w:pStyle w:val="3"/>
      </w:pPr>
      <w:r w:rsidRPr="001F127A">
        <w:t>图注规范（数据可视化标准）</w:t>
      </w:r>
      <w:r w:rsidRPr="001F127A">
        <w:rPr>
          <w:rFonts w:ascii="Times New Roman" w:hAnsi="Times New Roman" w:cs="Times New Roman"/>
        </w:rPr>
        <w:t>​</w:t>
      </w:r>
    </w:p>
    <w:p w14:paraId="1F590DA1" w14:textId="77777777" w:rsidR="001F127A" w:rsidRPr="001F127A" w:rsidRDefault="001F127A" w:rsidP="001F127A">
      <w:pPr>
        <w:ind w:firstLine="643"/>
      </w:pPr>
      <w:r w:rsidRPr="001F127A">
        <w:rPr>
          <w:b/>
          <w:bCs/>
        </w:rPr>
        <w:t>符号样式</w:t>
      </w:r>
      <w:r w:rsidRPr="001F127A">
        <w:t>：在图幅右上角绘制 16 方位玫瑰图，用不同线型区分风向频率与风速：实线表示风向频率（单位 %），虚线表示平均风速（单位 m/s）。</w:t>
      </w:r>
      <w:r w:rsidRPr="001F127A">
        <w:rPr>
          <w:rFonts w:ascii="Times New Roman" w:hAnsi="Times New Roman" w:cs="Times New Roman"/>
        </w:rPr>
        <w:t>​</w:t>
      </w:r>
    </w:p>
    <w:p w14:paraId="366CA4B8" w14:textId="77777777" w:rsidR="001F127A" w:rsidRPr="001F127A" w:rsidRDefault="001F127A" w:rsidP="001F127A">
      <w:pPr>
        <w:ind w:firstLine="643"/>
      </w:pPr>
      <w:r w:rsidRPr="001F127A">
        <w:rPr>
          <w:b/>
          <w:bCs/>
        </w:rPr>
        <w:t>方向标注</w:t>
      </w:r>
      <w:r w:rsidRPr="001F127A">
        <w:t xml:space="preserve">：在外圈标注 8 </w:t>
      </w:r>
      <w:proofErr w:type="gramStart"/>
      <w:r w:rsidRPr="001F127A">
        <w:t>个</w:t>
      </w:r>
      <w:proofErr w:type="gramEnd"/>
      <w:r w:rsidRPr="001F127A">
        <w:t>主方位（N/E/S/W/NE/NW/SE/SW），主导风向线段末端标注频率值（如 “NE 23%”）。</w:t>
      </w:r>
      <w:r w:rsidRPr="001F127A">
        <w:rPr>
          <w:rFonts w:ascii="Times New Roman" w:hAnsi="Times New Roman" w:cs="Times New Roman"/>
        </w:rPr>
        <w:t>​</w:t>
      </w:r>
    </w:p>
    <w:p w14:paraId="00F7E869" w14:textId="77777777" w:rsidR="001F127A" w:rsidRPr="001F127A" w:rsidRDefault="001F127A" w:rsidP="001F127A">
      <w:pPr>
        <w:ind w:firstLine="643"/>
      </w:pPr>
      <w:r w:rsidRPr="001F127A">
        <w:rPr>
          <w:b/>
          <w:bCs/>
        </w:rPr>
        <w:lastRenderedPageBreak/>
        <w:t>图例说明</w:t>
      </w:r>
      <w:r w:rsidRPr="001F127A">
        <w:t>：“■ 风向频率（实线）：线段长度表示该风向出现概率；■ 平均风速（虚线）：线段长度表示该方向平均风速”。</w:t>
      </w:r>
      <w:r w:rsidRPr="001F127A">
        <w:rPr>
          <w:rFonts w:ascii="Times New Roman" w:hAnsi="Times New Roman" w:cs="Times New Roman"/>
        </w:rPr>
        <w:t>​</w:t>
      </w:r>
    </w:p>
    <w:p w14:paraId="419BB526" w14:textId="5ADDB614" w:rsidR="001F127A" w:rsidRPr="001F127A" w:rsidRDefault="001F127A" w:rsidP="000E1A25">
      <w:pPr>
        <w:pStyle w:val="3"/>
      </w:pPr>
      <w:r w:rsidRPr="001F127A">
        <w:t>文字解读要点（数据→规划逻辑）</w:t>
      </w:r>
      <w:r w:rsidRPr="001F127A">
        <w:rPr>
          <w:rFonts w:ascii="Times New Roman" w:hAnsi="Times New Roman" w:cs="Times New Roman"/>
        </w:rPr>
        <w:t>​</w:t>
      </w:r>
    </w:p>
    <w:p w14:paraId="0D8144B5" w14:textId="77777777" w:rsidR="001F127A" w:rsidRPr="001F127A" w:rsidRDefault="001F127A" w:rsidP="001F127A">
      <w:pPr>
        <w:ind w:firstLine="643"/>
      </w:pPr>
      <w:r w:rsidRPr="001F127A">
        <w:rPr>
          <w:b/>
          <w:bCs/>
        </w:rPr>
        <w:t>核心数据提炼</w:t>
      </w:r>
      <w:r w:rsidRPr="001F127A">
        <w:t>：“本区域主导风向为东北风（NE），年出现频率 23%；最小风频为西南风（SW），频率仅 5%。夏季东南风风速较大（平均 3.2m/s）”。</w:t>
      </w:r>
      <w:r w:rsidRPr="001F127A">
        <w:rPr>
          <w:rFonts w:ascii="Times New Roman" w:hAnsi="Times New Roman" w:cs="Times New Roman"/>
        </w:rPr>
        <w:t>​</w:t>
      </w:r>
    </w:p>
    <w:p w14:paraId="333580C9" w14:textId="77777777" w:rsidR="001F127A" w:rsidRPr="001F127A" w:rsidRDefault="001F127A" w:rsidP="001F127A">
      <w:pPr>
        <w:ind w:firstLine="643"/>
      </w:pPr>
      <w:r w:rsidRPr="001F127A">
        <w:rPr>
          <w:b/>
          <w:bCs/>
        </w:rPr>
        <w:t>规划响应说明</w:t>
      </w:r>
      <w:r w:rsidRPr="001F127A">
        <w:t>：“工业用地（M1）布置于西南侧（最小风频上风向），减少对居住用地（R2）的污染影响；居住区主入口朝向东北侧（主导风向），提升自然通风效率”。</w:t>
      </w:r>
      <w:r w:rsidRPr="001F127A">
        <w:rPr>
          <w:rFonts w:ascii="Times New Roman" w:hAnsi="Times New Roman" w:cs="Times New Roman"/>
        </w:rPr>
        <w:t>​</w:t>
      </w:r>
    </w:p>
    <w:p w14:paraId="269A7F3B" w14:textId="77777777" w:rsidR="001F127A" w:rsidRPr="001F127A" w:rsidRDefault="001F127A" w:rsidP="001F127A">
      <w:pPr>
        <w:ind w:firstLine="643"/>
      </w:pPr>
      <w:r w:rsidRPr="001F127A">
        <w:rPr>
          <w:b/>
          <w:bCs/>
        </w:rPr>
        <w:t>数据时效注释</w:t>
      </w:r>
      <w:r w:rsidRPr="001F127A">
        <w:t>：“风玫瑰数据基于近 10 年气象统计（2015-2024），规划实施需结合最新气象数据动态调整”。</w:t>
      </w:r>
      <w:r w:rsidRPr="001F127A">
        <w:rPr>
          <w:rFonts w:ascii="Times New Roman" w:hAnsi="Times New Roman" w:cs="Times New Roman"/>
        </w:rPr>
        <w:t>​</w:t>
      </w:r>
    </w:p>
    <w:p w14:paraId="100FB69B" w14:textId="49CF8983" w:rsidR="001F127A" w:rsidRPr="001F127A" w:rsidRDefault="001F127A" w:rsidP="000E1A25">
      <w:pPr>
        <w:pStyle w:val="3"/>
      </w:pPr>
      <w:proofErr w:type="gramStart"/>
      <w:r w:rsidRPr="001F127A">
        <w:t>避坑指南</w:t>
      </w:r>
      <w:proofErr w:type="gramEnd"/>
      <w:r w:rsidRPr="001F127A">
        <w:rPr>
          <w:rFonts w:ascii="Times New Roman" w:hAnsi="Times New Roman" w:cs="Times New Roman"/>
        </w:rPr>
        <w:t>​</w:t>
      </w:r>
    </w:p>
    <w:p w14:paraId="45DD0651" w14:textId="77777777" w:rsidR="001F127A" w:rsidRPr="001F127A" w:rsidRDefault="001F127A" w:rsidP="001F127A">
      <w:pPr>
        <w:ind w:firstLine="640"/>
      </w:pPr>
      <w:r w:rsidRPr="001F127A">
        <w:t>明确标注风向定义（“风玫瑰中线段方向表示风的来向”），避免与 “风吹去的方向” 混淆；</w:t>
      </w:r>
      <w:r w:rsidRPr="001F127A">
        <w:rPr>
          <w:rFonts w:ascii="Times New Roman" w:hAnsi="Times New Roman" w:cs="Times New Roman"/>
        </w:rPr>
        <w:t>​</w:t>
      </w:r>
    </w:p>
    <w:p w14:paraId="4B481922" w14:textId="77777777" w:rsidR="001F127A" w:rsidRPr="001F127A" w:rsidRDefault="001F127A" w:rsidP="001F127A">
      <w:pPr>
        <w:ind w:firstLine="640"/>
      </w:pPr>
      <w:r w:rsidRPr="001F127A">
        <w:t>风速数据需注明统计周期（年均 / 季均），不同季节主导风向差异较大时需补充季玫瑰图；</w:t>
      </w:r>
      <w:r w:rsidRPr="001F127A">
        <w:rPr>
          <w:rFonts w:ascii="Times New Roman" w:hAnsi="Times New Roman" w:cs="Times New Roman"/>
        </w:rPr>
        <w:t>​</w:t>
      </w:r>
    </w:p>
    <w:p w14:paraId="27F900AC" w14:textId="77777777" w:rsidR="001F127A" w:rsidRPr="001F127A" w:rsidRDefault="001F127A" w:rsidP="001F127A">
      <w:pPr>
        <w:ind w:firstLine="640"/>
      </w:pPr>
      <w:r w:rsidRPr="001F127A">
        <w:t>与用地布局文字描述强绑定，如 “图中 NE 方向主导风与居住用地轴线夹角 30°” 需对应图中风玫瑰方位。</w:t>
      </w:r>
      <w:r w:rsidRPr="001F127A">
        <w:rPr>
          <w:rFonts w:ascii="Times New Roman" w:hAnsi="Times New Roman" w:cs="Times New Roman"/>
        </w:rPr>
        <w:t>​</w:t>
      </w:r>
    </w:p>
    <w:p w14:paraId="169B9FBA" w14:textId="190942DF" w:rsidR="001F127A" w:rsidRPr="001F127A" w:rsidRDefault="001F127A" w:rsidP="004F6823">
      <w:pPr>
        <w:pStyle w:val="2"/>
      </w:pPr>
      <w:r w:rsidRPr="001F127A">
        <w:t>指北针：空间定位的</w:t>
      </w:r>
      <w:proofErr w:type="gramStart"/>
      <w:r w:rsidRPr="001F127A">
        <w:t>基准锚点</w:t>
      </w:r>
      <w:proofErr w:type="gramEnd"/>
      <w:r w:rsidRPr="001F127A">
        <w:rPr>
          <w:rFonts w:ascii="Times New Roman" w:hAnsi="Times New Roman" w:cs="Times New Roman"/>
        </w:rPr>
        <w:t>​</w:t>
      </w:r>
    </w:p>
    <w:p w14:paraId="6B4B62DB" w14:textId="02409812" w:rsidR="001F127A" w:rsidRPr="001F127A" w:rsidRDefault="001F127A" w:rsidP="004F6823">
      <w:pPr>
        <w:pStyle w:val="3"/>
      </w:pPr>
      <w:r w:rsidRPr="001F127A">
        <w:t>图注规范（符号统一性）</w:t>
      </w:r>
      <w:r w:rsidRPr="001F127A">
        <w:rPr>
          <w:rFonts w:ascii="Times New Roman" w:hAnsi="Times New Roman" w:cs="Times New Roman"/>
        </w:rPr>
        <w:t>​</w:t>
      </w:r>
    </w:p>
    <w:p w14:paraId="461C65EB" w14:textId="77777777" w:rsidR="001F127A" w:rsidRPr="001F127A" w:rsidRDefault="001F127A" w:rsidP="004F6823">
      <w:pPr>
        <w:ind w:firstLine="643"/>
      </w:pPr>
      <w:r w:rsidRPr="001F127A">
        <w:rPr>
          <w:b/>
          <w:bCs/>
        </w:rPr>
        <w:t>标准样式</w:t>
      </w:r>
      <w:r w:rsidRPr="001F127A">
        <w:t>：采用直径 2-3cm 的圆形符号，箭头指向正</w:t>
      </w:r>
      <w:r w:rsidRPr="001F127A">
        <w:lastRenderedPageBreak/>
        <w:t>北，箭尾标注大写字母 “N”，箭头用红色，字母用黑色以增强区分度。</w:t>
      </w:r>
      <w:r w:rsidRPr="001F127A">
        <w:rPr>
          <w:rFonts w:ascii="Times New Roman" w:hAnsi="Times New Roman" w:cs="Times New Roman"/>
        </w:rPr>
        <w:t>​</w:t>
      </w:r>
    </w:p>
    <w:p w14:paraId="4A7EB3AC" w14:textId="77777777" w:rsidR="001F127A" w:rsidRPr="001F127A" w:rsidRDefault="001F127A" w:rsidP="004F6823">
      <w:pPr>
        <w:ind w:firstLine="643"/>
      </w:pPr>
      <w:r w:rsidRPr="001F127A">
        <w:rPr>
          <w:b/>
          <w:bCs/>
        </w:rPr>
        <w:t>位置固定</w:t>
      </w:r>
      <w:r w:rsidRPr="001F127A">
        <w:t>：放置于图幅右上角（风玫瑰旁），若图幅较大可在次要信息区重复标注微型指北针（直径 1cm）。</w:t>
      </w:r>
      <w:r w:rsidRPr="001F127A">
        <w:rPr>
          <w:rFonts w:ascii="Times New Roman" w:hAnsi="Times New Roman" w:cs="Times New Roman"/>
        </w:rPr>
        <w:t>​</w:t>
      </w:r>
    </w:p>
    <w:p w14:paraId="79BFBC60" w14:textId="77777777" w:rsidR="001F127A" w:rsidRPr="001F127A" w:rsidRDefault="001F127A" w:rsidP="004F6823">
      <w:pPr>
        <w:ind w:firstLine="643"/>
      </w:pPr>
      <w:r w:rsidRPr="001F127A">
        <w:rPr>
          <w:b/>
          <w:bCs/>
        </w:rPr>
        <w:t>图例说明</w:t>
      </w:r>
      <w:r w:rsidRPr="001F127A">
        <w:t>：“↑ N 指北针：箭头方向为地理正北，采用 2000 国家大地坐标系方位基准”。</w:t>
      </w:r>
      <w:r w:rsidRPr="001F127A">
        <w:rPr>
          <w:rFonts w:ascii="Times New Roman" w:hAnsi="Times New Roman" w:cs="Times New Roman"/>
        </w:rPr>
        <w:t>​</w:t>
      </w:r>
    </w:p>
    <w:p w14:paraId="4BAAA87C" w14:textId="7CCED351" w:rsidR="001F127A" w:rsidRPr="001F127A" w:rsidRDefault="001F127A" w:rsidP="004F6823">
      <w:pPr>
        <w:pStyle w:val="3"/>
      </w:pPr>
      <w:r w:rsidRPr="001F127A">
        <w:t>文字解读要点（空间校准方法）</w:t>
      </w:r>
      <w:r w:rsidRPr="001F127A">
        <w:rPr>
          <w:rFonts w:ascii="Times New Roman" w:hAnsi="Times New Roman" w:cs="Times New Roman"/>
        </w:rPr>
        <w:t>​</w:t>
      </w:r>
    </w:p>
    <w:p w14:paraId="6D0E6F64" w14:textId="77777777" w:rsidR="001F127A" w:rsidRPr="001F127A" w:rsidRDefault="001F127A" w:rsidP="004F6823">
      <w:pPr>
        <w:ind w:firstLine="643"/>
      </w:pPr>
      <w:r w:rsidRPr="001F127A">
        <w:rPr>
          <w:b/>
          <w:bCs/>
        </w:rPr>
        <w:t>基础功能说明</w:t>
      </w:r>
      <w:r w:rsidRPr="001F127A">
        <w:t>：“通过指北针可快速校准图件方位：将图纸旋转至指北针朝上，图中‘东向道路’即对应实际地理东向”。</w:t>
      </w:r>
      <w:r w:rsidRPr="001F127A">
        <w:rPr>
          <w:rFonts w:ascii="Times New Roman" w:hAnsi="Times New Roman" w:cs="Times New Roman"/>
        </w:rPr>
        <w:t>​</w:t>
      </w:r>
    </w:p>
    <w:p w14:paraId="5DD44111" w14:textId="77777777" w:rsidR="001F127A" w:rsidRPr="001F127A" w:rsidRDefault="001F127A" w:rsidP="004F6823">
      <w:pPr>
        <w:ind w:firstLine="643"/>
      </w:pPr>
      <w:r w:rsidRPr="001F127A">
        <w:rPr>
          <w:b/>
          <w:bCs/>
        </w:rPr>
        <w:t>与布局关联</w:t>
      </w:r>
      <w:r w:rsidRPr="001F127A">
        <w:t>：“居住组团主入口沿东北方向布置（与指北针夹角 45°），既顺应主导风向，又保证冬季日照时长”。</w:t>
      </w:r>
      <w:r w:rsidRPr="001F127A">
        <w:rPr>
          <w:rFonts w:ascii="Times New Roman" w:hAnsi="Times New Roman" w:cs="Times New Roman"/>
        </w:rPr>
        <w:t>​</w:t>
      </w:r>
    </w:p>
    <w:p w14:paraId="32D11F30" w14:textId="77777777" w:rsidR="001F127A" w:rsidRPr="001F127A" w:rsidRDefault="001F127A" w:rsidP="004F6823">
      <w:pPr>
        <w:ind w:firstLine="643"/>
      </w:pPr>
      <w:r w:rsidRPr="001F127A">
        <w:rPr>
          <w:b/>
          <w:bCs/>
        </w:rPr>
        <w:t>特殊场景提示</w:t>
      </w:r>
      <w:r w:rsidRPr="001F127A">
        <w:t>：“若图件存在旋转（如为贴合道路走向），需以指北针为准，而非图幅边框方向”。</w:t>
      </w:r>
      <w:r w:rsidRPr="001F127A">
        <w:rPr>
          <w:rFonts w:ascii="Times New Roman" w:hAnsi="Times New Roman" w:cs="Times New Roman"/>
        </w:rPr>
        <w:t>​</w:t>
      </w:r>
    </w:p>
    <w:p w14:paraId="1BA65180" w14:textId="6902C2BB" w:rsidR="001F127A" w:rsidRPr="001F127A" w:rsidRDefault="001F127A" w:rsidP="004F6823">
      <w:pPr>
        <w:pStyle w:val="3"/>
      </w:pPr>
      <w:proofErr w:type="gramStart"/>
      <w:r w:rsidRPr="001F127A">
        <w:t>避坑指南</w:t>
      </w:r>
      <w:proofErr w:type="gramEnd"/>
      <w:r w:rsidRPr="001F127A">
        <w:rPr>
          <w:rFonts w:ascii="Times New Roman" w:hAnsi="Times New Roman" w:cs="Times New Roman"/>
        </w:rPr>
        <w:t>​</w:t>
      </w:r>
    </w:p>
    <w:p w14:paraId="569165E7" w14:textId="77777777" w:rsidR="001F127A" w:rsidRPr="001F127A" w:rsidRDefault="001F127A" w:rsidP="001F127A">
      <w:pPr>
        <w:ind w:firstLine="640"/>
      </w:pPr>
      <w:r w:rsidRPr="001F127A">
        <w:t>同一套规划图纸中所有指北针样式必须统一，禁止混用不同箭头符号；</w:t>
      </w:r>
      <w:r w:rsidRPr="001F127A">
        <w:rPr>
          <w:rFonts w:ascii="Times New Roman" w:hAnsi="Times New Roman" w:cs="Times New Roman"/>
        </w:rPr>
        <w:t>​</w:t>
      </w:r>
    </w:p>
    <w:p w14:paraId="22FF36EC" w14:textId="77777777" w:rsidR="001F127A" w:rsidRPr="001F127A" w:rsidRDefault="001F127A" w:rsidP="001F127A">
      <w:pPr>
        <w:ind w:firstLine="640"/>
      </w:pPr>
      <w:r w:rsidRPr="001F127A">
        <w:t>数字化图件需注明 “电子图可通过指北针自动校准方位”，避免屏幕旋转导致的方向误判；</w:t>
      </w:r>
      <w:r w:rsidRPr="001F127A">
        <w:rPr>
          <w:rFonts w:ascii="Times New Roman" w:hAnsi="Times New Roman" w:cs="Times New Roman"/>
        </w:rPr>
        <w:t>​</w:t>
      </w:r>
    </w:p>
    <w:p w14:paraId="33EAB3B5" w14:textId="77777777" w:rsidR="001F127A" w:rsidRPr="001F127A" w:rsidRDefault="001F127A" w:rsidP="001F127A">
      <w:pPr>
        <w:ind w:firstLine="640"/>
      </w:pPr>
      <w:r w:rsidRPr="001F127A">
        <w:t>历史地图或特殊坐标系图件需补充说明：“本图指北针对应 1954 北京坐标系，与实际磁北偏差约 3°”。</w:t>
      </w:r>
      <w:r w:rsidRPr="001F127A">
        <w:rPr>
          <w:rFonts w:ascii="Times New Roman" w:hAnsi="Times New Roman" w:cs="Times New Roman"/>
        </w:rPr>
        <w:t>​</w:t>
      </w:r>
    </w:p>
    <w:p w14:paraId="4DFCF487" w14:textId="75A8C8B9" w:rsidR="001F127A" w:rsidRPr="001F127A" w:rsidRDefault="001F127A" w:rsidP="004F6823">
      <w:pPr>
        <w:pStyle w:val="2"/>
      </w:pPr>
      <w:r w:rsidRPr="001F127A">
        <w:lastRenderedPageBreak/>
        <w:t>协同标注逻辑与检查清单</w:t>
      </w:r>
      <w:r w:rsidRPr="001F127A">
        <w:rPr>
          <w:rFonts w:ascii="Times New Roman" w:hAnsi="Times New Roman" w:cs="Times New Roman"/>
        </w:rPr>
        <w:t>​</w:t>
      </w:r>
    </w:p>
    <w:p w14:paraId="7C3DCDB5" w14:textId="50006DD0" w:rsidR="001F127A" w:rsidRPr="001F127A" w:rsidRDefault="001F127A" w:rsidP="004F6823">
      <w:pPr>
        <w:pStyle w:val="3"/>
      </w:pPr>
      <w:r w:rsidRPr="001F127A">
        <w:t>三要素联动原则</w:t>
      </w:r>
      <w:r w:rsidRPr="001F127A">
        <w:rPr>
          <w:rFonts w:ascii="Times New Roman" w:hAnsi="Times New Roman" w:cs="Times New Roman"/>
        </w:rPr>
        <w:t>​</w:t>
      </w:r>
    </w:p>
    <w:p w14:paraId="6A09A3D2" w14:textId="77777777" w:rsidR="001F127A" w:rsidRPr="001F127A" w:rsidRDefault="001F127A" w:rsidP="004F6823">
      <w:pPr>
        <w:ind w:firstLine="643"/>
      </w:pPr>
      <w:r w:rsidRPr="001F127A">
        <w:rPr>
          <w:b/>
          <w:bCs/>
        </w:rPr>
        <w:t>比例尺与图则适配</w:t>
      </w:r>
      <w:r w:rsidRPr="001F127A">
        <w:t>：地块面积标注（如 “3.2 公顷”）</w:t>
      </w:r>
      <w:proofErr w:type="gramStart"/>
      <w:r w:rsidRPr="001F127A">
        <w:t>需能通过</w:t>
      </w:r>
      <w:proofErr w:type="gramEnd"/>
      <w:r w:rsidRPr="001F127A">
        <w:t>比例尺反推验证，1:2000 图中 1 公顷对应图上 25cm</w:t>
      </w:r>
      <w:r w:rsidRPr="001F127A">
        <w:rPr>
          <w:rFonts w:ascii="Calibri" w:hAnsi="Calibri" w:cs="Calibri"/>
        </w:rPr>
        <w:t>²</w:t>
      </w:r>
      <w:r w:rsidRPr="001F127A">
        <w:t>；</w:t>
      </w:r>
      <w:r w:rsidRPr="001F127A">
        <w:rPr>
          <w:rFonts w:ascii="Times New Roman" w:hAnsi="Times New Roman" w:cs="Times New Roman"/>
        </w:rPr>
        <w:t>​</w:t>
      </w:r>
    </w:p>
    <w:p w14:paraId="0EDE8DED" w14:textId="77777777" w:rsidR="001F127A" w:rsidRPr="001F127A" w:rsidRDefault="001F127A" w:rsidP="004F6823">
      <w:pPr>
        <w:ind w:firstLine="643"/>
      </w:pPr>
      <w:r w:rsidRPr="001F127A">
        <w:rPr>
          <w:b/>
          <w:bCs/>
        </w:rPr>
        <w:t>风玫瑰与用地呼应</w:t>
      </w:r>
      <w:r w:rsidRPr="001F127A">
        <w:t>：主导风向标注需与污染类用地（如工业、垃圾站）的布局说明直接关联；</w:t>
      </w:r>
      <w:r w:rsidRPr="001F127A">
        <w:rPr>
          <w:rFonts w:ascii="Times New Roman" w:hAnsi="Times New Roman" w:cs="Times New Roman"/>
        </w:rPr>
        <w:t>​</w:t>
      </w:r>
    </w:p>
    <w:p w14:paraId="0AF78063" w14:textId="77777777" w:rsidR="001F127A" w:rsidRPr="001F127A" w:rsidRDefault="001F127A" w:rsidP="004F6823">
      <w:pPr>
        <w:ind w:firstLine="643"/>
      </w:pPr>
      <w:r w:rsidRPr="001F127A">
        <w:rPr>
          <w:b/>
          <w:bCs/>
        </w:rPr>
        <w:t>指北针与方位统一</w:t>
      </w:r>
      <w:r w:rsidRPr="001F127A">
        <w:t>：道路走向描述（如 “东西向主干路”）需与指北针方向严格一致。</w:t>
      </w:r>
      <w:r w:rsidRPr="001F127A">
        <w:rPr>
          <w:rFonts w:ascii="Times New Roman" w:hAnsi="Times New Roman" w:cs="Times New Roman"/>
        </w:rPr>
        <w:t>​</w:t>
      </w:r>
    </w:p>
    <w:p w14:paraId="54050DC9" w14:textId="3E01DFAE" w:rsidR="001F127A" w:rsidRPr="001F127A" w:rsidRDefault="001F127A" w:rsidP="004F6823">
      <w:pPr>
        <w:pStyle w:val="3"/>
      </w:pPr>
      <w:r w:rsidRPr="001F127A">
        <w:t>最终检查清单</w:t>
      </w:r>
      <w:r w:rsidRPr="001F127A">
        <w:rPr>
          <w:rFonts w:ascii="Times New Roman" w:hAnsi="Times New Roman" w:cs="Times New Roman"/>
        </w:rPr>
        <w:t>​</w:t>
      </w:r>
    </w:p>
    <w:p w14:paraId="60EEBE38" w14:textId="77777777" w:rsidR="001F127A" w:rsidRPr="001F127A" w:rsidRDefault="001F127A" w:rsidP="001F127A">
      <w:pPr>
        <w:ind w:firstLine="640"/>
      </w:pPr>
      <w:r w:rsidRPr="001F127A">
        <w:rPr>
          <w:rFonts w:ascii="Times New Roman" w:hAnsi="Times New Roman" w:cs="Times New Roman"/>
        </w:rPr>
        <w:t>​</w:t>
      </w:r>
    </w:p>
    <w:tbl>
      <w:tblPr>
        <w:tblW w:w="8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6600"/>
      </w:tblGrid>
      <w:tr w:rsidR="001F127A" w:rsidRPr="001F127A" w14:paraId="3E4E465B" w14:textId="77777777" w:rsidTr="000E1A25">
        <w:trPr>
          <w:trHeight w:val="581"/>
        </w:trPr>
        <w:tc>
          <w:tcPr>
            <w:tcW w:w="1701" w:type="dxa"/>
            <w:hideMark/>
          </w:tcPr>
          <w:p w14:paraId="42046141" w14:textId="77777777" w:rsidR="001F127A" w:rsidRPr="001F127A" w:rsidRDefault="001F127A" w:rsidP="000E1A25">
            <w:pPr>
              <w:pStyle w:val="ae"/>
            </w:pPr>
            <w:r w:rsidRPr="001F127A">
              <w:t>检查项目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6600" w:type="dxa"/>
            <w:hideMark/>
          </w:tcPr>
          <w:p w14:paraId="3D13DE91" w14:textId="77777777" w:rsidR="001F127A" w:rsidRPr="001F127A" w:rsidRDefault="001F127A" w:rsidP="000E1A25">
            <w:pPr>
              <w:pStyle w:val="ae"/>
            </w:pPr>
            <w:r w:rsidRPr="001F127A">
              <w:t>合格标准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</w:tr>
      <w:tr w:rsidR="001F127A" w:rsidRPr="001F127A" w14:paraId="1F510038" w14:textId="77777777" w:rsidTr="000E1A25">
        <w:trPr>
          <w:trHeight w:val="581"/>
        </w:trPr>
        <w:tc>
          <w:tcPr>
            <w:tcW w:w="1701" w:type="dxa"/>
            <w:hideMark/>
          </w:tcPr>
          <w:p w14:paraId="5BEDD731" w14:textId="77777777" w:rsidR="001F127A" w:rsidRPr="001F127A" w:rsidRDefault="001F127A" w:rsidP="000E1A25">
            <w:pPr>
              <w:pStyle w:val="ae"/>
            </w:pPr>
            <w:r w:rsidRPr="001F127A">
              <w:t>比例尺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6600" w:type="dxa"/>
            <w:hideMark/>
          </w:tcPr>
          <w:p w14:paraId="4E654D3D" w14:textId="77777777" w:rsidR="001F127A" w:rsidRPr="001F127A" w:rsidRDefault="001F127A" w:rsidP="000E1A25">
            <w:pPr>
              <w:pStyle w:val="ae"/>
            </w:pPr>
            <w:r w:rsidRPr="001F127A">
              <w:t>数字式 + 线段式双标注，无缩放矛盾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</w:tr>
      <w:tr w:rsidR="001F127A" w:rsidRPr="001F127A" w14:paraId="5E64978A" w14:textId="77777777" w:rsidTr="000E1A25">
        <w:trPr>
          <w:trHeight w:val="581"/>
        </w:trPr>
        <w:tc>
          <w:tcPr>
            <w:tcW w:w="1701" w:type="dxa"/>
            <w:hideMark/>
          </w:tcPr>
          <w:p w14:paraId="01821CC5" w14:textId="77777777" w:rsidR="001F127A" w:rsidRPr="001F127A" w:rsidRDefault="001F127A" w:rsidP="000E1A25">
            <w:pPr>
              <w:pStyle w:val="ae"/>
            </w:pPr>
            <w:r w:rsidRPr="001F127A">
              <w:t>风玫瑰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6600" w:type="dxa"/>
            <w:hideMark/>
          </w:tcPr>
          <w:p w14:paraId="77965C6C" w14:textId="77777777" w:rsidR="001F127A" w:rsidRPr="001F127A" w:rsidRDefault="001F127A" w:rsidP="000E1A25">
            <w:pPr>
              <w:pStyle w:val="ae"/>
            </w:pPr>
            <w:r w:rsidRPr="001F127A">
              <w:t>主导风向与用地布局文字解读逻辑自洽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</w:tr>
      <w:tr w:rsidR="001F127A" w:rsidRPr="001F127A" w14:paraId="3E05974C" w14:textId="77777777" w:rsidTr="000E1A25">
        <w:trPr>
          <w:trHeight w:val="581"/>
        </w:trPr>
        <w:tc>
          <w:tcPr>
            <w:tcW w:w="1701" w:type="dxa"/>
            <w:hideMark/>
          </w:tcPr>
          <w:p w14:paraId="54167BB3" w14:textId="77777777" w:rsidR="001F127A" w:rsidRPr="001F127A" w:rsidRDefault="001F127A" w:rsidP="000E1A25">
            <w:pPr>
              <w:pStyle w:val="ae"/>
            </w:pPr>
            <w:r w:rsidRPr="001F127A">
              <w:t>指北针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6600" w:type="dxa"/>
            <w:hideMark/>
          </w:tcPr>
          <w:p w14:paraId="7D945173" w14:textId="77777777" w:rsidR="001F127A" w:rsidRPr="001F127A" w:rsidRDefault="001F127A" w:rsidP="000E1A25">
            <w:pPr>
              <w:pStyle w:val="ae"/>
            </w:pPr>
            <w:r w:rsidRPr="001F127A">
              <w:t>符号统一，方向与道路 / 地块朝向标注一致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</w:tr>
      <w:tr w:rsidR="001F127A" w:rsidRPr="001F127A" w14:paraId="671B1AB0" w14:textId="77777777" w:rsidTr="000E1A25">
        <w:trPr>
          <w:trHeight w:val="581"/>
        </w:trPr>
        <w:tc>
          <w:tcPr>
            <w:tcW w:w="1701" w:type="dxa"/>
            <w:hideMark/>
          </w:tcPr>
          <w:p w14:paraId="778A1573" w14:textId="77777777" w:rsidR="001F127A" w:rsidRPr="001F127A" w:rsidRDefault="001F127A" w:rsidP="000E1A25">
            <w:pPr>
              <w:pStyle w:val="ae"/>
            </w:pPr>
            <w:r w:rsidRPr="001F127A">
              <w:t>协同性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  <w:tc>
          <w:tcPr>
            <w:tcW w:w="6600" w:type="dxa"/>
            <w:hideMark/>
          </w:tcPr>
          <w:p w14:paraId="0765CAA0" w14:textId="77777777" w:rsidR="001F127A" w:rsidRPr="001F127A" w:rsidRDefault="001F127A" w:rsidP="000E1A25">
            <w:pPr>
              <w:pStyle w:val="ae"/>
            </w:pPr>
            <w:r w:rsidRPr="001F127A">
              <w:t>三要素标注位置不重叠，形成空间认知三角</w:t>
            </w:r>
            <w:r w:rsidRPr="001F127A">
              <w:rPr>
                <w:rFonts w:ascii="Times New Roman" w:hAnsi="Times New Roman" w:cs="Times New Roman"/>
              </w:rPr>
              <w:t>​</w:t>
            </w:r>
          </w:p>
        </w:tc>
      </w:tr>
    </w:tbl>
    <w:p w14:paraId="15DBC57B" w14:textId="77777777" w:rsidR="001F127A" w:rsidRPr="001F127A" w:rsidRDefault="001F127A" w:rsidP="001F127A">
      <w:pPr>
        <w:ind w:firstLine="640"/>
      </w:pPr>
      <w:r w:rsidRPr="001F127A">
        <w:rPr>
          <w:rFonts w:ascii="Times New Roman" w:hAnsi="Times New Roman" w:cs="Times New Roman"/>
        </w:rPr>
        <w:t>​</w:t>
      </w:r>
    </w:p>
    <w:p w14:paraId="07EE4936" w14:textId="38FB3063" w:rsidR="001F127A" w:rsidRPr="001F127A" w:rsidRDefault="001F127A" w:rsidP="001F127A">
      <w:pPr>
        <w:ind w:firstLine="640"/>
        <w:rPr>
          <w:rFonts w:hint="eastAsia"/>
        </w:rPr>
      </w:pPr>
      <w:r w:rsidRPr="001F127A">
        <w:t>注：所有标注需符合《城乡规划制图标准》，关键数据（如主导风频、比例尺换算）需在图幅下方备注数据来源。</w:t>
      </w:r>
      <w:r w:rsidRPr="001F127A">
        <w:rPr>
          <w:rFonts w:ascii="Times New Roman" w:hAnsi="Times New Roman" w:cs="Times New Roman"/>
        </w:rPr>
        <w:t>​</w:t>
      </w:r>
    </w:p>
    <w:sectPr w:rsidR="001F127A" w:rsidRPr="001F1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70275"/>
    <w:multiLevelType w:val="multilevel"/>
    <w:tmpl w:val="BEE6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93958"/>
    <w:multiLevelType w:val="multilevel"/>
    <w:tmpl w:val="6032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43FC5"/>
    <w:multiLevelType w:val="multilevel"/>
    <w:tmpl w:val="3D74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E7D23"/>
    <w:multiLevelType w:val="multilevel"/>
    <w:tmpl w:val="1C04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01B22"/>
    <w:multiLevelType w:val="multilevel"/>
    <w:tmpl w:val="5F9C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806C2"/>
    <w:multiLevelType w:val="multilevel"/>
    <w:tmpl w:val="D23E18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6912E1"/>
    <w:multiLevelType w:val="multilevel"/>
    <w:tmpl w:val="0D12B2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44155F"/>
    <w:multiLevelType w:val="multilevel"/>
    <w:tmpl w:val="1D58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BD4446"/>
    <w:multiLevelType w:val="multilevel"/>
    <w:tmpl w:val="088E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F22D10"/>
    <w:multiLevelType w:val="multilevel"/>
    <w:tmpl w:val="D2D6F2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B1463A"/>
    <w:multiLevelType w:val="multilevel"/>
    <w:tmpl w:val="BD02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2D672E"/>
    <w:multiLevelType w:val="multilevel"/>
    <w:tmpl w:val="2398F3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82311E"/>
    <w:multiLevelType w:val="multilevel"/>
    <w:tmpl w:val="92043B9E"/>
    <w:lvl w:ilvl="0">
      <w:start w:val="1"/>
      <w:numFmt w:val="taiwa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233846B4"/>
    <w:multiLevelType w:val="multilevel"/>
    <w:tmpl w:val="49DE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F462E4"/>
    <w:multiLevelType w:val="multilevel"/>
    <w:tmpl w:val="2DA2E7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BB7E31"/>
    <w:multiLevelType w:val="multilevel"/>
    <w:tmpl w:val="E2F2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0374D2"/>
    <w:multiLevelType w:val="multilevel"/>
    <w:tmpl w:val="D0FC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A81B59"/>
    <w:multiLevelType w:val="multilevel"/>
    <w:tmpl w:val="BFBC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6A53D7"/>
    <w:multiLevelType w:val="multilevel"/>
    <w:tmpl w:val="4902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6F612A"/>
    <w:multiLevelType w:val="multilevel"/>
    <w:tmpl w:val="953A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8B2984"/>
    <w:multiLevelType w:val="multilevel"/>
    <w:tmpl w:val="DE8C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E96361"/>
    <w:multiLevelType w:val="multilevel"/>
    <w:tmpl w:val="8D5C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6450C7"/>
    <w:multiLevelType w:val="multilevel"/>
    <w:tmpl w:val="7622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963661"/>
    <w:multiLevelType w:val="multilevel"/>
    <w:tmpl w:val="DA8C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136A31"/>
    <w:multiLevelType w:val="multilevel"/>
    <w:tmpl w:val="512E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1A6437"/>
    <w:multiLevelType w:val="multilevel"/>
    <w:tmpl w:val="AE72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3A20EA"/>
    <w:multiLevelType w:val="multilevel"/>
    <w:tmpl w:val="F4D429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6D0186"/>
    <w:multiLevelType w:val="multilevel"/>
    <w:tmpl w:val="2B164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475582"/>
    <w:multiLevelType w:val="multilevel"/>
    <w:tmpl w:val="6A7204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03701B"/>
    <w:multiLevelType w:val="multilevel"/>
    <w:tmpl w:val="070E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C03B29"/>
    <w:multiLevelType w:val="multilevel"/>
    <w:tmpl w:val="A36E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DE204C"/>
    <w:multiLevelType w:val="multilevel"/>
    <w:tmpl w:val="88CC7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9283876"/>
    <w:multiLevelType w:val="multilevel"/>
    <w:tmpl w:val="6A60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13061E"/>
    <w:multiLevelType w:val="multilevel"/>
    <w:tmpl w:val="D048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4C3C27"/>
    <w:multiLevelType w:val="multilevel"/>
    <w:tmpl w:val="CC4A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D06C0D"/>
    <w:multiLevelType w:val="multilevel"/>
    <w:tmpl w:val="17EE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72373F"/>
    <w:multiLevelType w:val="multilevel"/>
    <w:tmpl w:val="3E9899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EE26B70"/>
    <w:multiLevelType w:val="multilevel"/>
    <w:tmpl w:val="0EEC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9145D5"/>
    <w:multiLevelType w:val="multilevel"/>
    <w:tmpl w:val="6E5E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DE5379"/>
    <w:multiLevelType w:val="multilevel"/>
    <w:tmpl w:val="1C88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14736A"/>
    <w:multiLevelType w:val="multilevel"/>
    <w:tmpl w:val="0268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B45E31"/>
    <w:multiLevelType w:val="multilevel"/>
    <w:tmpl w:val="A4689F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5C35117"/>
    <w:multiLevelType w:val="multilevel"/>
    <w:tmpl w:val="26A2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037B22"/>
    <w:multiLevelType w:val="multilevel"/>
    <w:tmpl w:val="11FA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DD117E"/>
    <w:multiLevelType w:val="multilevel"/>
    <w:tmpl w:val="AA24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A903AA"/>
    <w:multiLevelType w:val="multilevel"/>
    <w:tmpl w:val="90B8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DD3749"/>
    <w:multiLevelType w:val="multilevel"/>
    <w:tmpl w:val="57A0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A565AD9"/>
    <w:multiLevelType w:val="multilevel"/>
    <w:tmpl w:val="221E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A802214"/>
    <w:multiLevelType w:val="multilevel"/>
    <w:tmpl w:val="420ADE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C027B60"/>
    <w:multiLevelType w:val="multilevel"/>
    <w:tmpl w:val="C1D0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CDA6F0C"/>
    <w:multiLevelType w:val="multilevel"/>
    <w:tmpl w:val="F710E2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D321C92"/>
    <w:multiLevelType w:val="multilevel"/>
    <w:tmpl w:val="A4BA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09577BA"/>
    <w:multiLevelType w:val="multilevel"/>
    <w:tmpl w:val="FEB4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1682F1E"/>
    <w:multiLevelType w:val="multilevel"/>
    <w:tmpl w:val="A2A2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36B4152"/>
    <w:multiLevelType w:val="multilevel"/>
    <w:tmpl w:val="3D9E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39B72CE"/>
    <w:multiLevelType w:val="multilevel"/>
    <w:tmpl w:val="4792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4CD5DB0"/>
    <w:multiLevelType w:val="multilevel"/>
    <w:tmpl w:val="09544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572098F"/>
    <w:multiLevelType w:val="multilevel"/>
    <w:tmpl w:val="C6C4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5A70321"/>
    <w:multiLevelType w:val="multilevel"/>
    <w:tmpl w:val="72B4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610F3A"/>
    <w:multiLevelType w:val="multilevel"/>
    <w:tmpl w:val="B2C8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B8D4101"/>
    <w:multiLevelType w:val="multilevel"/>
    <w:tmpl w:val="F94A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DB46FD7"/>
    <w:multiLevelType w:val="multilevel"/>
    <w:tmpl w:val="D048F4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173293C"/>
    <w:multiLevelType w:val="multilevel"/>
    <w:tmpl w:val="3116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4D42F3F"/>
    <w:multiLevelType w:val="multilevel"/>
    <w:tmpl w:val="95BA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6A02B84"/>
    <w:multiLevelType w:val="multilevel"/>
    <w:tmpl w:val="273C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8D962FC"/>
    <w:multiLevelType w:val="multilevel"/>
    <w:tmpl w:val="521A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91E3528"/>
    <w:multiLevelType w:val="multilevel"/>
    <w:tmpl w:val="DC9AA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A2E0985"/>
    <w:multiLevelType w:val="multilevel"/>
    <w:tmpl w:val="CF5A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AB66E65"/>
    <w:multiLevelType w:val="hybridMultilevel"/>
    <w:tmpl w:val="A8A8C030"/>
    <w:lvl w:ilvl="0" w:tplc="6A1E8B6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9" w15:restartNumberingAfterBreak="0">
    <w:nsid w:val="7F246101"/>
    <w:multiLevelType w:val="multilevel"/>
    <w:tmpl w:val="3CB8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F7166E4"/>
    <w:multiLevelType w:val="multilevel"/>
    <w:tmpl w:val="0E46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FE678B6"/>
    <w:multiLevelType w:val="multilevel"/>
    <w:tmpl w:val="595815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1604445">
    <w:abstractNumId w:val="31"/>
  </w:num>
  <w:num w:numId="2" w16cid:durableId="714812416">
    <w:abstractNumId w:val="26"/>
  </w:num>
  <w:num w:numId="3" w16cid:durableId="844512832">
    <w:abstractNumId w:val="14"/>
  </w:num>
  <w:num w:numId="4" w16cid:durableId="1630429208">
    <w:abstractNumId w:val="48"/>
  </w:num>
  <w:num w:numId="5" w16cid:durableId="1140344564">
    <w:abstractNumId w:val="16"/>
  </w:num>
  <w:num w:numId="6" w16cid:durableId="1932469865">
    <w:abstractNumId w:val="30"/>
  </w:num>
  <w:num w:numId="7" w16cid:durableId="1610695095">
    <w:abstractNumId w:val="25"/>
  </w:num>
  <w:num w:numId="8" w16cid:durableId="1070422476">
    <w:abstractNumId w:val="29"/>
  </w:num>
  <w:num w:numId="9" w16cid:durableId="1517844413">
    <w:abstractNumId w:val="22"/>
  </w:num>
  <w:num w:numId="10" w16cid:durableId="763577197">
    <w:abstractNumId w:val="43"/>
  </w:num>
  <w:num w:numId="11" w16cid:durableId="1468353643">
    <w:abstractNumId w:val="66"/>
  </w:num>
  <w:num w:numId="12" w16cid:durableId="1504780755">
    <w:abstractNumId w:val="55"/>
  </w:num>
  <w:num w:numId="13" w16cid:durableId="1617371140">
    <w:abstractNumId w:val="28"/>
  </w:num>
  <w:num w:numId="14" w16cid:durableId="1588735116">
    <w:abstractNumId w:val="65"/>
  </w:num>
  <w:num w:numId="15" w16cid:durableId="1925797529">
    <w:abstractNumId w:val="21"/>
  </w:num>
  <w:num w:numId="16" w16cid:durableId="869491218">
    <w:abstractNumId w:val="61"/>
  </w:num>
  <w:num w:numId="17" w16cid:durableId="1094400094">
    <w:abstractNumId w:val="10"/>
  </w:num>
  <w:num w:numId="18" w16cid:durableId="1489594576">
    <w:abstractNumId w:val="13"/>
  </w:num>
  <w:num w:numId="19" w16cid:durableId="335310805">
    <w:abstractNumId w:val="41"/>
  </w:num>
  <w:num w:numId="20" w16cid:durableId="1623264002">
    <w:abstractNumId w:val="6"/>
  </w:num>
  <w:num w:numId="21" w16cid:durableId="681319922">
    <w:abstractNumId w:val="71"/>
  </w:num>
  <w:num w:numId="22" w16cid:durableId="311256931">
    <w:abstractNumId w:val="39"/>
  </w:num>
  <w:num w:numId="23" w16cid:durableId="787727">
    <w:abstractNumId w:val="70"/>
  </w:num>
  <w:num w:numId="24" w16cid:durableId="1657101835">
    <w:abstractNumId w:val="23"/>
  </w:num>
  <w:num w:numId="25" w16cid:durableId="1287587470">
    <w:abstractNumId w:val="47"/>
  </w:num>
  <w:num w:numId="26" w16cid:durableId="554316771">
    <w:abstractNumId w:val="7"/>
  </w:num>
  <w:num w:numId="27" w16cid:durableId="820972023">
    <w:abstractNumId w:val="35"/>
  </w:num>
  <w:num w:numId="28" w16cid:durableId="540287993">
    <w:abstractNumId w:val="69"/>
  </w:num>
  <w:num w:numId="29" w16cid:durableId="255746830">
    <w:abstractNumId w:val="33"/>
  </w:num>
  <w:num w:numId="30" w16cid:durableId="1108890056">
    <w:abstractNumId w:val="45"/>
  </w:num>
  <w:num w:numId="31" w16cid:durableId="458961255">
    <w:abstractNumId w:val="54"/>
  </w:num>
  <w:num w:numId="32" w16cid:durableId="1464696644">
    <w:abstractNumId w:val="67"/>
  </w:num>
  <w:num w:numId="33" w16cid:durableId="885603076">
    <w:abstractNumId w:val="17"/>
  </w:num>
  <w:num w:numId="34" w16cid:durableId="1386099044">
    <w:abstractNumId w:val="27"/>
  </w:num>
  <w:num w:numId="35" w16cid:durableId="1673021708">
    <w:abstractNumId w:val="5"/>
  </w:num>
  <w:num w:numId="36" w16cid:durableId="460929470">
    <w:abstractNumId w:val="11"/>
  </w:num>
  <w:num w:numId="37" w16cid:durableId="848452388">
    <w:abstractNumId w:val="56"/>
  </w:num>
  <w:num w:numId="38" w16cid:durableId="22025687">
    <w:abstractNumId w:val="36"/>
  </w:num>
  <w:num w:numId="39" w16cid:durableId="1369065955">
    <w:abstractNumId w:val="9"/>
  </w:num>
  <w:num w:numId="40" w16cid:durableId="1697846010">
    <w:abstractNumId w:val="50"/>
  </w:num>
  <w:num w:numId="41" w16cid:durableId="1645692473">
    <w:abstractNumId w:val="51"/>
  </w:num>
  <w:num w:numId="42" w16cid:durableId="2031485597">
    <w:abstractNumId w:val="15"/>
  </w:num>
  <w:num w:numId="43" w16cid:durableId="291641911">
    <w:abstractNumId w:val="2"/>
  </w:num>
  <w:num w:numId="44" w16cid:durableId="645011475">
    <w:abstractNumId w:val="63"/>
  </w:num>
  <w:num w:numId="45" w16cid:durableId="607002297">
    <w:abstractNumId w:val="44"/>
  </w:num>
  <w:num w:numId="46" w16cid:durableId="1836412853">
    <w:abstractNumId w:val="32"/>
  </w:num>
  <w:num w:numId="47" w16cid:durableId="1427311362">
    <w:abstractNumId w:val="18"/>
  </w:num>
  <w:num w:numId="48" w16cid:durableId="2086607913">
    <w:abstractNumId w:val="62"/>
  </w:num>
  <w:num w:numId="49" w16cid:durableId="358317978">
    <w:abstractNumId w:val="4"/>
  </w:num>
  <w:num w:numId="50" w16cid:durableId="1438408699">
    <w:abstractNumId w:val="3"/>
  </w:num>
  <w:num w:numId="51" w16cid:durableId="1117025383">
    <w:abstractNumId w:val="52"/>
  </w:num>
  <w:num w:numId="52" w16cid:durableId="1043406715">
    <w:abstractNumId w:val="40"/>
  </w:num>
  <w:num w:numId="53" w16cid:durableId="64693902">
    <w:abstractNumId w:val="60"/>
  </w:num>
  <w:num w:numId="54" w16cid:durableId="1533180521">
    <w:abstractNumId w:val="49"/>
  </w:num>
  <w:num w:numId="55" w16cid:durableId="603004207">
    <w:abstractNumId w:val="57"/>
  </w:num>
  <w:num w:numId="56" w16cid:durableId="2139567894">
    <w:abstractNumId w:val="42"/>
  </w:num>
  <w:num w:numId="57" w16cid:durableId="1403602549">
    <w:abstractNumId w:val="1"/>
  </w:num>
  <w:num w:numId="58" w16cid:durableId="179902403">
    <w:abstractNumId w:val="24"/>
  </w:num>
  <w:num w:numId="59" w16cid:durableId="427239882">
    <w:abstractNumId w:val="46"/>
  </w:num>
  <w:num w:numId="60" w16cid:durableId="2009748890">
    <w:abstractNumId w:val="53"/>
  </w:num>
  <w:num w:numId="61" w16cid:durableId="2107652549">
    <w:abstractNumId w:val="37"/>
  </w:num>
  <w:num w:numId="62" w16cid:durableId="1455516326">
    <w:abstractNumId w:val="0"/>
  </w:num>
  <w:num w:numId="63" w16cid:durableId="1258709633">
    <w:abstractNumId w:val="19"/>
  </w:num>
  <w:num w:numId="64" w16cid:durableId="701053705">
    <w:abstractNumId w:val="20"/>
  </w:num>
  <w:num w:numId="65" w16cid:durableId="2017032706">
    <w:abstractNumId w:val="64"/>
  </w:num>
  <w:num w:numId="66" w16cid:durableId="835264465">
    <w:abstractNumId w:val="58"/>
  </w:num>
  <w:num w:numId="67" w16cid:durableId="687803274">
    <w:abstractNumId w:val="34"/>
  </w:num>
  <w:num w:numId="68" w16cid:durableId="335235630">
    <w:abstractNumId w:val="38"/>
  </w:num>
  <w:num w:numId="69" w16cid:durableId="1421566894">
    <w:abstractNumId w:val="8"/>
  </w:num>
  <w:num w:numId="70" w16cid:durableId="68237968">
    <w:abstractNumId w:val="59"/>
  </w:num>
  <w:num w:numId="71" w16cid:durableId="407266074">
    <w:abstractNumId w:val="12"/>
  </w:num>
  <w:num w:numId="72" w16cid:durableId="1462922655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63"/>
    <w:rsid w:val="000A5BB0"/>
    <w:rsid w:val="000E1A25"/>
    <w:rsid w:val="001F127A"/>
    <w:rsid w:val="004F6823"/>
    <w:rsid w:val="008D3923"/>
    <w:rsid w:val="008F50F3"/>
    <w:rsid w:val="009C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6355"/>
  <w15:chartTrackingRefBased/>
  <w15:docId w15:val="{DF392388-2632-4661-A3A6-5F7F3301F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5BB0"/>
    <w:pPr>
      <w:widowControl w:val="0"/>
      <w:spacing w:line="560" w:lineRule="exact"/>
      <w:ind w:firstLineChars="200" w:firstLine="200"/>
      <w:jc w:val="both"/>
    </w:pPr>
    <w:rPr>
      <w:rFonts w:ascii="仿宋_GB2312" w:eastAsia="仿宋_GB2312" w:hAnsi="仿宋_GB2312" w:cs="仿宋_GB2312"/>
      <w:sz w:val="32"/>
      <w:szCs w:val="32"/>
    </w:rPr>
  </w:style>
  <w:style w:type="paragraph" w:styleId="1">
    <w:name w:val="heading 1"/>
    <w:basedOn w:val="a"/>
    <w:next w:val="a"/>
    <w:link w:val="10"/>
    <w:autoRedefine/>
    <w:uiPriority w:val="9"/>
    <w:qFormat/>
    <w:rsid w:val="000E1A25"/>
    <w:pPr>
      <w:keepNext/>
      <w:keepLines/>
      <w:numPr>
        <w:numId w:val="71"/>
      </w:numPr>
      <w:spacing w:before="480" w:after="80"/>
      <w:ind w:firstLineChars="0"/>
      <w:outlineLvl w:val="0"/>
    </w:pPr>
    <w:rPr>
      <w:rFonts w:ascii="楷体_GB2312" w:eastAsia="楷体_GB2312" w:hAnsi="楷体_GB2312" w:cs="楷体_GB2312"/>
      <w:b/>
      <w:bCs/>
      <w:color w:val="000000" w:themeColor="text1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F127A"/>
    <w:pPr>
      <w:keepNext/>
      <w:keepLines/>
      <w:numPr>
        <w:ilvl w:val="1"/>
        <w:numId w:val="71"/>
      </w:numPr>
      <w:spacing w:before="160" w:after="80"/>
      <w:ind w:firstLineChars="0"/>
      <w:outlineLvl w:val="1"/>
    </w:pPr>
    <w:rPr>
      <w:b/>
      <w:bCs/>
      <w:color w:val="000000" w:themeColor="text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E1A25"/>
    <w:pPr>
      <w:keepNext/>
      <w:keepLines/>
      <w:numPr>
        <w:ilvl w:val="2"/>
        <w:numId w:val="71"/>
      </w:numPr>
      <w:spacing w:before="160" w:after="80"/>
      <w:ind w:firstLineChars="0"/>
      <w:outlineLvl w:val="2"/>
    </w:pPr>
    <w:rPr>
      <w:b/>
      <w:bCs/>
      <w:color w:val="000000" w:themeColor="text1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E1A25"/>
    <w:pPr>
      <w:keepNext/>
      <w:keepLines/>
      <w:numPr>
        <w:ilvl w:val="3"/>
        <w:numId w:val="71"/>
      </w:numPr>
      <w:spacing w:before="80" w:after="40"/>
      <w:ind w:firstLineChars="0"/>
      <w:outlineLvl w:val="3"/>
    </w:pPr>
    <w:rPr>
      <w:rFonts w:cstheme="majorBidi"/>
      <w:b/>
      <w:b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5863"/>
    <w:pPr>
      <w:keepNext/>
      <w:keepLines/>
      <w:numPr>
        <w:ilvl w:val="4"/>
        <w:numId w:val="71"/>
      </w:numPr>
      <w:spacing w:before="80" w:after="40"/>
      <w:ind w:firstLineChars="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5863"/>
    <w:pPr>
      <w:keepNext/>
      <w:keepLines/>
      <w:numPr>
        <w:ilvl w:val="5"/>
        <w:numId w:val="71"/>
      </w:numPr>
      <w:spacing w:before="40" w:after="0"/>
      <w:ind w:firstLineChars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586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586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586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1A25"/>
    <w:rPr>
      <w:rFonts w:ascii="楷体_GB2312" w:eastAsia="楷体_GB2312" w:hAnsi="楷体_GB2312" w:cs="楷体_GB2312"/>
      <w:b/>
      <w:bCs/>
      <w:color w:val="000000" w:themeColor="text1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F127A"/>
    <w:rPr>
      <w:rFonts w:ascii="仿宋_GB2312" w:eastAsia="仿宋_GB2312" w:hAnsi="仿宋_GB2312" w:cs="仿宋_GB2312"/>
      <w:b/>
      <w:bCs/>
      <w:color w:val="000000" w:themeColor="text1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E1A25"/>
    <w:rPr>
      <w:rFonts w:ascii="仿宋_GB2312" w:eastAsia="仿宋_GB2312" w:hAnsi="仿宋_GB2312" w:cs="仿宋_GB2312"/>
      <w:b/>
      <w:bCs/>
      <w:color w:val="000000" w:themeColor="text1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E1A25"/>
    <w:rPr>
      <w:rFonts w:ascii="仿宋_GB2312" w:eastAsia="仿宋_GB2312" w:hAnsi="仿宋_GB2312" w:cstheme="majorBidi"/>
      <w:b/>
      <w:bCs/>
      <w:color w:val="000000" w:themeColor="text1"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9C586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C586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C586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C586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C586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C586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C5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58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C58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5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C58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C58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C586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C5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C586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C5863"/>
    <w:rPr>
      <w:b/>
      <w:bCs/>
      <w:smallCaps/>
      <w:color w:val="0F4761" w:themeColor="accent1" w:themeShade="BF"/>
      <w:spacing w:val="5"/>
    </w:rPr>
  </w:style>
  <w:style w:type="paragraph" w:customStyle="1" w:styleId="ae">
    <w:name w:val="表格"/>
    <w:basedOn w:val="a"/>
    <w:link w:val="af"/>
    <w:autoRedefine/>
    <w:qFormat/>
    <w:rsid w:val="001F127A"/>
    <w:pPr>
      <w:ind w:firstLineChars="0" w:firstLine="0"/>
    </w:pPr>
  </w:style>
  <w:style w:type="character" w:customStyle="1" w:styleId="af">
    <w:name w:val="表格 字符"/>
    <w:basedOn w:val="a0"/>
    <w:link w:val="ae"/>
    <w:rsid w:val="001F127A"/>
    <w:rPr>
      <w:rFonts w:ascii="仿宋_GB2312" w:eastAsia="仿宋_GB2312" w:hAnsi="仿宋_GB2312" w:cs="仿宋_GB231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15</Pages>
  <Words>968</Words>
  <Characters>5520</Characters>
  <Application>Microsoft Office Word</Application>
  <DocSecurity>0</DocSecurity>
  <Lines>46</Lines>
  <Paragraphs>12</Paragraphs>
  <ScaleCrop>false</ScaleCrop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</dc:creator>
  <cp:keywords/>
  <dc:description/>
  <cp:lastModifiedBy>James Du</cp:lastModifiedBy>
  <cp:revision>5</cp:revision>
  <dcterms:created xsi:type="dcterms:W3CDTF">2025-09-22T07:21:00Z</dcterms:created>
  <dcterms:modified xsi:type="dcterms:W3CDTF">2025-09-22T07:44:00Z</dcterms:modified>
</cp:coreProperties>
</file>