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Supplement to: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NBA Players With Lower Early Workload After Injury Have Fewer Subsequent Injury-Related Absences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Expanded methods, cohort audits, sensitivity analyses, and complete secondary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SUPPLEMENTARY METHODS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Longitudinal Episode Reconstruction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0"/>
          <w:iCs w:val="0"/>
          <w:rtl w:val="0"/>
        </w:rPr>
        <w:t xml:space="preserve">All player-game rows were ordered chronologically by player across the full four-season window. Consecutive injury-coded nonplayed scheduled games were linked into time-loss episodes even when the sequence crossed a season boundary. Meaningful return was the first subsequent appearance of at least 5 minutes. Cross-season status, baseline provenance, team changes, and persistence of the index injury descriptor were retained for sensitivity analysis. Calendar days to competitive return were not used as continuous biological-severity measures for cross-season injuries because offseason days may occur after medical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Initial Injury Descriptor and Subsequent Injury Classification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0"/>
          <w:iCs w:val="0"/>
          <w:rtl w:val="0"/>
        </w:rPr>
        <w:t xml:space="preserve">Index body part, laterality, diagnosis class, and region were taken from the first injury-report descriptor. A modal descriptor was retained during development but was not used in final recurrence definitions because acute diagnoses can evolve into rehabilitation labels. Subsequent events were classified using report-visible anatomy rather than clinical adjudication; thus exact recurrence is a proxy, not tissue-confirmed reinjury. Same-region and different-region different-body categories were exploratory approximations to anatomical proximity.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Early Return Workload and Ramp Shape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0"/>
          <w:iCs w:val="0"/>
          <w:rtl w:val="0"/>
        </w:rPr>
        <w:t xml:space="preserve">Schedule-aware Early Return Workload over N team games was 100/N times the sum of min(Mi/B,1), where B is the player-specific preinjury minutes baseline and Mi is minutes in scheduled team game i. Planned rest/recovery games were assigned 0 minutes. Ramp Deviation was 100 times the root-mean-square deviation between the observed game-level relative workload sequence and the straight line connecting the first and final workloads. Additional shape features captured monotonicity, backtracking, excess variation, curvature/jerk, jump concentration, and timing/distribution of increases. Shape models were estimated both alone and after total workload adjustment.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Planned Rest and Schedule Analyses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0"/>
          <w:iCs w:val="0"/>
          <w:rtl w:val="0"/>
        </w:rPr>
        <w:t xml:space="preserve">Explicit planned recovery/management sits were identified from report terms including management, recovery, reconditioning, return to competition, maintenance, rehabilitation, conditioning, or rest. A broader probable B2B management proxy required a same-body injury-coded B2B sit bracketed by played games. Overlap weighting used measured player role, injury severity/history, schedule, and context variables. Generic B2B timing was examined with within-episode case-crossover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Statistical Hierarchy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0"/>
          <w:iCs w:val="0"/>
          <w:rtl w:val="0"/>
        </w:rPr>
        <w:t xml:space="preserve">The central inferential analysis was the three-played-game cumulative workload-deficit model in the corrected longitudinal cohort. Schedule-aware workload, role thresholds, starter status, exact injury subgroups, ramp shape, return context, transition pairs, prediction, and performance were secondary or exploratory. Benjamini-Hochberg FDR correction was applied within logical analysis families. No threshold, window, or shape formula was promoted because it yielded the smallest P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SUPPLEMENTARY TABLES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S1. Longitudinal cohort construction and analysis denominators.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Cohort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Definition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Original validated injury-related time-loss episodes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2,589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Source injury 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Longitudinal injury episodes with meaningful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2,261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Return &gt;=5 min; season boundary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Primary-eligible longitudinal RTP episodes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1,838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&gt;=5 preinjury played games; baseline &gt;=10 MPG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Primary-eligible cross-season 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Index injury and meaningful return in different seasons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Primary episodes using prior-season baseline game(s)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Allows early-season baseline reconstruction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Three-played-game landmark with complete 30-day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1,230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Primary analysis cohort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Unique players in primary landmark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Players may contribute multiple episodes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30-day unplanned injury-related absences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Primary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Five-scheduled-game cohort with complete 30-day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1,092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Secondary schedule-aware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Meaningful RTP is the first appearance of at least 5 minutes. The longitudinal correction is treated as a data-structure correction rather than an outcome-driven sensitivity because season truncation systematically prevents cross-season linkage.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S2. Alternative baseline-playing-time definitions show that apparent role heterogeneity is not stable across cut points.</w:t>
      </w:r>
      <w:r w:rsidDel="00000000" w:rsidR="00000000" w:rsidRPr="00000000">
        <w:rPr>
          <w:rtl w:val="0"/>
        </w:rPr>
      </w:r>
    </w:p>
    <w:tbl>
      <w:tblPr>
        <w:tblStyle w:val="Table2"/>
        <w:tblW w:w="102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1"/>
        <w:gridCol w:w="1461"/>
        <w:gridCol w:w="1461"/>
        <w:gridCol w:w="1461"/>
        <w:gridCol w:w="1461"/>
        <w:gridCol w:w="1461"/>
        <w:gridCol w:w="1461"/>
        <w:tblGridChange w:id="0">
          <w:tblGrid>
            <w:gridCol w:w="1461"/>
            <w:gridCol w:w="1461"/>
            <w:gridCol w:w="1461"/>
            <w:gridCol w:w="1461"/>
            <w:gridCol w:w="1461"/>
            <w:gridCol w:w="1461"/>
            <w:gridCol w:w="1461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Definition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Stratum /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Effect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FDR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role_10-20-30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10-&lt;20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0.78 (0.58-1.05)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role_10-20-30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20-&lt;30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0.66 (0.49-0.88)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role_10-20-30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0.82 (0.59-1.13)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10-20-30 global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role_10-18-26-34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10-&lt;18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0.79 (0.54-1.16)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.309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role_10-18-26-34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18-&lt;26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0.63 (0.44-0.93)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role_10-18-26-34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26-&lt;34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0.73 (0.55-0.97)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role_10-18-26-34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1.23 (0.73-2.08)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10-18-26-34 global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role_quartiles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0.75 (0.55-1.01)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role_quartiles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0.60 (0.39-0.92)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role_quartiles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0.73 (0.53-1.00)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role_quartiles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1.03 (0.65-1.63)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.891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role_interactions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quartiles global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The main manuscript uses 10-&lt;20, 20-&lt;30, and &gt;=30 MPG for clinical readability. Alternative equal-width and quartile definitions are sensitivity analyses. Interaction tests, not subgroup P values, determine evidence of effect modification.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S3. Starter/bench status and return-from-bench analyses.</w:t>
      </w:r>
      <w:r w:rsidDel="00000000" w:rsidR="00000000" w:rsidRPr="00000000">
        <w:rPr>
          <w:rtl w:val="0"/>
        </w:rPr>
      </w:r>
    </w:p>
    <w:tbl>
      <w:tblPr>
        <w:tblStyle w:val="Table3"/>
        <w:tblW w:w="10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Effect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Workload x usual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0.90 (0.64-1.26)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.537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Usual 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0.80 (0.59-1.09)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Usual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0.73 (0.57-0.93)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Usual starter returned from 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0.77 (0.46-1.27)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Usual starter returned from bench +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1.01 (0.57-1.77)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.974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Starter information is unavailable for one source season. Returning a usual starter from the bench is interpreted as a descriptive conservative-management phenotype rather than an independently protective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S4. Injury-severity strata and fine clinical adjustment.</w:t>
      </w:r>
      <w:r w:rsidDel="00000000" w:rsidR="00000000" w:rsidRPr="00000000">
        <w:rPr>
          <w:rtl w:val="0"/>
        </w:rPr>
      </w:r>
    </w:p>
    <w:tbl>
      <w:tblPr>
        <w:tblStyle w:val="Table4"/>
        <w:tblW w:w="102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1"/>
        <w:gridCol w:w="1461"/>
        <w:gridCol w:w="1461"/>
        <w:gridCol w:w="1461"/>
        <w:gridCol w:w="1461"/>
        <w:gridCol w:w="1461"/>
        <w:gridCol w:w="1461"/>
        <w:tblGridChange w:id="0">
          <w:tblGrid>
            <w:gridCol w:w="1461"/>
            <w:gridCol w:w="1461"/>
            <w:gridCol w:w="1461"/>
            <w:gridCol w:w="1461"/>
            <w:gridCol w:w="1461"/>
            <w:gridCol w:w="1461"/>
            <w:gridCol w:w="1461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Effect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FDR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severity_gamesmiss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2-3 missed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0.70 (0.54-0.90)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severity_gamesmiss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4-7 missed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0.90 (0.68-1.20)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.495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severity_gamesmiss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8-15 missed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0.87 (0.59-1.29)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.495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.495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severity_gamesmiss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16+ missed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0.55 (0.30-1.01)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.139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severity_gamesmiss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Games-missed group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.495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clinical_fixed_effects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Fine body-part + diagnosis + games 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0.75 (0.64-0.88)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clinical_fixed_effects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Body/dx cells + games 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0.73 (0.63-0.86)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The body-part/diagnosis fixed-effect and cell models directly address confounding from comparing clinically dissimilar injuries.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S5. Cross-season and prior-season-baseline sensitivity analyses.</w:t>
      </w:r>
      <w:r w:rsidDel="00000000" w:rsidR="00000000" w:rsidRPr="00000000">
        <w:rPr>
          <w:rtl w:val="0"/>
        </w:rPr>
      </w:r>
    </w:p>
    <w:tbl>
      <w:tblPr>
        <w:tblStyle w:val="Table5"/>
        <w:tblW w:w="10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Effect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Played3 workload x cross-season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1.18 (0.78-1.81)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.434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5-game Early Return Workload × cross-season return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1.03 (0.80-1.31)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Baseline entirely in injury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0.84 (0.71-0.99)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Same-season return and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0.82 (0.68-0.98)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.030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Cross-season reconstruction broadens severe-injury coverage. Restricting to same-season returns and baselines preserves the primary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S6. Early Return Workload windows and ramp-shape analyses.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Effect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Early Return Workload-3 per +10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1.16 (1.08-1.26)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Early Return Workload-5 per +10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1.12 (1.02-1.22)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Early Return Workload-7 per +10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1.06 (0.97-1.16)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Early Return Workload-10 per +10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1.07 (0.97-1.17)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Net slope, +10 percentage-points/game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0.95 (0.78-1.16)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.598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Monotonic transitions, +25 percentage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0.90 (0.77-1.07)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Backtracking, +25% baseline-minutes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1.10 (0.97-1.26)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Excess variation, +25% baseline-minutes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1.04 (0.98-1.11)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Curvature, +25% baseline-minutes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1.03 (0.98-1.08)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Linear-fit RMSE, +10%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1.11 (0.94-1.32)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Endpoint-line RMSE, +10%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1.09 (0.95-1.24)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Jump concentration, +0.25 HHI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1.06 (0.91-1.23)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Graduality score, +25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0.96 (0.85-1.07)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Increase timing, +1 game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1.14 (0.97-1.34)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Shape: Shape composite, +1 SD smoother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0.86 (0.69-1.07)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Longer natural landmarks select progressively different survivor cohorts. Shape estimates are adjusted for total 5-game Early Return Workload; none supports a specific smooth-ramp prescription.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S7. Planned-rest overlap-weight balance.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Covariate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SMD before weighting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SMD after overlap weighting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age_return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baseline_minutes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games_missed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prior_injury_episodes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-0.002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recent_samebody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return_b2b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-0.245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-0.003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return_home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-0.175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-0.005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return_travel_km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cross_season_return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-0.069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-0.007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baseline_uses_prior_season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Absolute standardized mean differences near zero after weighting indicate excellent balance in measured numeric determinants of planned-rest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S8. Corrected return-context estimates.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Return-context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Effect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FDR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Return game at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0.74 (0.58-0.96)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Return game on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1.21 (0.86-1.68)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Second played RTP game at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0.92 (0.71-1.19)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.610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Third played RTP game at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0.97 (0.77-1.23)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.827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Second played RTP game on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1.28 (0.90-1.82)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Third played RTP game on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0.83 (0.61-1.12)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Return context is exploratory. The earlier B2B signal weakened after longitudinal reconstruction and no return-context estimate remains significant after family FDR correction.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S9. Recent-injury history and anatomical-proximity analyses.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Effect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FDR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Recent same-body &lt;=90d -&gt; Any subsequent injury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1.06 (0.73-1.53)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.759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Recent same-body &lt;=90d -&gt; Same-body recurrence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2.11 (1.31-3.40)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Recent same-body &lt;=90d -&gt; Exact recurrence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1.53 (0.68-3.46)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Each additional prior same-body episode &lt;=90d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1.76 (1.21-2.54)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Different-body injury in same anatomical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0.71 (0.54-0.94)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Different-body injury in different anatomical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0.81 (0.64-1.01)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Recent same-body history primarily stratifies recurrence risk. Same-region different-body injury is exploratory; no specific biomechanical relation can be inferred from public report anatomy.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S10. Player-cluster bootstrap summaries.</w:t>
      </w:r>
      <w:r w:rsidDel="00000000" w:rsidR="00000000" w:rsidRPr="00000000">
        <w:rPr>
          <w:rtl w:val="0"/>
        </w:rPr>
      </w:r>
    </w:p>
    <w:tbl>
      <w:tblPr>
        <w:tblStyle w:val="Table10"/>
        <w:tblW w:w="102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1"/>
        <w:gridCol w:w="1461"/>
        <w:gridCol w:w="1461"/>
        <w:gridCol w:w="1461"/>
        <w:gridCol w:w="1461"/>
        <w:gridCol w:w="1461"/>
        <w:gridCol w:w="1461"/>
        <w:tblGridChange w:id="0">
          <w:tblGrid>
            <w:gridCol w:w="1461"/>
            <w:gridCol w:w="1461"/>
            <w:gridCol w:w="1461"/>
            <w:gridCol w:w="1461"/>
            <w:gridCol w:w="1461"/>
            <w:gridCol w:w="1461"/>
            <w:gridCol w:w="1461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Median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2.5th 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97.5th 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prop_lt1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prop_gt1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Three-game workload deficit — any unplanned injury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0.753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0.639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0.889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100.0%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Three-game workload deficit — different-body second injury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0.735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0.604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0.855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100.0%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5-game Early Return Workload — any unplanned injury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1.119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1.023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1.241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0.5%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99.5%</w:t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5-game Early Return Workload — different-body second injury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1.122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1.016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1.263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1.4%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98.6%</w: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Bootstrap replicates resampled players rather than episodes to preserve within-player clustering.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S11. Prediction validation demonstrates modest discrimination.</w:t>
      </w:r>
      <w:r w:rsidDel="00000000" w:rsidR="00000000" w:rsidRPr="00000000">
        <w:rPr>
          <w:rtl w:val="0"/>
        </w:rPr>
      </w:r>
    </w:p>
    <w:tbl>
      <w:tblPr>
        <w:tblStyle w:val="Table1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brier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grouped_5fold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5-game Early Return Workload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0.554350471822912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0.235765213059423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grouped_5fold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clinical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0.5743998588940823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0.2388468619084904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grouped_5fold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clinical plus 5-game Early Return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0.582100714348708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0.2382270609371707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grouped_5fold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clinical plus uncapped 5-game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0.5832507275773878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0.2375699557354724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temporal_2024-25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5-game Early Return Workload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0.5327153110047846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0.2468438661038474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temporal_2024-25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clinical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0.5843301435406699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0.2450009935005518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temporal_2024-25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clinical plus 5-game Early Return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0.5846291866028708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0.246421824102983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temporal_2024-25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clinical plus uncapped 5-game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0.5945574162679427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0.2446842929759076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Prediction is presented to distinguish population-level association from individual injury forecasting. Player grouping prevents the same player from appearing in both training and validation folds.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S12. Later performance sensitivity models.</w:t>
      </w:r>
      <w:r w:rsidDel="00000000" w:rsidR="00000000" w:rsidRPr="00000000">
        <w:rPr>
          <w:rtl w:val="0"/>
        </w:rPr>
      </w:r>
    </w:p>
    <w:tbl>
      <w:tblPr>
        <w:tblStyle w:val="Table1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Estimate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FDR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points36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5-game Early Return Workload 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0.003 (-0.186 to 0.191)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.979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points36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Played3 deficit +0.5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-0.333 (-0.691 to 0.024)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points36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&lt;80% played3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-0.966 (-1.619 to -0.312)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assists36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5-game Early Return Workload 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0.049 (-0.013 to 0.110)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assists36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Played3 deficit +0.5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-0.126 (-0.235 to -0.016)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assists36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&lt;80% played3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-0.253 (-0.454 to -0.052)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rebounds36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5-game Early Return Workload 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-0.069 (-0.154 to 0.016)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rebounds36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Played3 deficit +0.5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0.075 (-0.079 to 0.229)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rebounds36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&lt;80% played3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0.100 (-0.196 to 0.396)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5-game Early Return Workload 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0.002 (-0.002 to 0.007)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.337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Played3 deficit +0.5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-0.008 (-0.017 to 0.000)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&lt;80% played3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-0.012 (-0.030 to 0.005)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plusminus36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5-game Early Return Workload 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-0.038 (-0.413 to 0.336)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.891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plusminus36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Played3 deficit +0.5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0.382 (-0.377 to 1.141)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.405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plusminus36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&lt;80% played3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0.807 (-0.598 to 2.213)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.390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5-game Early Return Workload 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1.597 (1.348 to 1.845)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Played3 deficit +0.5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-3.081 (-3.490 to -2.673)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&lt;80% played3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-5.133 (-5.943 to -4.323)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Performance was measured in played games 6-10 among episodes injury-free through 10 played games and adjusted for corresponding preinjury performance. This is a conditional survivor analysis, not a causal risk-benefit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rPr/>
      </w:pPr>
      <w:r w:rsidDel="00000000" w:rsidR="00000000" w:rsidRPr="00000000">
        <w:rPr>
          <w:rtl w:val="0"/>
        </w:rPr>
        <w:t xml:space="preserve">SUPPLEMENTARY FIGURES</w:t>
      </w:r>
    </w:p>
    <w:p w:rsidR="00000000" w:rsidDel="00000000" w:rsidP="00000000" w:rsidRDefault="00000000" w:rsidRPr="00000000" w14:paraId="0000029E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3901378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01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S1. Calendar-time views of representative return trajectories. Calendar spacing emphasizes the difference between elapsed time and scheduled-game sequence; offseason time is descriptive and not biological healing duration.</w:t>
      </w:r>
    </w:p>
    <w:p w:rsidR="00000000" w:rsidDel="00000000" w:rsidP="00000000" w:rsidRDefault="00000000" w:rsidRPr="00000000" w14:paraId="000002A0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3888248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88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S2. Player-role conclusions do not depend on a single set of minutes cut points. Alternative 10-18/18-26/26-34/34+ groups, empirical quartiles, and interaction tests are shown.</w:t>
      </w:r>
    </w:p>
    <w:p w:rsidR="00000000" w:rsidDel="00000000" w:rsidP="00000000" w:rsidRDefault="00000000" w:rsidRPr="00000000" w14:paraId="000002A2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3180017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80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S3. Starter/bench status describes management context but does not establish a distinct workload effect. Strip plots show individual return workloads and starters who initially returned from the bench.</w:t>
      </w:r>
    </w:p>
    <w:p w:rsidR="00000000" w:rsidDel="00000000" w:rsidP="00000000" w:rsidRDefault="00000000" w:rsidRPr="00000000" w14:paraId="000002A4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4406901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406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S4. Workload restoration varies within common diagnoses, and cross-season reconstruction expands the long-injury tail. The body-part x diagnosis heatmap shows the composition of the primary cohort.</w:t>
      </w:r>
    </w:p>
    <w:p w:rsidR="00000000" w:rsidDel="00000000" w:rsidP="00000000" w:rsidRDefault="00000000" w:rsidRPr="00000000" w14:paraId="000002A6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3848887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48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S5. Alternative Early Return Workload windows and common-cohort comparisons do not support a unique optimized window or threshold. Longer landmarks increasingly condition on remaining injury-free.</w:t>
      </w:r>
    </w:p>
    <w:p w:rsidR="00000000" w:rsidDel="00000000" w:rsidP="00000000" w:rsidRDefault="00000000" w:rsidRPr="00000000" w14:paraId="000002A8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2832203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832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S6. Individual Early Return Workload distributions by baseline role, games missed, and cross-season status. Interaction tests are null despite clear differences in how teams manage these groups.</w:t>
      </w:r>
    </w:p>
    <w:p w:rsidR="00000000" w:rsidDel="00000000" w:rsidP="00000000" w:rsidRDefault="00000000" w:rsidRPr="00000000" w14:paraId="000002AA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4259689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59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S7. Planned-rest sensitivity analysis. Overlap weighting balances measured determinants of planned-rest selection; bootstrap risk differences remain imprecise and do not show clear independent protection.</w:t>
      </w:r>
    </w:p>
    <w:p w:rsidR="00000000" w:rsidDel="00000000" w:rsidP="00000000" w:rsidRDefault="00000000" w:rsidRPr="00000000" w14:paraId="000002AC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4475365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475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S8. B2B and return-game context are secondary. Generic B2B timing is null in case-crossover analysis, and corrected return-context estimates do not survive family multiplicity correction.</w:t>
      </w:r>
    </w:p>
    <w:p w:rsidR="00000000" w:rsidDel="00000000" w:rsidP="00000000" w:rsidRDefault="00000000" w:rsidRPr="00000000" w14:paraId="000002AE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4595881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95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S9. Secondary-injury transition screen. No specific body-part transition survives FDR correction and lower-extremity laterality is approximately balanced, arguing against a demonstrated specific compensation chain.</w:t>
      </w:r>
    </w:p>
    <w:p w:rsidR="00000000" w:rsidDel="00000000" w:rsidP="00000000" w:rsidRDefault="00000000" w:rsidRPr="00000000" w14:paraId="000002B0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4276002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76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S10. Influence, unmeasured-confounding sensitivity, and falsification analyses. The primary estimate is stable across team/season exclusions, while most falsification outcomes are null.</w:t>
      </w:r>
    </w:p>
    <w:p w:rsidR="00000000" w:rsidDel="00000000" w:rsidP="00000000" w:rsidRDefault="00000000" w:rsidRPr="00000000" w14:paraId="000002B2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3782538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8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S11. Prediction and calibration. Early Return Workload adds only modest discrimination beyond clinical variables in player-grouped and temporal validation.</w:t>
      </w:r>
    </w:p>
    <w:p w:rsidR="00000000" w:rsidDel="00000000" w:rsidP="00000000" w:rsidRDefault="00000000" w:rsidRPr="00000000" w14:paraId="000002B4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3935423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5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S12. Individual later performance changes across Early Return Workload quartiles. Strip plots display episode-level variation rather than hiding it inside summary boxes.</w:t>
      </w:r>
    </w:p>
    <w:p w:rsidR="00000000" w:rsidDel="00000000" w:rsidP="00000000" w:rsidRDefault="00000000" w:rsidRPr="00000000" w14:paraId="000002B6">
      <w:pPr>
        <w:pageBreakBefore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4062143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62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Figure S13. Total workload and ramp shape are distinct constructs. Identical average workloads can have very different trajectories; Ramp Deviation and other shape metrics do not independently predict injury after total Early Return Workload is controlled, and adding shape does not improve out-of-player prediction.</w:t>
      </w:r>
    </w:p>
    <w:p w:rsidR="00000000" w:rsidDel="00000000" w:rsidP="00000000" w:rsidRDefault="00000000" w:rsidRPr="00000000" w14:paraId="000002B8">
      <w:pPr>
        <w:pStyle w:val="Heading1"/>
        <w:rPr/>
      </w:pPr>
      <w:r w:rsidDel="00000000" w:rsidR="00000000" w:rsidRPr="00000000">
        <w:rPr>
          <w:rtl w:val="0"/>
        </w:rPr>
        <w:t xml:space="preserve">SUPPLEMENTARY REFERENCES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i w:val="0"/>
          <w:iCs w:val="0"/>
          <w:rtl w:val="0"/>
        </w:rPr>
        <w:t xml:space="preserve">References are numbered according to the main manuscript.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907" w:top="907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Supplement: Early postinjury workload restoration in the NBA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160" w:line="240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FigureCaption" w:customStyle="1">
    <w:name w:val="Figure Caption"/>
    <w:pPr>
      <w:spacing w:after="140" w:before="60"/>
    </w:pPr>
    <w:rPr>
      <w:rFonts w:ascii="Arial" w:hAnsi="Arial"/>
      <w:sz w:val="16"/>
    </w:rPr>
  </w:style>
  <w:style w:type="paragraph" w:styleId="TableNote" w:customStyle="1">
    <w:name w:val="Table Note"/>
    <w:pPr>
      <w:spacing w:after="100"/>
    </w:pPr>
    <w:rPr>
      <w:rFonts w:ascii="Arial" w:hAnsi="Arial"/>
      <w:i w:val="1"/>
      <w:sz w:val="15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wZZHPQDLXxfVAIWfemchK2YJfw==">CgMxLjA4AHIhMVpIajdIWlZoWDdWUzdFRlNrZTlPRjUxc2ozT1F2TzB1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