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Arial" w:cs="Arial" w:eastAsia="Arial" w:hAnsi="Arial"/>
          <w:sz w:val="22"/>
          <w:szCs w:val="22"/>
        </w:rPr>
        <w:t xml:space="preserve"/>
      </w:r>
    </w:p>
    <w:p>
      <w:pPr>
        <w:spacing w:after="80"/>
        <w:jc w:val="center"/>
      </w:pPr>
      <w:r>
        <w:rPr>
          <w:rFonts w:ascii="Arial" w:cs="Arial" w:eastAsia="Arial" w:hAnsi="Arial"/>
          <w:b/>
          <w:bCs/>
          <w:color w:val="5B5FDE"/>
          <w:sz w:val="48"/>
          <w:szCs w:val="48"/>
        </w:rPr>
        <w:t xml:space="preserve">HARRY LABS DASHBOARD</w:t>
      </w:r>
    </w:p>
    <w:p>
      <w:pPr>
        <w:spacing w:after="80"/>
        <w:jc w:val="center"/>
      </w:pPr>
      <w:r>
        <w:rPr>
          <w:rFonts w:ascii="Arial" w:cs="Arial" w:eastAsia="Arial" w:hAnsi="Arial"/>
          <w:b/>
          <w:bCs/>
          <w:color w:val="111827"/>
          <w:sz w:val="56"/>
          <w:szCs w:val="56"/>
        </w:rPr>
        <w:t xml:space="preserve">CFO Financial Hub</w:t>
      </w:r>
    </w:p>
    <w:p>
      <w:pPr>
        <w:spacing w:after="400"/>
        <w:jc w:val="center"/>
      </w:pPr>
      <w:r>
        <w:rPr>
          <w:rFonts w:ascii="Arial" w:cs="Arial" w:eastAsia="Arial" w:hAnsi="Arial"/>
          <w:color w:val="64748B"/>
          <w:sz w:val="28"/>
          <w:szCs w:val="28"/>
        </w:rPr>
        <w:t xml:space="preserve">Standard Operating Procedure</w:t>
      </w:r>
    </w:p>
    <w:p>
      <w:pPr>
        <w:pBdr>
          <w:bottom w:val="single" w:color="5B5FDE" w:sz="12"/>
        </w:pBdr>
        <w:spacing w:after="400"/>
      </w:pPr>
      <w:r>
        <w:rPr>
          <w:rFonts w:ascii="Arial" w:cs="Arial" w:eastAsia="Arial" w:hAnsi="Arial"/>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shd w:fill="FFFFFF" w:val="clear"/>
          </w:tcPr>
          <w:p>
            <w:pPr>
              <w:jc w:val="right"/>
            </w:pPr>
            <w:r>
              <w:rPr>
                <w:rFonts w:ascii="Arial" w:cs="Arial" w:eastAsia="Arial" w:hAnsi="Arial"/>
                <w:b/>
                <w:bCs/>
                <w:color w:val="64748B"/>
                <w:sz w:val="20"/>
                <w:szCs w:val="20"/>
              </w:rPr>
              <w:t xml:space="preserve">Prepared for:</w:t>
            </w:r>
          </w:p>
        </w:tc>
        <w:tc>
          <w:tcPr>
            <w:tcW w:type="dxa" w:w="3600"/>
            <w:tcBorders>
              <w:top w:val="none" w:color="FFFFFF" w:sz="0"/>
              <w:left w:val="none" w:color="FFFFFF" w:sz="0"/>
              <w:bottom w:val="none" w:color="FFFFFF" w:sz="0"/>
              <w:right w:val="none" w:color="FFFFFF" w:sz="0"/>
            </w:tcBorders>
            <w:shd w:fill="FFFFFF" w:val="clear"/>
          </w:tcPr>
          <w:p>
            <w:r>
              <w:rPr>
                <w:rFonts w:ascii="Arial" w:cs="Arial" w:eastAsia="Arial" w:hAnsi="Arial"/>
                <w:sz w:val="20"/>
                <w:szCs w:val="20"/>
              </w:rPr>
              <w:t xml:space="preserve">Harrison Aughey — Owner, Thinkle.com.au</w:t>
            </w:r>
          </w:p>
        </w:tc>
      </w:tr>
      <w:tr>
        <w:tc>
          <w:tcPr>
            <w:tcW w:type="dxa" w:w="2400"/>
            <w:tcBorders>
              <w:top w:val="none" w:color="FFFFFF" w:sz="0"/>
              <w:left w:val="none" w:color="FFFFFF" w:sz="0"/>
              <w:bottom w:val="none" w:color="FFFFFF" w:sz="0"/>
              <w:right w:val="none" w:color="FFFFFF" w:sz="0"/>
            </w:tcBorders>
            <w:shd w:fill="FFFFFF" w:val="clear"/>
          </w:tcPr>
          <w:p>
            <w:pPr>
              <w:jc w:val="right"/>
            </w:pPr>
            <w:r>
              <w:rPr>
                <w:rFonts w:ascii="Arial" w:cs="Arial" w:eastAsia="Arial" w:hAnsi="Arial"/>
                <w:b/>
                <w:bCs/>
                <w:color w:val="64748B"/>
                <w:sz w:val="20"/>
                <w:szCs w:val="20"/>
              </w:rPr>
              <w:t xml:space="preserve">Document type:</w:t>
            </w:r>
          </w:p>
        </w:tc>
        <w:tc>
          <w:tcPr>
            <w:tcW w:type="dxa" w:w="3600"/>
            <w:tcBorders>
              <w:top w:val="none" w:color="FFFFFF" w:sz="0"/>
              <w:left w:val="none" w:color="FFFFFF" w:sz="0"/>
              <w:bottom w:val="none" w:color="FFFFFF" w:sz="0"/>
              <w:right w:val="none" w:color="FFFFFF" w:sz="0"/>
            </w:tcBorders>
            <w:shd w:fill="FFFFFF" w:val="clear"/>
          </w:tcPr>
          <w:p>
            <w:r>
              <w:rPr>
                <w:rFonts w:ascii="Arial" w:cs="Arial" w:eastAsia="Arial" w:hAnsi="Arial"/>
                <w:sz w:val="20"/>
                <w:szCs w:val="20"/>
              </w:rPr>
              <w:t xml:space="preserve">Standard Operating Procedure (SOP)</w:t>
            </w:r>
          </w:p>
        </w:tc>
      </w:tr>
      <w:tr>
        <w:tc>
          <w:tcPr>
            <w:tcW w:type="dxa" w:w="2400"/>
            <w:tcBorders>
              <w:top w:val="none" w:color="FFFFFF" w:sz="0"/>
              <w:left w:val="none" w:color="FFFFFF" w:sz="0"/>
              <w:bottom w:val="none" w:color="FFFFFF" w:sz="0"/>
              <w:right w:val="none" w:color="FFFFFF" w:sz="0"/>
            </w:tcBorders>
            <w:shd w:fill="FFFFFF" w:val="clear"/>
          </w:tcPr>
          <w:p>
            <w:pPr>
              <w:jc w:val="right"/>
            </w:pPr>
            <w:r>
              <w:rPr>
                <w:rFonts w:ascii="Arial" w:cs="Arial" w:eastAsia="Arial" w:hAnsi="Arial"/>
                <w:b/>
                <w:bCs/>
                <w:color w:val="64748B"/>
                <w:sz w:val="20"/>
                <w:szCs w:val="20"/>
              </w:rPr>
              <w:t xml:space="preserve">Dashboard URL:</w:t>
            </w:r>
          </w:p>
        </w:tc>
        <w:tc>
          <w:tcPr>
            <w:tcW w:type="dxa" w:w="3600"/>
            <w:tcBorders>
              <w:top w:val="none" w:color="FFFFFF" w:sz="0"/>
              <w:left w:val="none" w:color="FFFFFF" w:sz="0"/>
              <w:bottom w:val="none" w:color="FFFFFF" w:sz="0"/>
              <w:right w:val="none" w:color="FFFFFF" w:sz="0"/>
            </w:tcBorders>
            <w:shd w:fill="FFFFFF" w:val="clear"/>
          </w:tcPr>
          <w:p>
            <w:hyperlink w:history="1" r:id="rIdifat-powgik_speeb5zsd">
              <w:r>
                <w:rPr>
                  <w:rFonts w:ascii="Arial" w:cs="Arial" w:eastAsia="Arial" w:hAnsi="Arial"/>
                  <w:color w:val="5B5FDE"/>
                  <w:sz w:val="20"/>
                  <w:szCs w:val="20"/>
                  <w:u w:val="single"/>
                </w:rPr>
                <w:t xml:space="preserve">harry-labs.vercel.app/cfo</w:t>
              </w:r>
            </w:hyperlink>
          </w:p>
        </w:tc>
      </w:tr>
      <w:tr>
        <w:tc>
          <w:tcPr>
            <w:tcW w:type="dxa" w:w="2400"/>
            <w:tcBorders>
              <w:top w:val="none" w:color="FFFFFF" w:sz="0"/>
              <w:left w:val="none" w:color="FFFFFF" w:sz="0"/>
              <w:bottom w:val="none" w:color="FFFFFF" w:sz="0"/>
              <w:right w:val="none" w:color="FFFFFF" w:sz="0"/>
            </w:tcBorders>
            <w:shd w:fill="FFFFFF" w:val="clear"/>
          </w:tcPr>
          <w:p>
            <w:pPr>
              <w:jc w:val="right"/>
            </w:pPr>
            <w:r>
              <w:rPr>
                <w:rFonts w:ascii="Arial" w:cs="Arial" w:eastAsia="Arial" w:hAnsi="Arial"/>
                <w:b/>
                <w:bCs/>
                <w:color w:val="64748B"/>
                <w:sz w:val="20"/>
                <w:szCs w:val="20"/>
              </w:rPr>
              <w:t xml:space="preserve">Version:</w:t>
            </w:r>
          </w:p>
        </w:tc>
        <w:tc>
          <w:tcPr>
            <w:tcW w:type="dxa" w:w="3600"/>
            <w:tcBorders>
              <w:top w:val="none" w:color="FFFFFF" w:sz="0"/>
              <w:left w:val="none" w:color="FFFFFF" w:sz="0"/>
              <w:bottom w:val="none" w:color="FFFFFF" w:sz="0"/>
              <w:right w:val="none" w:color="FFFFFF" w:sz="0"/>
            </w:tcBorders>
            <w:shd w:fill="FFFFFF" w:val="clear"/>
          </w:tcPr>
          <w:p>
            <w:r>
              <w:rPr>
                <w:rFonts w:ascii="Arial" w:cs="Arial" w:eastAsia="Arial" w:hAnsi="Arial"/>
                <w:sz w:val="20"/>
                <w:szCs w:val="20"/>
              </w:rPr>
              <w:t xml:space="preserve">1.0 — June 2026</w:t>
            </w:r>
          </w:p>
        </w:tc>
      </w:tr>
    </w:tbl>
    <w:p>
      <w:pPr>
        <w:spacing w:after="6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5FDE" w:sz="6"/>
              <w:left w:val="single" w:color="5B5FDE" w:sz="6"/>
              <w:bottom w:val="single" w:color="5B5FDE" w:sz="6"/>
              <w:right w:val="single" w:color="5B5FDE" w:sz="6"/>
            </w:tcBorders>
            <w:shd w:fill="ECEEFF" w:val="clear"/>
            <w:tcMar>
              <w:top w:type="dxa" w:w="160"/>
              <w:left w:type="dxa" w:w="240"/>
              <w:bottom w:type="dxa" w:w="160"/>
              <w:right w:type="dxa" w:w="240"/>
            </w:tcMar>
          </w:tcPr>
          <w:p>
            <w:pPr>
              <w:spacing w:after="80"/>
              <w:jc w:val="center"/>
            </w:pPr>
            <w:r>
              <w:rPr>
                <w:rFonts w:ascii="Arial" w:cs="Arial" w:eastAsia="Arial" w:hAnsi="Arial"/>
                <w:b/>
                <w:bCs/>
                <w:color w:val="5B5FDE"/>
                <w:sz w:val="24"/>
                <w:szCs w:val="24"/>
              </w:rPr>
              <w:t xml:space="preserve">Purpose of this Document</w:t>
            </w:r>
          </w:p>
          <w:p>
            <w:pPr>
              <w:spacing w:after="0"/>
              <w:jc w:val="center"/>
            </w:pPr>
            <w:r>
              <w:rPr>
                <w:rFonts w:ascii="Arial" w:cs="Arial" w:eastAsia="Arial" w:hAnsi="Arial"/>
                <w:color w:val="334155"/>
                <w:sz w:val="20"/>
                <w:szCs w:val="20"/>
              </w:rPr>
              <w:t xml:space="preserve">This SOP explains what the CFO Financial Hub is, where all data comes from, what each metric means, how to use every tab, and what inputs you need to supply manually. After reading this document you will be able to open the dashboard, understand every number on screen, and act on the insights with confidence.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5FDE" w:val="clear"/>
            <w:tcMar>
              <w:top w:type="dxa" w:w="120"/>
              <w:left w:type="dxa" w:w="200"/>
              <w:bottom w:type="dxa" w:w="120"/>
              <w:right w:type="dxa" w:w="200"/>
            </w:tcMar>
          </w:tcPr>
          <w:p>
            <w:r>
              <w:rPr>
                <w:rFonts w:ascii="Arial" w:cs="Arial" w:eastAsia="Arial" w:hAnsi="Arial"/>
                <w:b/>
                <w:bCs/>
                <w:color w:val="FFFFFF"/>
                <w:sz w:val="28"/>
                <w:szCs w:val="28"/>
              </w:rPr>
              <w:t xml:space="preserve">1  SECTION 1 — What is the CFO Financial Hub?</w:t>
            </w:r>
          </w:p>
        </w:tc>
      </w:tr>
    </w:tbl>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The CFO Financial Hub is a real-time financial command centre built directly into your Harry Labs ecommerce dashboard. It gives you, as the business owner, the same high-level financial visibility that a Chief Financial Officer (CFO) would expect — without needing to open a spreadsheet, export a report, or wait for your accountant.</w:t>
      </w:r>
    </w:p>
    <w:p>
      <w:pPr>
        <w:spacing w:after="120"/>
      </w:pPr>
      <w:r>
        <w:rPr>
          <w:rFonts w:ascii="Arial" w:cs="Arial" w:eastAsia="Arial" w:hAnsi="Arial"/>
          <w:sz w:val="22"/>
          <w:szCs w:val="22"/>
        </w:rPr>
        <w:t xml:space="preserve">It pulls live data from three sources automatically, combines them with a small number of manual inputs you provide once, and presents everything across six focused tabs that cover every dimension of your ecommerce finances.</w:t>
      </w:r>
    </w:p>
    <w:p>
      <w:pPr>
        <w:spacing w:after="80"/>
      </w:pPr>
      <w:r>
        <w:rPr>
          <w:rFonts w:ascii="Arial" w:cs="Arial" w:eastAsia="Arial" w:hAnsi="Arial"/>
          <w:sz w:val="22"/>
          <w:szCs w:val="22"/>
        </w:rPr>
        <w:t xml:space="preserve"/>
      </w:r>
    </w:p>
    <w:p>
      <w:pPr>
        <w:pStyle w:val="Heading2"/>
        <w:spacing w:after="120" w:before="360"/>
      </w:pPr>
      <w:r>
        <w:rPr>
          <w:rFonts w:ascii="Arial" w:cs="Arial" w:eastAsia="Arial" w:hAnsi="Arial"/>
          <w:b/>
          <w:bCs/>
          <w:color w:val="334155"/>
          <w:sz w:val="28"/>
          <w:szCs w:val="28"/>
        </w:rPr>
        <w:t xml:space="preserve">1.1  Why it exists</w:t>
      </w:r>
    </w:p>
    <w:p>
      <w:pPr>
        <w:spacing w:after="120"/>
      </w:pPr>
      <w:r>
        <w:rPr>
          <w:rFonts w:ascii="Arial" w:cs="Arial" w:eastAsia="Arial" w:hAnsi="Arial"/>
          <w:sz w:val="22"/>
          <w:szCs w:val="22"/>
        </w:rPr>
        <w:t xml:space="preserve">Most ecommerce operators make financial decisions based on incomplete information — Shopify revenue is in one place, ad spend is in another, and profit is never truly known until the end of the month. The CFO Hub solves this by bringing everything together in one view, updated every five minutes.</w:t>
      </w:r>
    </w:p>
    <w:p>
      <w:pPr>
        <w:spacing w:after="80"/>
      </w:pPr>
      <w:r>
        <w:rPr>
          <w:rFonts w:ascii="Arial" w:cs="Arial" w:eastAsia="Arial" w:hAnsi="Arial"/>
          <w:sz w:val="22"/>
          <w:szCs w:val="22"/>
        </w:rPr>
        <w:t xml:space="preserve"/>
      </w:r>
    </w:p>
    <w:p>
      <w:pPr>
        <w:pStyle w:val="Heading2"/>
        <w:spacing w:after="120" w:before="360"/>
      </w:pPr>
      <w:r>
        <w:rPr>
          <w:rFonts w:ascii="Arial" w:cs="Arial" w:eastAsia="Arial" w:hAnsi="Arial"/>
          <w:b/>
          <w:bCs/>
          <w:color w:val="334155"/>
          <w:sz w:val="28"/>
          <w:szCs w:val="28"/>
        </w:rPr>
        <w:t xml:space="preserve">1.2  The six tabs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5B5FDE" w:sz="4"/>
              <w:left w:val="single" w:color="5B5FDE" w:sz="4"/>
              <w:bottom w:val="single" w:color="5B5FDE" w:sz="4"/>
              <w:right w:val="single" w:color="5B5FDE" w:sz="4"/>
            </w:tcBorders>
            <w:shd w:fill="5B5FDE" w:val="clear"/>
            <w:tcMar>
              <w:top w:type="dxa" w:w="100"/>
              <w:left w:type="dxa" w:w="120"/>
              <w:bottom w:type="dxa" w:w="100"/>
              <w:right w:type="dxa" w:w="120"/>
            </w:tcMar>
          </w:tcPr>
          <w:p>
            <w:r>
              <w:rPr>
                <w:rFonts w:ascii="Arial" w:cs="Arial" w:eastAsia="Arial" w:hAnsi="Arial"/>
                <w:b/>
                <w:bCs/>
                <w:color w:val="FFFFFF"/>
                <w:sz w:val="20"/>
                <w:szCs w:val="20"/>
              </w:rPr>
              <w:t xml:space="preserve">Tab</w:t>
            </w:r>
          </w:p>
        </w:tc>
        <w:tc>
          <w:tcPr>
            <w:tcW w:type="dxa" w:w="3000"/>
            <w:tcBorders>
              <w:top w:val="single" w:color="5B5FDE" w:sz="4"/>
              <w:left w:val="single" w:color="5B5FDE" w:sz="4"/>
              <w:bottom w:val="single" w:color="5B5FDE" w:sz="4"/>
              <w:right w:val="single" w:color="5B5FDE" w:sz="4"/>
            </w:tcBorders>
            <w:shd w:fill="5B5FDE" w:val="clear"/>
            <w:tcMar>
              <w:top w:type="dxa" w:w="100"/>
              <w:left w:type="dxa" w:w="120"/>
              <w:bottom w:type="dxa" w:w="100"/>
              <w:right w:type="dxa" w:w="120"/>
            </w:tcMar>
          </w:tcPr>
          <w:p>
            <w:r>
              <w:rPr>
                <w:rFonts w:ascii="Arial" w:cs="Arial" w:eastAsia="Arial" w:hAnsi="Arial"/>
                <w:b/>
                <w:bCs/>
                <w:color w:val="FFFFFF"/>
                <w:sz w:val="20"/>
                <w:szCs w:val="20"/>
              </w:rPr>
              <w:t xml:space="preserve">Title</w:t>
            </w:r>
          </w:p>
        </w:tc>
        <w:tc>
          <w:tcPr>
            <w:tcW w:type="dxa" w:w="4560"/>
            <w:tcBorders>
              <w:top w:val="single" w:color="5B5FDE" w:sz="4"/>
              <w:left w:val="single" w:color="5B5FDE" w:sz="4"/>
              <w:bottom w:val="single" w:color="5B5FDE" w:sz="4"/>
              <w:right w:val="single" w:color="5B5FDE" w:sz="4"/>
            </w:tcBorders>
            <w:shd w:fill="5B5FDE" w:val="clear"/>
            <w:tcMar>
              <w:top w:type="dxa" w:w="100"/>
              <w:left w:type="dxa" w:w="120"/>
              <w:bottom w:type="dxa" w:w="100"/>
              <w:right w:type="dxa" w:w="120"/>
            </w:tcMar>
          </w:tcPr>
          <w:p>
            <w:r>
              <w:rPr>
                <w:rFonts w:ascii="Arial" w:cs="Arial" w:eastAsia="Arial" w:hAnsi="Arial"/>
                <w:b/>
                <w:bCs/>
                <w:color w:val="FFFFFF"/>
                <w:sz w:val="20"/>
                <w:szCs w:val="20"/>
              </w:rPr>
              <w:t xml:space="preserve">Question it answers</w:t>
            </w:r>
          </w:p>
        </w:tc>
      </w:tr>
      <w:tr>
        <w:tc>
          <w:tcPr>
            <w:tcW w:type="dxa" w:w="1800"/>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tcPr>
          <w:p>
            <w:r>
              <w:rPr>
                <w:rFonts w:ascii="Arial" w:cs="Arial" w:eastAsia="Arial" w:hAnsi="Arial"/>
                <w:b/>
                <w:bCs/>
                <w:color w:val="5B5FDE"/>
                <w:sz w:val="20"/>
                <w:szCs w:val="20"/>
              </w:rPr>
              <w:t xml:space="preserve">1</w:t>
            </w:r>
          </w:p>
        </w:tc>
        <w:tc>
          <w:tcPr>
            <w:tcW w:type="dxa" w:w="3000"/>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tcPr>
          <w:p>
            <w:r>
              <w:rPr>
                <w:rFonts w:ascii="Arial" w:cs="Arial" w:eastAsia="Arial" w:hAnsi="Arial"/>
                <w:b/>
                <w:bCs/>
                <w:sz w:val="20"/>
                <w:szCs w:val="20"/>
              </w:rPr>
              <w:t xml:space="preserve">Executive Summary</w:t>
            </w:r>
          </w:p>
        </w:tc>
        <w:tc>
          <w:tcPr>
            <w:tcW w:type="dxa" w:w="4560"/>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tcPr>
          <w:p>
            <w:r>
              <w:rPr>
                <w:rFonts w:ascii="Arial" w:cs="Arial" w:eastAsia="Arial" w:hAnsi="Arial"/>
                <w:sz w:val="20"/>
                <w:szCs w:val="20"/>
              </w:rPr>
              <w:t xml:space="preserve">How is the business performing right now vs. last month?</w:t>
            </w:r>
          </w:p>
        </w:tc>
      </w:tr>
      <w:tr>
        <w:tc>
          <w:tcPr>
            <w:tcW w:type="dxa" w:w="1800"/>
            <w:tcBorders>
              <w:top w:val="single" w:color="E2E8F0" w:sz="4"/>
              <w:left w:val="single" w:color="E2E8F0" w:sz="4"/>
              <w:bottom w:val="single" w:color="E2E8F0" w:sz="4"/>
              <w:right w:val="single" w:color="E2E8F0" w:sz="4"/>
            </w:tcBorders>
            <w:shd w:fill="F1F5F9" w:val="clear"/>
            <w:tcMar>
              <w:top w:type="dxa" w:w="90"/>
              <w:left w:type="dxa" w:w="120"/>
              <w:bottom w:type="dxa" w:w="90"/>
              <w:right w:type="dxa" w:w="120"/>
            </w:tcMar>
          </w:tcPr>
          <w:p>
            <w:r>
              <w:rPr>
                <w:rFonts w:ascii="Arial" w:cs="Arial" w:eastAsia="Arial" w:hAnsi="Arial"/>
                <w:b/>
                <w:bCs/>
                <w:color w:val="5B5FDE"/>
                <w:sz w:val="20"/>
                <w:szCs w:val="20"/>
              </w:rPr>
              <w:t xml:space="preserve">2</w:t>
            </w:r>
          </w:p>
        </w:tc>
        <w:tc>
          <w:tcPr>
            <w:tcW w:type="dxa" w:w="3000"/>
            <w:tcBorders>
              <w:top w:val="single" w:color="E2E8F0" w:sz="4"/>
              <w:left w:val="single" w:color="E2E8F0" w:sz="4"/>
              <w:bottom w:val="single" w:color="E2E8F0" w:sz="4"/>
              <w:right w:val="single" w:color="E2E8F0" w:sz="4"/>
            </w:tcBorders>
            <w:shd w:fill="F1F5F9" w:val="clear"/>
            <w:tcMar>
              <w:top w:type="dxa" w:w="90"/>
              <w:left w:type="dxa" w:w="120"/>
              <w:bottom w:type="dxa" w:w="90"/>
              <w:right w:type="dxa" w:w="120"/>
            </w:tcMar>
          </w:tcPr>
          <w:p>
            <w:r>
              <w:rPr>
                <w:rFonts w:ascii="Arial" w:cs="Arial" w:eastAsia="Arial" w:hAnsi="Arial"/>
                <w:b/>
                <w:bCs/>
                <w:sz w:val="20"/>
                <w:szCs w:val="20"/>
              </w:rPr>
              <w:t xml:space="preserve">P&amp;L Analysis</w:t>
            </w:r>
          </w:p>
        </w:tc>
        <w:tc>
          <w:tcPr>
            <w:tcW w:type="dxa" w:w="4560"/>
            <w:tcBorders>
              <w:top w:val="single" w:color="E2E8F0" w:sz="4"/>
              <w:left w:val="single" w:color="E2E8F0" w:sz="4"/>
              <w:bottom w:val="single" w:color="E2E8F0" w:sz="4"/>
              <w:right w:val="single" w:color="E2E8F0" w:sz="4"/>
            </w:tcBorders>
            <w:shd w:fill="F1F5F9" w:val="clear"/>
            <w:tcMar>
              <w:top w:type="dxa" w:w="90"/>
              <w:left w:type="dxa" w:w="120"/>
              <w:bottom w:type="dxa" w:w="90"/>
              <w:right w:type="dxa" w:w="120"/>
            </w:tcMar>
          </w:tcPr>
          <w:p>
            <w:r>
              <w:rPr>
                <w:rFonts w:ascii="Arial" w:cs="Arial" w:eastAsia="Arial" w:hAnsi="Arial"/>
                <w:sz w:val="20"/>
                <w:szCs w:val="20"/>
              </w:rPr>
              <w:t xml:space="preserve">What does the profit &amp; loss statement look like this month?</w:t>
            </w:r>
          </w:p>
        </w:tc>
      </w:tr>
      <w:tr>
        <w:tc>
          <w:tcPr>
            <w:tcW w:type="dxa" w:w="1800"/>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tcPr>
          <w:p>
            <w:r>
              <w:rPr>
                <w:rFonts w:ascii="Arial" w:cs="Arial" w:eastAsia="Arial" w:hAnsi="Arial"/>
                <w:b/>
                <w:bCs/>
                <w:color w:val="5B5FDE"/>
                <w:sz w:val="20"/>
                <w:szCs w:val="20"/>
              </w:rPr>
              <w:t xml:space="preserve">3</w:t>
            </w:r>
          </w:p>
        </w:tc>
        <w:tc>
          <w:tcPr>
            <w:tcW w:type="dxa" w:w="3000"/>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tcPr>
          <w:p>
            <w:r>
              <w:rPr>
                <w:rFonts w:ascii="Arial" w:cs="Arial" w:eastAsia="Arial" w:hAnsi="Arial"/>
                <w:b/>
                <w:bCs/>
                <w:sz w:val="20"/>
                <w:szCs w:val="20"/>
              </w:rPr>
              <w:t xml:space="preserve">Cash &amp; Working Capital</w:t>
            </w:r>
          </w:p>
        </w:tc>
        <w:tc>
          <w:tcPr>
            <w:tcW w:type="dxa" w:w="4560"/>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tcPr>
          <w:p>
            <w:r>
              <w:rPr>
                <w:rFonts w:ascii="Arial" w:cs="Arial" w:eastAsia="Arial" w:hAnsi="Arial"/>
                <w:sz w:val="20"/>
                <w:szCs w:val="20"/>
              </w:rPr>
              <w:t xml:space="preserve">How much cash do I have and how long will it last?</w:t>
            </w:r>
          </w:p>
        </w:tc>
      </w:tr>
      <w:tr>
        <w:tc>
          <w:tcPr>
            <w:tcW w:type="dxa" w:w="1800"/>
            <w:tcBorders>
              <w:top w:val="single" w:color="E2E8F0" w:sz="4"/>
              <w:left w:val="single" w:color="E2E8F0" w:sz="4"/>
              <w:bottom w:val="single" w:color="E2E8F0" w:sz="4"/>
              <w:right w:val="single" w:color="E2E8F0" w:sz="4"/>
            </w:tcBorders>
            <w:shd w:fill="F1F5F9" w:val="clear"/>
            <w:tcMar>
              <w:top w:type="dxa" w:w="90"/>
              <w:left w:type="dxa" w:w="120"/>
              <w:bottom w:type="dxa" w:w="90"/>
              <w:right w:type="dxa" w:w="120"/>
            </w:tcMar>
          </w:tcPr>
          <w:p>
            <w:r>
              <w:rPr>
                <w:rFonts w:ascii="Arial" w:cs="Arial" w:eastAsia="Arial" w:hAnsi="Arial"/>
                <w:b/>
                <w:bCs/>
                <w:color w:val="5B5FDE"/>
                <w:sz w:val="20"/>
                <w:szCs w:val="20"/>
              </w:rPr>
              <w:t xml:space="preserve">4</w:t>
            </w:r>
          </w:p>
        </w:tc>
        <w:tc>
          <w:tcPr>
            <w:tcW w:type="dxa" w:w="3000"/>
            <w:tcBorders>
              <w:top w:val="single" w:color="E2E8F0" w:sz="4"/>
              <w:left w:val="single" w:color="E2E8F0" w:sz="4"/>
              <w:bottom w:val="single" w:color="E2E8F0" w:sz="4"/>
              <w:right w:val="single" w:color="E2E8F0" w:sz="4"/>
            </w:tcBorders>
            <w:shd w:fill="F1F5F9" w:val="clear"/>
            <w:tcMar>
              <w:top w:type="dxa" w:w="90"/>
              <w:left w:type="dxa" w:w="120"/>
              <w:bottom w:type="dxa" w:w="90"/>
              <w:right w:type="dxa" w:w="120"/>
            </w:tcMar>
          </w:tcPr>
          <w:p>
            <w:r>
              <w:rPr>
                <w:rFonts w:ascii="Arial" w:cs="Arial" w:eastAsia="Arial" w:hAnsi="Arial"/>
                <w:b/>
                <w:bCs/>
                <w:sz w:val="20"/>
                <w:szCs w:val="20"/>
              </w:rPr>
              <w:t xml:space="preserve">Growth Analytics</w:t>
            </w:r>
          </w:p>
        </w:tc>
        <w:tc>
          <w:tcPr>
            <w:tcW w:type="dxa" w:w="4560"/>
            <w:tcBorders>
              <w:top w:val="single" w:color="E2E8F0" w:sz="4"/>
              <w:left w:val="single" w:color="E2E8F0" w:sz="4"/>
              <w:bottom w:val="single" w:color="E2E8F0" w:sz="4"/>
              <w:right w:val="single" w:color="E2E8F0" w:sz="4"/>
            </w:tcBorders>
            <w:shd w:fill="F1F5F9" w:val="clear"/>
            <w:tcMar>
              <w:top w:type="dxa" w:w="90"/>
              <w:left w:type="dxa" w:w="120"/>
              <w:bottom w:type="dxa" w:w="90"/>
              <w:right w:type="dxa" w:w="120"/>
            </w:tcMar>
          </w:tcPr>
          <w:p>
            <w:r>
              <w:rPr>
                <w:rFonts w:ascii="Arial" w:cs="Arial" w:eastAsia="Arial" w:hAnsi="Arial"/>
                <w:sz w:val="20"/>
                <w:szCs w:val="20"/>
              </w:rPr>
              <w:t xml:space="preserve">Is revenue growing, and where is it coming from?</w:t>
            </w:r>
          </w:p>
        </w:tc>
      </w:tr>
      <w:tr>
        <w:tc>
          <w:tcPr>
            <w:tcW w:type="dxa" w:w="1800"/>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tcPr>
          <w:p>
            <w:r>
              <w:rPr>
                <w:rFonts w:ascii="Arial" w:cs="Arial" w:eastAsia="Arial" w:hAnsi="Arial"/>
                <w:b/>
                <w:bCs/>
                <w:color w:val="5B5FDE"/>
                <w:sz w:val="20"/>
                <w:szCs w:val="20"/>
              </w:rPr>
              <w:t xml:space="preserve">5</w:t>
            </w:r>
          </w:p>
        </w:tc>
        <w:tc>
          <w:tcPr>
            <w:tcW w:type="dxa" w:w="3000"/>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tcPr>
          <w:p>
            <w:r>
              <w:rPr>
                <w:rFonts w:ascii="Arial" w:cs="Arial" w:eastAsia="Arial" w:hAnsi="Arial"/>
                <w:b/>
                <w:bCs/>
                <w:sz w:val="20"/>
                <w:szCs w:val="20"/>
              </w:rPr>
              <w:t xml:space="preserve">Unit Economics</w:t>
            </w:r>
          </w:p>
        </w:tc>
        <w:tc>
          <w:tcPr>
            <w:tcW w:type="dxa" w:w="4560"/>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tcPr>
          <w:p>
            <w:r>
              <w:rPr>
                <w:rFonts w:ascii="Arial" w:cs="Arial" w:eastAsia="Arial" w:hAnsi="Arial"/>
                <w:sz w:val="20"/>
                <w:szCs w:val="20"/>
              </w:rPr>
              <w:t xml:space="preserve">How much does each customer cost me, and what are they worth?</w:t>
            </w:r>
          </w:p>
        </w:tc>
      </w:tr>
      <w:tr>
        <w:tc>
          <w:tcPr>
            <w:tcW w:type="dxa" w:w="1800"/>
            <w:tcBorders>
              <w:top w:val="single" w:color="E2E8F0" w:sz="4"/>
              <w:left w:val="single" w:color="E2E8F0" w:sz="4"/>
              <w:bottom w:val="single" w:color="E2E8F0" w:sz="4"/>
              <w:right w:val="single" w:color="E2E8F0" w:sz="4"/>
            </w:tcBorders>
            <w:shd w:fill="F1F5F9" w:val="clear"/>
            <w:tcMar>
              <w:top w:type="dxa" w:w="90"/>
              <w:left w:type="dxa" w:w="120"/>
              <w:bottom w:type="dxa" w:w="90"/>
              <w:right w:type="dxa" w:w="120"/>
            </w:tcMar>
          </w:tcPr>
          <w:p>
            <w:r>
              <w:rPr>
                <w:rFonts w:ascii="Arial" w:cs="Arial" w:eastAsia="Arial" w:hAnsi="Arial"/>
                <w:b/>
                <w:bCs/>
                <w:color w:val="5B5FDE"/>
                <w:sz w:val="20"/>
                <w:szCs w:val="20"/>
              </w:rPr>
              <w:t xml:space="preserve">6</w:t>
            </w:r>
          </w:p>
        </w:tc>
        <w:tc>
          <w:tcPr>
            <w:tcW w:type="dxa" w:w="3000"/>
            <w:tcBorders>
              <w:top w:val="single" w:color="E2E8F0" w:sz="4"/>
              <w:left w:val="single" w:color="E2E8F0" w:sz="4"/>
              <w:bottom w:val="single" w:color="E2E8F0" w:sz="4"/>
              <w:right w:val="single" w:color="E2E8F0" w:sz="4"/>
            </w:tcBorders>
            <w:shd w:fill="F1F5F9" w:val="clear"/>
            <w:tcMar>
              <w:top w:type="dxa" w:w="90"/>
              <w:left w:type="dxa" w:w="120"/>
              <w:bottom w:type="dxa" w:w="90"/>
              <w:right w:type="dxa" w:w="120"/>
            </w:tcMar>
          </w:tcPr>
          <w:p>
            <w:r>
              <w:rPr>
                <w:rFonts w:ascii="Arial" w:cs="Arial" w:eastAsia="Arial" w:hAnsi="Arial"/>
                <w:b/>
                <w:bCs/>
                <w:sz w:val="20"/>
                <w:szCs w:val="20"/>
              </w:rPr>
              <w:t xml:space="preserve">Forecasting</w:t>
            </w:r>
          </w:p>
        </w:tc>
        <w:tc>
          <w:tcPr>
            <w:tcW w:type="dxa" w:w="4560"/>
            <w:tcBorders>
              <w:top w:val="single" w:color="E2E8F0" w:sz="4"/>
              <w:left w:val="single" w:color="E2E8F0" w:sz="4"/>
              <w:bottom w:val="single" w:color="E2E8F0" w:sz="4"/>
              <w:right w:val="single" w:color="E2E8F0" w:sz="4"/>
            </w:tcBorders>
            <w:shd w:fill="F1F5F9" w:val="clear"/>
            <w:tcMar>
              <w:top w:type="dxa" w:w="90"/>
              <w:left w:type="dxa" w:w="120"/>
              <w:bottom w:type="dxa" w:w="90"/>
              <w:right w:type="dxa" w:w="120"/>
            </w:tcMar>
          </w:tcPr>
          <w:p>
            <w:r>
              <w:rPr>
                <w:rFonts w:ascii="Arial" w:cs="Arial" w:eastAsia="Arial" w:hAnsi="Arial"/>
                <w:sz w:val="20"/>
                <w:szCs w:val="20"/>
              </w:rPr>
              <w:t xml:space="preserve">What will revenue look like next month and for the next quarter?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5FDE" w:val="clear"/>
            <w:tcMar>
              <w:top w:type="dxa" w:w="120"/>
              <w:left w:type="dxa" w:w="200"/>
              <w:bottom w:type="dxa" w:w="120"/>
              <w:right w:type="dxa" w:w="200"/>
            </w:tcMar>
          </w:tcPr>
          <w:p>
            <w:r>
              <w:rPr>
                <w:rFonts w:ascii="Arial" w:cs="Arial" w:eastAsia="Arial" w:hAnsi="Arial"/>
                <w:b/>
                <w:bCs/>
                <w:color w:val="FFFFFF"/>
                <w:sz w:val="28"/>
                <w:szCs w:val="28"/>
              </w:rPr>
              <w:t xml:space="preserve">2  SECTION 2 — Where Does the Data Come From?</w:t>
            </w:r>
          </w:p>
        </w:tc>
      </w:tr>
    </w:tbl>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The CFO Hub draws on three types of data. Understanding the source of each number helps you trust the dashboard — and know when something might need updating.</w:t>
      </w:r>
    </w:p>
    <w:p>
      <w:pPr>
        <w:spacing w:after="80"/>
      </w:pPr>
      <w:r>
        <w:rPr>
          <w:rFonts w:ascii="Arial" w:cs="Arial" w:eastAsia="Arial" w:hAnsi="Arial"/>
          <w:sz w:val="22"/>
          <w:szCs w:val="22"/>
        </w:rPr>
        <w:t xml:space="preserve"/>
      </w:r>
    </w:p>
    <w:p>
      <w:pPr>
        <w:pStyle w:val="Heading2"/>
        <w:spacing w:after="120" w:before="360"/>
      </w:pPr>
      <w:r>
        <w:rPr>
          <w:rFonts w:ascii="Arial" w:cs="Arial" w:eastAsia="Arial" w:hAnsi="Arial"/>
          <w:b/>
          <w:bCs/>
          <w:color w:val="334155"/>
          <w:sz w:val="28"/>
          <w:szCs w:val="28"/>
        </w:rPr>
        <w:t xml:space="preserve">2.1  Automatic — Shopify (via database sync)</w:t>
      </w:r>
    </w:p>
    <w:p>
      <w:pPr>
        <w:spacing w:after="120"/>
      </w:pPr>
      <w:r>
        <w:rPr>
          <w:rFonts w:ascii="Arial" w:cs="Arial" w:eastAsia="Arial" w:hAnsi="Arial"/>
          <w:sz w:val="22"/>
          <w:szCs w:val="22"/>
        </w:rPr>
        <w:t xml:space="preserve">Shopify is your primary data source. Every time a sync runs (automatically every hour, or manually via the Shopify Store page), your orders, products, and customers are pulled into a private database that powers the dashboard.</w:t>
      </w:r>
    </w:p>
    <w:p>
      <w:pPr>
        <w:spacing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334155" w:sz="4"/>
              <w:left w:val="single" w:color="334155" w:sz="4"/>
              <w:bottom w:val="single" w:color="334155" w:sz="4"/>
              <w:right w:val="single" w:color="334155" w:sz="4"/>
            </w:tcBorders>
            <w:shd w:fill="334155" w:val="clear"/>
            <w:tcMar>
              <w:top w:type="dxa" w:w="90"/>
              <w:left w:type="dxa" w:w="140"/>
              <w:bottom w:type="dxa" w:w="90"/>
              <w:right w:type="dxa" w:w="140"/>
            </w:tcMar>
          </w:tcPr>
          <w:p>
            <w:r>
              <w:rPr>
                <w:rFonts w:ascii="Arial" w:cs="Arial" w:eastAsia="Arial" w:hAnsi="Arial"/>
                <w:b/>
                <w:bCs/>
                <w:color w:val="FFFFFF"/>
                <w:sz w:val="20"/>
                <w:szCs w:val="20"/>
              </w:rPr>
              <w:t xml:space="preserve">Data field</w:t>
            </w:r>
          </w:p>
        </w:tc>
        <w:tc>
          <w:tcPr>
            <w:tcW w:type="dxa" w:w="6160"/>
            <w:tcBorders>
              <w:top w:val="single" w:color="334155" w:sz="4"/>
              <w:left w:val="single" w:color="334155" w:sz="4"/>
              <w:bottom w:val="single" w:color="334155" w:sz="4"/>
              <w:right w:val="single" w:color="334155" w:sz="4"/>
            </w:tcBorders>
            <w:shd w:fill="334155" w:val="clear"/>
            <w:tcMar>
              <w:top w:type="dxa" w:w="90"/>
              <w:left w:type="dxa" w:w="140"/>
              <w:bottom w:type="dxa" w:w="90"/>
              <w:right w:type="dxa" w:w="140"/>
            </w:tcMar>
          </w:tcPr>
          <w:p>
            <w:r>
              <w:rPr>
                <w:rFonts w:ascii="Arial" w:cs="Arial" w:eastAsia="Arial" w:hAnsi="Arial"/>
                <w:b/>
                <w:bCs/>
                <w:color w:val="FFFFFF"/>
                <w:sz w:val="20"/>
                <w:szCs w:val="20"/>
              </w:rPr>
              <w:t xml:space="preserve">Used for</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bCs/>
                <w:sz w:val="20"/>
                <w:szCs w:val="20"/>
              </w:rPr>
              <w:t xml:space="preserve">Order revenue</w:t>
            </w:r>
          </w:p>
        </w:tc>
        <w:tc>
          <w:tcPr>
            <w:tcW w:type="dxa" w:w="61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sz w:val="20"/>
                <w:szCs w:val="20"/>
              </w:rPr>
              <w:t xml:space="preserve">Monthly revenue, AOV, waterfall, run rate, EOM projection</w:t>
            </w:r>
          </w:p>
        </w:tc>
      </w:tr>
      <w:tr>
        <w:tc>
          <w:tcPr>
            <w:tcW w:type="dxa" w:w="32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r>
              <w:rPr>
                <w:rFonts w:ascii="Arial" w:cs="Arial" w:eastAsia="Arial" w:hAnsi="Arial"/>
                <w:b/>
                <w:bCs/>
                <w:sz w:val="20"/>
                <w:szCs w:val="20"/>
              </w:rPr>
              <w:t xml:space="preserve">Order count</w:t>
            </w:r>
          </w:p>
        </w:tc>
        <w:tc>
          <w:tcPr>
            <w:tcW w:type="dxa" w:w="61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r>
              <w:rPr>
                <w:rFonts w:ascii="Arial" w:cs="Arial" w:eastAsia="Arial" w:hAnsi="Arial"/>
                <w:sz w:val="20"/>
                <w:szCs w:val="20"/>
              </w:rPr>
              <w:t xml:space="preserve">Orders per month, order trend chart</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bCs/>
                <w:sz w:val="20"/>
                <w:szCs w:val="20"/>
              </w:rPr>
              <w:t xml:space="preserve">Refund amounts</w:t>
            </w:r>
          </w:p>
        </w:tc>
        <w:tc>
          <w:tcPr>
            <w:tcW w:type="dxa" w:w="61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sz w:val="20"/>
                <w:szCs w:val="20"/>
              </w:rPr>
              <w:t xml:space="preserve">Refund rate calculation, net revenue</w:t>
            </w:r>
          </w:p>
        </w:tc>
      </w:tr>
      <w:tr>
        <w:tc>
          <w:tcPr>
            <w:tcW w:type="dxa" w:w="32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r>
              <w:rPr>
                <w:rFonts w:ascii="Arial" w:cs="Arial" w:eastAsia="Arial" w:hAnsi="Arial"/>
                <w:b/>
                <w:bCs/>
                <w:sz w:val="20"/>
                <w:szCs w:val="20"/>
              </w:rPr>
              <w:t xml:space="preserve">Financial status</w:t>
            </w:r>
          </w:p>
        </w:tc>
        <w:tc>
          <w:tcPr>
            <w:tcW w:type="dxa" w:w="61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r>
              <w:rPr>
                <w:rFonts w:ascii="Arial" w:cs="Arial" w:eastAsia="Arial" w:hAnsi="Arial"/>
                <w:sz w:val="20"/>
                <w:szCs w:val="20"/>
              </w:rPr>
              <w:t xml:space="preserve">Filters out voided orders; separates refunds from live revenue</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bCs/>
                <w:sz w:val="20"/>
                <w:szCs w:val="20"/>
              </w:rPr>
              <w:t xml:space="preserve">Order date</w:t>
            </w:r>
          </w:p>
        </w:tc>
        <w:tc>
          <w:tcPr>
            <w:tcW w:type="dxa" w:w="61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sz w:val="20"/>
                <w:szCs w:val="20"/>
              </w:rPr>
              <w:t xml:space="preserve">Groups revenue by month for 6-month history</w:t>
            </w:r>
          </w:p>
        </w:tc>
      </w:tr>
      <w:tr>
        <w:tc>
          <w:tcPr>
            <w:tcW w:type="dxa" w:w="32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r>
              <w:rPr>
                <w:rFonts w:ascii="Arial" w:cs="Arial" w:eastAsia="Arial" w:hAnsi="Arial"/>
                <w:b/>
                <w:bCs/>
                <w:sz w:val="20"/>
                <w:szCs w:val="20"/>
              </w:rPr>
              <w:t xml:space="preserve">Customer records</w:t>
            </w:r>
          </w:p>
        </w:tc>
        <w:tc>
          <w:tcPr>
            <w:tcW w:type="dxa" w:w="61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r>
              <w:rPr>
                <w:rFonts w:ascii="Arial" w:cs="Arial" w:eastAsia="Arial" w:hAnsi="Arial"/>
                <w:sz w:val="20"/>
                <w:szCs w:val="20"/>
              </w:rPr>
              <w:t xml:space="preserve">Total customer count, new customers in last 30 days</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bCs/>
                <w:sz w:val="20"/>
                <w:szCs w:val="20"/>
              </w:rPr>
              <w:t xml:space="preserve">Repeat rate</w:t>
            </w:r>
          </w:p>
        </w:tc>
        <w:tc>
          <w:tcPr>
            <w:tcW w:type="dxa" w:w="61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sz w:val="20"/>
                <w:szCs w:val="20"/>
              </w:rPr>
              <w:t xml:space="preserve">Customers with 2+ orders ÷ total customers — drives LTV estimate</w:t>
            </w:r>
          </w:p>
        </w:tc>
      </w:tr>
      <w:tr>
        <w:tc>
          <w:tcPr>
            <w:tcW w:type="dxa" w:w="32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r>
              <w:rPr>
                <w:rFonts w:ascii="Arial" w:cs="Arial" w:eastAsia="Arial" w:hAnsi="Arial"/>
                <w:b/>
                <w:bCs/>
                <w:sz w:val="20"/>
                <w:szCs w:val="20"/>
              </w:rPr>
              <w:t xml:space="preserve">Products (price + stock qty)</w:t>
            </w:r>
          </w:p>
        </w:tc>
        <w:tc>
          <w:tcPr>
            <w:tcW w:type="dxa" w:w="61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r>
              <w:rPr>
                <w:rFonts w:ascii="Arial" w:cs="Arial" w:eastAsia="Arial" w:hAnsi="Arial"/>
                <w:sz w:val="20"/>
                <w:szCs w:val="20"/>
              </w:rPr>
              <w:t xml:space="preserve">Inventory value estimate = price × 45% × stock quantity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5FDE" w:sz="20"/>
              <w:bottom w:val="none" w:color="FFFFFF" w:sz="0"/>
              <w:right w:val="none" w:color="FFFFFF" w:sz="0"/>
            </w:tcBorders>
            <w:shd w:fill="ECEEFF" w:val="clear"/>
            <w:tcMar>
              <w:top w:type="dxa" w:w="100"/>
              <w:left w:type="dxa" w:w="200"/>
              <w:bottom w:type="dxa" w:w="100"/>
              <w:right w:type="dxa" w:w="200"/>
            </w:tcMar>
          </w:tcPr>
          <w:p>
            <w:r>
              <w:rPr>
                <w:rFonts w:ascii="Arial" w:cs="Arial" w:eastAsia="Arial" w:hAnsi="Arial"/>
                <w:b/>
                <w:bCs/>
                <w:color w:val="5B5FDE"/>
                <w:sz w:val="21"/>
                <w:szCs w:val="21"/>
              </w:rPr>
              <w:t xml:space="preserve">Freshness</w:t>
            </w:r>
          </w:p>
          <w:p>
            <w:r>
              <w:rPr>
                <w:rFonts w:ascii="Arial" w:cs="Arial" w:eastAsia="Arial" w:hAnsi="Arial"/>
                <w:sz w:val="20"/>
                <w:szCs w:val="20"/>
              </w:rPr>
              <w:t xml:space="preserve">Shopify data refreshes every 5 minutes on the CFO page (Next.js revalidation). For the absolute latest numbers, trigger a manual sync from the Shopify Store page first.</w:t>
            </w:r>
          </w:p>
        </w:tc>
      </w:tr>
    </w:tbl>
    <w:p>
      <w:pPr>
        <w:spacing w:after="160"/>
      </w:pPr>
      <w:r>
        <w:rPr>
          <w:rFonts w:ascii="Arial" w:cs="Arial" w:eastAsia="Arial" w:hAnsi="Arial"/>
          <w:sz w:val="22"/>
          <w:szCs w:val="22"/>
        </w:rPr>
        <w:t xml:space="preserve"/>
      </w:r>
    </w:p>
    <w:p>
      <w:pPr>
        <w:pStyle w:val="Heading2"/>
        <w:spacing w:after="120" w:before="360"/>
      </w:pPr>
      <w:r>
        <w:rPr>
          <w:rFonts w:ascii="Arial" w:cs="Arial" w:eastAsia="Arial" w:hAnsi="Arial"/>
          <w:b/>
          <w:bCs/>
          <w:color w:val="334155"/>
          <w:sz w:val="28"/>
          <w:szCs w:val="28"/>
        </w:rPr>
        <w:t xml:space="preserve">2.2  Automatic — Ad Platforms (live API fetch)</w:t>
      </w:r>
    </w:p>
    <w:p>
      <w:pPr>
        <w:spacing w:after="120"/>
      </w:pPr>
      <w:r>
        <w:rPr>
          <w:rFonts w:ascii="Arial" w:cs="Arial" w:eastAsia="Arial" w:hAnsi="Arial"/>
          <w:sz w:val="22"/>
          <w:szCs w:val="22"/>
        </w:rPr>
        <w:t xml:space="preserve">When you visit the CFO Hub, it fetches current-month ad spend directly from any connected advertising platform in real time. This spend feeds into MER, CAC, contribution margin, and channel efficiency calculations.</w:t>
      </w:r>
    </w:p>
    <w:p>
      <w:pPr>
        <w:spacing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334155" w:sz="4"/>
              <w:left w:val="single" w:color="334155" w:sz="4"/>
              <w:bottom w:val="single" w:color="334155" w:sz="4"/>
              <w:right w:val="single" w:color="334155" w:sz="4"/>
            </w:tcBorders>
            <w:shd w:fill="334155" w:val="clear"/>
            <w:tcMar>
              <w:top w:type="dxa" w:w="90"/>
              <w:left w:type="dxa" w:w="140"/>
              <w:bottom w:type="dxa" w:w="90"/>
              <w:right w:type="dxa" w:w="140"/>
            </w:tcMar>
          </w:tcPr>
          <w:p>
            <w:r>
              <w:rPr>
                <w:rFonts w:ascii="Arial" w:cs="Arial" w:eastAsia="Arial" w:hAnsi="Arial"/>
                <w:b/>
                <w:bCs/>
                <w:color w:val="FFFFFF"/>
                <w:sz w:val="20"/>
                <w:szCs w:val="20"/>
              </w:rPr>
              <w:t xml:space="preserve">Platform</w:t>
            </w:r>
          </w:p>
        </w:tc>
        <w:tc>
          <w:tcPr>
            <w:tcW w:type="dxa" w:w="2400"/>
            <w:tcBorders>
              <w:top w:val="single" w:color="334155" w:sz="4"/>
              <w:left w:val="single" w:color="334155" w:sz="4"/>
              <w:bottom w:val="single" w:color="334155" w:sz="4"/>
              <w:right w:val="single" w:color="334155" w:sz="4"/>
            </w:tcBorders>
            <w:shd w:fill="334155" w:val="clear"/>
            <w:tcMar>
              <w:top w:type="dxa" w:w="90"/>
              <w:left w:type="dxa" w:w="140"/>
              <w:bottom w:type="dxa" w:w="90"/>
              <w:right w:type="dxa" w:w="140"/>
            </w:tcMar>
          </w:tcPr>
          <w:p>
            <w:r>
              <w:rPr>
                <w:rFonts w:ascii="Arial" w:cs="Arial" w:eastAsia="Arial" w:hAnsi="Arial"/>
                <w:b/>
                <w:bCs/>
                <w:color w:val="FFFFFF"/>
                <w:sz w:val="20"/>
                <w:szCs w:val="20"/>
              </w:rPr>
              <w:t xml:space="preserve">Fetches</w:t>
            </w:r>
          </w:p>
        </w:tc>
        <w:tc>
          <w:tcPr>
            <w:tcW w:type="dxa" w:w="4560"/>
            <w:tcBorders>
              <w:top w:val="single" w:color="334155" w:sz="4"/>
              <w:left w:val="single" w:color="334155" w:sz="4"/>
              <w:bottom w:val="single" w:color="334155" w:sz="4"/>
              <w:right w:val="single" w:color="334155" w:sz="4"/>
            </w:tcBorders>
            <w:shd w:fill="334155" w:val="clear"/>
            <w:tcMar>
              <w:top w:type="dxa" w:w="90"/>
              <w:left w:type="dxa" w:w="140"/>
              <w:bottom w:type="dxa" w:w="90"/>
              <w:right w:type="dxa" w:w="140"/>
            </w:tcMar>
          </w:tcPr>
          <w:p>
            <w:r>
              <w:rPr>
                <w:rFonts w:ascii="Arial" w:cs="Arial" w:eastAsia="Arial" w:hAnsi="Arial"/>
                <w:b/>
                <w:bCs/>
                <w:color w:val="FFFFFF"/>
                <w:sz w:val="20"/>
                <w:szCs w:val="20"/>
              </w:rPr>
              <w:t xml:space="preserve">Where to connect</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bCs/>
                <w:sz w:val="20"/>
                <w:szCs w:val="20"/>
              </w:rPr>
              <w:t xml:space="preserve">Meta Ads (Facebook/Instagram)</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sz w:val="20"/>
                <w:szCs w:val="20"/>
              </w:rPr>
              <w:t xml:space="preserve">Month-to-date spend (AUD)</w:t>
            </w:r>
          </w:p>
        </w:tc>
        <w:tc>
          <w:tcPr>
            <w:tcW w:type="dxa" w:w="4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sz w:val="20"/>
                <w:szCs w:val="20"/>
              </w:rPr>
              <w:t xml:space="preserve">Integrations page → Meta Ads</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r>
              <w:rPr>
                <w:rFonts w:ascii="Arial" w:cs="Arial" w:eastAsia="Arial" w:hAnsi="Arial"/>
                <w:b/>
                <w:bCs/>
                <w:sz w:val="20"/>
                <w:szCs w:val="20"/>
              </w:rPr>
              <w:t xml:space="preserve">Google Ads</w:t>
            </w:r>
          </w:p>
        </w:tc>
        <w:tc>
          <w:tcPr>
            <w:tcW w:type="dxa" w:w="24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r>
              <w:rPr>
                <w:rFonts w:ascii="Arial" w:cs="Arial" w:eastAsia="Arial" w:hAnsi="Arial"/>
                <w:sz w:val="20"/>
                <w:szCs w:val="20"/>
              </w:rPr>
              <w:t xml:space="preserve">Month-to-date spend (AUD)</w:t>
            </w:r>
          </w:p>
        </w:tc>
        <w:tc>
          <w:tcPr>
            <w:tcW w:type="dxa" w:w="45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r>
              <w:rPr>
                <w:rFonts w:ascii="Arial" w:cs="Arial" w:eastAsia="Arial" w:hAnsi="Arial"/>
                <w:sz w:val="20"/>
                <w:szCs w:val="20"/>
              </w:rPr>
              <w:t xml:space="preserve">Integrations page → Google Ads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bCs/>
                <w:sz w:val="20"/>
                <w:szCs w:val="20"/>
              </w:rPr>
              <w:t xml:space="preserve">TikTok Ads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sz w:val="20"/>
                <w:szCs w:val="20"/>
              </w:rPr>
              <w:t xml:space="preserve">Month-to-date spend (AUD)</w:t>
            </w:r>
          </w:p>
        </w:tc>
        <w:tc>
          <w:tcPr>
            <w:tcW w:type="dxa" w:w="4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sz w:val="20"/>
                <w:szCs w:val="20"/>
              </w:rPr>
              <w:t xml:space="preserve">Integrations page → TikTok Ads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20"/>
              <w:bottom w:val="none" w:color="FFFFFF" w:sz="0"/>
              <w:right w:val="none" w:color="FFFFFF" w:sz="0"/>
            </w:tcBorders>
            <w:shd w:fill="FFFBEB" w:val="clear"/>
            <w:tcMar>
              <w:top w:type="dxa" w:w="100"/>
              <w:left w:type="dxa" w:w="200"/>
              <w:bottom w:type="dxa" w:w="100"/>
              <w:right w:type="dxa" w:w="200"/>
            </w:tcMar>
          </w:tcPr>
          <w:p>
            <w:r>
              <w:rPr>
                <w:rFonts w:ascii="Arial" w:cs="Arial" w:eastAsia="Arial" w:hAnsi="Arial"/>
                <w:b/>
                <w:bCs/>
                <w:color w:val="D97706"/>
                <w:sz w:val="21"/>
                <w:szCs w:val="21"/>
              </w:rPr>
              <w:t xml:space="preserve">No ad platforms connected?</w:t>
            </w:r>
          </w:p>
          <w:p>
            <w:r>
              <w:rPr>
                <w:rFonts w:ascii="Arial" w:cs="Arial" w:eastAsia="Arial" w:hAnsi="Arial"/>
                <w:sz w:val="20"/>
                <w:szCs w:val="20"/>
              </w:rPr>
              <w:t xml:space="preserve">Ad-dependent metrics (MER, CAC, LTV:CAC, channel efficiency) will show "—" until at least one platform is connected. All other metrics still work.</w:t>
            </w:r>
          </w:p>
        </w:tc>
      </w:tr>
    </w:tbl>
    <w:p>
      <w:pPr>
        <w:spacing w:after="160"/>
      </w:pPr>
      <w:r>
        <w:rPr>
          <w:rFonts w:ascii="Arial" w:cs="Arial" w:eastAsia="Arial" w:hAnsi="Arial"/>
          <w:sz w:val="22"/>
          <w:szCs w:val="22"/>
        </w:rPr>
        <w:t xml:space="preserve"/>
      </w:r>
    </w:p>
    <w:p>
      <w:pPr>
        <w:pStyle w:val="Heading2"/>
        <w:spacing w:after="120" w:before="360"/>
      </w:pPr>
      <w:r>
        <w:rPr>
          <w:rFonts w:ascii="Arial" w:cs="Arial" w:eastAsia="Arial" w:hAnsi="Arial"/>
          <w:b/>
          <w:bCs/>
          <w:color w:val="334155"/>
          <w:sz w:val="28"/>
          <w:szCs w:val="28"/>
        </w:rPr>
        <w:t xml:space="preserve">2.3  Manual — Your Inputs (saved once, persist across sessions)</w:t>
      </w:r>
    </w:p>
    <w:p>
      <w:pPr>
        <w:spacing w:after="120"/>
      </w:pPr>
      <w:r>
        <w:rPr>
          <w:rFonts w:ascii="Arial" w:cs="Arial" w:eastAsia="Arial" w:hAnsi="Arial"/>
          <w:sz w:val="22"/>
          <w:szCs w:val="22"/>
        </w:rPr>
        <w:t xml:space="preserve">A small number of financial inputs cannot be pulled from any system — they live in your bank account or accounting software. You enter these once via the CFO Hub and they are saved in your browser's local storage, meaning they persist every time you reopen the page on the same device.</w:t>
      </w:r>
    </w:p>
    <w:p>
      <w:pPr>
        <w:spacing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334155" w:sz="4"/>
              <w:left w:val="single" w:color="334155" w:sz="4"/>
              <w:bottom w:val="single" w:color="334155" w:sz="4"/>
              <w:right w:val="single" w:color="334155" w:sz="4"/>
            </w:tcBorders>
            <w:shd w:fill="334155" w:val="clear"/>
            <w:tcMar>
              <w:top w:type="dxa" w:w="90"/>
              <w:left w:type="dxa" w:w="140"/>
              <w:bottom w:type="dxa" w:w="90"/>
              <w:right w:type="dxa" w:w="140"/>
            </w:tcMar>
          </w:tcPr>
          <w:p>
            <w:r>
              <w:rPr>
                <w:rFonts w:ascii="Arial" w:cs="Arial" w:eastAsia="Arial" w:hAnsi="Arial"/>
                <w:b/>
                <w:bCs/>
                <w:color w:val="FFFFFF"/>
                <w:sz w:val="20"/>
                <w:szCs w:val="20"/>
              </w:rPr>
              <w:t xml:space="preserve">Input field</w:t>
            </w:r>
          </w:p>
        </w:tc>
        <w:tc>
          <w:tcPr>
            <w:tcW w:type="dxa" w:w="2400"/>
            <w:tcBorders>
              <w:top w:val="single" w:color="334155" w:sz="4"/>
              <w:left w:val="single" w:color="334155" w:sz="4"/>
              <w:bottom w:val="single" w:color="334155" w:sz="4"/>
              <w:right w:val="single" w:color="334155" w:sz="4"/>
            </w:tcBorders>
            <w:shd w:fill="334155" w:val="clear"/>
            <w:tcMar>
              <w:top w:type="dxa" w:w="90"/>
              <w:left w:type="dxa" w:w="140"/>
              <w:bottom w:type="dxa" w:w="90"/>
              <w:right w:type="dxa" w:w="140"/>
            </w:tcMar>
          </w:tcPr>
          <w:p>
            <w:r>
              <w:rPr>
                <w:rFonts w:ascii="Arial" w:cs="Arial" w:eastAsia="Arial" w:hAnsi="Arial"/>
                <w:b/>
                <w:bCs/>
                <w:color w:val="FFFFFF"/>
                <w:sz w:val="20"/>
                <w:szCs w:val="20"/>
              </w:rPr>
              <w:t xml:space="preserve">Where to enter</w:t>
            </w:r>
          </w:p>
        </w:tc>
        <w:tc>
          <w:tcPr>
            <w:tcW w:type="dxa" w:w="4160"/>
            <w:tcBorders>
              <w:top w:val="single" w:color="334155" w:sz="4"/>
              <w:left w:val="single" w:color="334155" w:sz="4"/>
              <w:bottom w:val="single" w:color="334155" w:sz="4"/>
              <w:right w:val="single" w:color="334155" w:sz="4"/>
            </w:tcBorders>
            <w:shd w:fill="334155" w:val="clear"/>
            <w:tcMar>
              <w:top w:type="dxa" w:w="90"/>
              <w:left w:type="dxa" w:w="140"/>
              <w:bottom w:type="dxa" w:w="90"/>
              <w:right w:type="dxa" w:w="140"/>
            </w:tcMar>
          </w:tcPr>
          <w:p>
            <w:r>
              <w:rPr>
                <w:rFonts w:ascii="Arial" w:cs="Arial" w:eastAsia="Arial" w:hAnsi="Arial"/>
                <w:b/>
                <w:bCs/>
                <w:color w:val="FFFFFF"/>
                <w:sz w:val="20"/>
                <w:szCs w:val="20"/>
              </w:rPr>
              <w:t xml:space="preserve">Impacts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bCs/>
                <w:sz w:val="20"/>
                <w:szCs w:val="20"/>
              </w:rPr>
              <w:t xml:space="preserve">Bank Balance (AUD)</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sz w:val="20"/>
                <w:szCs w:val="20"/>
              </w:rPr>
              <w:t xml:space="preserve">Cash &amp; Working Capital tab</w:t>
            </w:r>
          </w:p>
        </w:tc>
        <w:tc>
          <w:tcPr>
            <w:tcW w:type="dxa" w:w="41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sz w:val="20"/>
                <w:szCs w:val="20"/>
              </w:rPr>
              <w:t xml:space="preserve">Cash runway, net cash, working capital ratio</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r>
              <w:rPr>
                <w:rFonts w:ascii="Arial" w:cs="Arial" w:eastAsia="Arial" w:hAnsi="Arial"/>
                <w:b/>
                <w:bCs/>
                <w:sz w:val="20"/>
                <w:szCs w:val="20"/>
              </w:rPr>
              <w:t xml:space="preserve">Accounts Payable (AUD)</w:t>
            </w:r>
          </w:p>
        </w:tc>
        <w:tc>
          <w:tcPr>
            <w:tcW w:type="dxa" w:w="24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r>
              <w:rPr>
                <w:rFonts w:ascii="Arial" w:cs="Arial" w:eastAsia="Arial" w:hAnsi="Arial"/>
                <w:sz w:val="20"/>
                <w:szCs w:val="20"/>
              </w:rPr>
              <w:t xml:space="preserve">Cash &amp; Working Capital tab</w:t>
            </w:r>
          </w:p>
        </w:tc>
        <w:tc>
          <w:tcPr>
            <w:tcW w:type="dxa" w:w="41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r>
              <w:rPr>
                <w:rFonts w:ascii="Arial" w:cs="Arial" w:eastAsia="Arial" w:hAnsi="Arial"/>
                <w:sz w:val="20"/>
                <w:szCs w:val="20"/>
              </w:rPr>
              <w:t xml:space="preserve">Net cash, working capital ratio, current ratio</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bCs/>
                <w:sz w:val="20"/>
                <w:szCs w:val="20"/>
              </w:rPr>
              <w:t xml:space="preserve">Monthly Fixed Costs (AUD)</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sz w:val="20"/>
                <w:szCs w:val="20"/>
              </w:rPr>
              <w:t xml:space="preserve">Cash &amp; Working Capital tab</w:t>
            </w:r>
          </w:p>
        </w:tc>
        <w:tc>
          <w:tcPr>
            <w:tcW w:type="dxa" w:w="41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sz w:val="20"/>
                <w:szCs w:val="20"/>
              </w:rPr>
              <w:t xml:space="preserve">Net profit, monthly burn, cash runway</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r>
              <w:rPr>
                <w:rFonts w:ascii="Arial" w:cs="Arial" w:eastAsia="Arial" w:hAnsi="Arial"/>
                <w:b/>
                <w:bCs/>
                <w:sz w:val="20"/>
                <w:szCs w:val="20"/>
              </w:rPr>
              <w:t xml:space="preserve">Revenue Target (AUD)</w:t>
            </w:r>
          </w:p>
        </w:tc>
        <w:tc>
          <w:tcPr>
            <w:tcW w:type="dxa" w:w="24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r>
              <w:rPr>
                <w:rFonts w:ascii="Arial" w:cs="Arial" w:eastAsia="Arial" w:hAnsi="Arial"/>
                <w:sz w:val="20"/>
                <w:szCs w:val="20"/>
              </w:rPr>
              <w:t xml:space="preserve">Forecasting tab</w:t>
            </w:r>
          </w:p>
        </w:tc>
        <w:tc>
          <w:tcPr>
            <w:tcW w:type="dxa" w:w="41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r>
              <w:rPr>
                <w:rFonts w:ascii="Arial" w:cs="Arial" w:eastAsia="Arial" w:hAnsi="Arial"/>
                <w:sz w:val="20"/>
                <w:szCs w:val="20"/>
              </w:rPr>
              <w:t xml:space="preserve">Revenue attainment %, budget vs actual gap</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bCs/>
                <w:sz w:val="20"/>
                <w:szCs w:val="20"/>
              </w:rPr>
              <w:t xml:space="preserve">Net Profit Target (AUD)</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sz w:val="20"/>
                <w:szCs w:val="20"/>
              </w:rPr>
              <w:t xml:space="preserve">Forecasting tab</w:t>
            </w:r>
          </w:p>
        </w:tc>
        <w:tc>
          <w:tcPr>
            <w:tcW w:type="dxa" w:w="41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sz w:val="20"/>
                <w:szCs w:val="20"/>
              </w:rPr>
              <w:t xml:space="preserve">Profit attainment % vs actual net profit</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r>
              <w:rPr>
                <w:rFonts w:ascii="Arial" w:cs="Arial" w:eastAsia="Arial" w:hAnsi="Arial"/>
                <w:b/>
                <w:bCs/>
                <w:sz w:val="20"/>
                <w:szCs w:val="20"/>
              </w:rPr>
              <w:t xml:space="preserve">COGS %  or  COGS Fixed $</w:t>
            </w:r>
          </w:p>
        </w:tc>
        <w:tc>
          <w:tcPr>
            <w:tcW w:type="dxa" w:w="240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r>
              <w:rPr>
                <w:rFonts w:ascii="Arial" w:cs="Arial" w:eastAsia="Arial" w:hAnsi="Arial"/>
                <w:sz w:val="20"/>
                <w:szCs w:val="20"/>
              </w:rPr>
              <w:t xml:space="preserve">P&amp;L page (shared with CFO Hub)</w:t>
            </w:r>
          </w:p>
        </w:tc>
        <w:tc>
          <w:tcPr>
            <w:tcW w:type="dxa" w:w="4160"/>
            <w:tcBorders>
              <w:top w:val="single" w:color="E2E8F0" w:sz="4"/>
              <w:left w:val="single" w:color="E2E8F0" w:sz="4"/>
              <w:bottom w:val="single" w:color="E2E8F0" w:sz="4"/>
              <w:right w:val="single" w:color="E2E8F0" w:sz="4"/>
            </w:tcBorders>
            <w:shd w:fill="F1F5F9" w:val="clear"/>
            <w:tcMar>
              <w:top w:type="dxa" w:w="80"/>
              <w:left w:type="dxa" w:w="140"/>
              <w:bottom w:type="dxa" w:w="80"/>
              <w:right w:type="dxa" w:w="140"/>
            </w:tcMar>
          </w:tcPr>
          <w:p>
            <w:r>
              <w:rPr>
                <w:rFonts w:ascii="Arial" w:cs="Arial" w:eastAsia="Arial" w:hAnsi="Arial"/>
                <w:sz w:val="20"/>
                <w:szCs w:val="20"/>
              </w:rPr>
              <w:t xml:space="preserve">Gross profit, gross margin, all margin-derived metrics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20"/>
              <w:bottom w:val="none" w:color="FFFFFF" w:sz="0"/>
              <w:right w:val="none" w:color="FFFFFF" w:sz="0"/>
            </w:tcBorders>
            <w:shd w:fill="FFFBEB" w:val="clear"/>
            <w:tcMar>
              <w:top w:type="dxa" w:w="100"/>
              <w:left w:type="dxa" w:w="200"/>
              <w:bottom w:type="dxa" w:w="100"/>
              <w:right w:type="dxa" w:w="200"/>
            </w:tcMar>
          </w:tcPr>
          <w:p>
            <w:r>
              <w:rPr>
                <w:rFonts w:ascii="Arial" w:cs="Arial" w:eastAsia="Arial" w:hAnsi="Arial"/>
                <w:b/>
                <w:bCs/>
                <w:color w:val="D97706"/>
                <w:sz w:val="21"/>
                <w:szCs w:val="21"/>
              </w:rPr>
              <w:t xml:space="preserve">Important</w:t>
            </w:r>
          </w:p>
          <w:p>
            <w:r>
              <w:rPr>
                <w:rFonts w:ascii="Arial" w:cs="Arial" w:eastAsia="Arial" w:hAnsi="Arial"/>
                <w:sz w:val="20"/>
                <w:szCs w:val="20"/>
              </w:rPr>
              <w:t xml:space="preserve">Manual inputs are saved to this browser on this device. If you switch devices or clear your browser data, you will need to re-enter them. Update bank balance and accounts payable monthly for accurate runway calculations.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5FDE" w:val="clear"/>
            <w:tcMar>
              <w:top w:type="dxa" w:w="120"/>
              <w:left w:type="dxa" w:w="200"/>
              <w:bottom w:type="dxa" w:w="120"/>
              <w:right w:type="dxa" w:w="200"/>
            </w:tcMar>
          </w:tcPr>
          <w:p>
            <w:r>
              <w:rPr>
                <w:rFonts w:ascii="Arial" w:cs="Arial" w:eastAsia="Arial" w:hAnsi="Arial"/>
                <w:b/>
                <w:bCs/>
                <w:color w:val="FFFFFF"/>
                <w:sz w:val="28"/>
                <w:szCs w:val="28"/>
              </w:rPr>
              <w:t xml:space="preserve">3  SECTION 3 — Tab-by-Tab User Guide</w:t>
            </w:r>
          </w:p>
        </w:tc>
      </w:tr>
    </w:tbl>
    <w:p>
      <w:pPr>
        <w:spacing w:after="80"/>
      </w:pPr>
      <w:r>
        <w:rPr>
          <w:rFonts w:ascii="Arial" w:cs="Arial" w:eastAsia="Arial" w:hAnsi="Arial"/>
          <w:sz w:val="22"/>
          <w:szCs w:val="22"/>
        </w:rPr>
        <w:t xml:space="preserve"/>
      </w:r>
    </w:p>
    <w:p>
      <w:pPr>
        <w:pStyle w:val="Heading2"/>
        <w:spacing w:after="120" w:before="360"/>
      </w:pPr>
      <w:r>
        <w:rPr>
          <w:rFonts w:ascii="Arial" w:cs="Arial" w:eastAsia="Arial" w:hAnsi="Arial"/>
          <w:b/>
          <w:bCs/>
          <w:color w:val="334155"/>
          <w:sz w:val="28"/>
          <w:szCs w:val="28"/>
        </w:rPr>
        <w:t xml:space="preserve">Tab 1 — Executive Summary</w:t>
      </w:r>
    </w:p>
    <w:p>
      <w:pPr>
        <w:spacing w:after="120"/>
      </w:pPr>
      <w:r>
        <w:rPr>
          <w:rFonts w:ascii="Arial" w:cs="Arial" w:eastAsia="Arial" w:hAnsi="Arial"/>
          <w:sz w:val="22"/>
          <w:szCs w:val="22"/>
        </w:rPr>
        <w:t xml:space="preserve">This is your daily health check. Open this tab first every morning to get an at-a-glance picture of how the business is tracking this month versus last month.</w:t>
      </w:r>
    </w:p>
    <w:p>
      <w:pPr>
        <w:spacing w:after="60"/>
      </w:pPr>
      <w:r>
        <w:rPr>
          <w:rFonts w:ascii="Arial" w:cs="Arial" w:eastAsia="Arial" w:hAnsi="Arial"/>
          <w:sz w:val="22"/>
          <w:szCs w:val="22"/>
        </w:rPr>
        <w:t xml:space="preserve"/>
      </w:r>
    </w:p>
    <w:p>
      <w:pPr>
        <w:pStyle w:val="Heading3"/>
        <w:spacing w:after="80" w:before="240"/>
      </w:pPr>
      <w:r>
        <w:rPr>
          <w:rFonts w:ascii="Arial" w:cs="Arial" w:eastAsia="Arial" w:hAnsi="Arial"/>
          <w:b/>
          <w:bCs/>
          <w:color w:val="5B5FDE"/>
          <w:sz w:val="24"/>
          <w:szCs w:val="24"/>
        </w:rPr>
        <w:t xml:space="preserve">KPI Strip (top row of five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5B5FDE" w:sz="4"/>
              <w:left w:val="single" w:color="5B5FDE" w:sz="4"/>
              <w:bottom w:val="single" w:color="5B5FDE" w:sz="4"/>
              <w:right w:val="single" w:color="5B5FDE" w:sz="4"/>
            </w:tcBorders>
            <w:shd w:fill="5B5FDE" w:val="clear"/>
            <w:tcMar>
              <w:top w:type="dxa" w:w="90"/>
              <w:left w:type="dxa" w:w="120"/>
              <w:bottom w:type="dxa" w:w="90"/>
              <w:right w:type="dxa" w:w="120"/>
            </w:tcMar>
          </w:tcPr>
          <w:p>
            <w:r>
              <w:rPr>
                <w:rFonts w:ascii="Arial" w:cs="Arial" w:eastAsia="Arial" w:hAnsi="Arial"/>
                <w:b/>
                <w:bCs/>
                <w:color w:val="FFFFFF"/>
                <w:sz w:val="20"/>
                <w:szCs w:val="20"/>
              </w:rPr>
              <w:t xml:space="preserve">Card</w:t>
            </w:r>
          </w:p>
        </w:tc>
        <w:tc>
          <w:tcPr>
            <w:tcW w:type="dxa" w:w="3560"/>
            <w:tcBorders>
              <w:top w:val="single" w:color="5B5FDE" w:sz="4"/>
              <w:left w:val="single" w:color="5B5FDE" w:sz="4"/>
              <w:bottom w:val="single" w:color="5B5FDE" w:sz="4"/>
              <w:right w:val="single" w:color="5B5FDE" w:sz="4"/>
            </w:tcBorders>
            <w:shd w:fill="5B5FDE" w:val="clear"/>
            <w:tcMar>
              <w:top w:type="dxa" w:w="90"/>
              <w:left w:type="dxa" w:w="120"/>
              <w:bottom w:type="dxa" w:w="90"/>
              <w:right w:type="dxa" w:w="120"/>
            </w:tcMar>
          </w:tcPr>
          <w:p>
            <w:r>
              <w:rPr>
                <w:rFonts w:ascii="Arial" w:cs="Arial" w:eastAsia="Arial" w:hAnsi="Arial"/>
                <w:b/>
                <w:bCs/>
                <w:color w:val="FFFFFF"/>
                <w:sz w:val="20"/>
                <w:szCs w:val="20"/>
              </w:rPr>
              <w:t xml:space="preserve">What it shows</w:t>
            </w:r>
          </w:p>
        </w:tc>
        <w:tc>
          <w:tcPr>
            <w:tcW w:type="dxa" w:w="3600"/>
            <w:tcBorders>
              <w:top w:val="single" w:color="5B5FDE" w:sz="4"/>
              <w:left w:val="single" w:color="5B5FDE" w:sz="4"/>
              <w:bottom w:val="single" w:color="5B5FDE" w:sz="4"/>
              <w:right w:val="single" w:color="5B5FDE" w:sz="4"/>
            </w:tcBorders>
            <w:shd w:fill="5B5FDE" w:val="clear"/>
            <w:tcMar>
              <w:top w:type="dxa" w:w="90"/>
              <w:left w:type="dxa" w:w="120"/>
              <w:bottom w:type="dxa" w:w="90"/>
              <w:right w:type="dxa" w:w="120"/>
            </w:tcMar>
          </w:tcPr>
          <w:p>
            <w:r>
              <w:rPr>
                <w:rFonts w:ascii="Arial" w:cs="Arial" w:eastAsia="Arial" w:hAnsi="Arial"/>
                <w:b/>
                <w:bCs/>
                <w:color w:val="FFFFFF"/>
                <w:sz w:val="20"/>
                <w:szCs w:val="20"/>
              </w:rPr>
              <w:t xml:space="preserve">What to watch for</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5B5FDE"/>
                <w:sz w:val="20"/>
                <w:szCs w:val="20"/>
              </w:rPr>
              <w:t xml:space="preserve">Revenue MTD</w:t>
            </w:r>
          </w:p>
        </w:tc>
        <w:tc>
          <w:tcPr>
            <w:tcW w:type="dxa" w:w="3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Total Shopify revenue this calendar month (paid orders, excluding refunds and voided)</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Is the monthly pace tracking ahead of last month? The badge shows % change MoM.</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b/>
                <w:bCs/>
                <w:color w:val="5B5FDE"/>
                <w:sz w:val="20"/>
                <w:szCs w:val="20"/>
              </w:rPr>
              <w:t xml:space="preserve">Net Profit MTD</w:t>
            </w:r>
          </w:p>
        </w:tc>
        <w:tc>
          <w:tcPr>
            <w:tcW w:type="dxa" w:w="356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sz w:val="20"/>
                <w:szCs w:val="20"/>
              </w:rPr>
              <w:t xml:space="preserve">Revenue minus COGS, minus ad spend, minus your fixed costs</w:t>
            </w:r>
          </w:p>
        </w:tc>
        <w:tc>
          <w:tcPr>
            <w:tcW w:type="dxa" w:w="36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sz w:val="20"/>
                <w:szCs w:val="20"/>
              </w:rPr>
              <w:t xml:space="preserve">Positive = profitable month. Negative = burning cash. The % shown is your net margin.</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5B5FDE"/>
                <w:sz w:val="20"/>
                <w:szCs w:val="20"/>
              </w:rPr>
              <w:t xml:space="preserve">Gross Margin</w:t>
            </w:r>
          </w:p>
        </w:tc>
        <w:tc>
          <w:tcPr>
            <w:tcW w:type="dxa" w:w="3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Gross profit as a % of revenue (after COGS only, before ad spend)</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Target 40-60% for most ecommerce. Below 35% means product costs are too high.</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b/>
                <w:bCs/>
                <w:color w:val="5B5FDE"/>
                <w:sz w:val="20"/>
                <w:szCs w:val="20"/>
              </w:rPr>
              <w:t xml:space="preserve">MER</w:t>
            </w:r>
          </w:p>
        </w:tc>
        <w:tc>
          <w:tcPr>
            <w:tcW w:type="dxa" w:w="356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sz w:val="20"/>
                <w:szCs w:val="20"/>
              </w:rPr>
              <w:t xml:space="preserve">Marketing Efficiency Ratio = Total Revenue ÷ Total Ad Spend. How many dollars of revenue each ad dollar generates</w:t>
            </w:r>
          </w:p>
        </w:tc>
        <w:tc>
          <w:tcPr>
            <w:tcW w:type="dxa" w:w="36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sz w:val="20"/>
                <w:szCs w:val="20"/>
              </w:rPr>
              <w:t xml:space="preserve">Target 4×+. Below 3× your ads are underperforming relative to revenue.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5B5FDE"/>
                <w:sz w:val="20"/>
                <w:szCs w:val="20"/>
              </w:rPr>
              <w:t xml:space="preserve">Annual Run Rate</w:t>
            </w:r>
          </w:p>
        </w:tc>
        <w:tc>
          <w:tcPr>
            <w:tcW w:type="dxa" w:w="3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If the current daily revenue pace continued for 365 days — your implied annual revenue</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The EOM badge shows projected end-of-month revenue at current pace.</w:t>
            </w:r>
          </w:p>
        </w:tc>
      </w:tr>
    </w:tbl>
    <w:p>
      <w:pPr>
        <w:spacing w:after="120"/>
      </w:pPr>
      <w:r>
        <w:rPr>
          <w:rFonts w:ascii="Arial" w:cs="Arial" w:eastAsia="Arial" w:hAnsi="Arial"/>
          <w:sz w:val="22"/>
          <w:szCs w:val="22"/>
        </w:rPr>
        <w:t xml:space="preserve"/>
      </w:r>
    </w:p>
    <w:p>
      <w:pPr>
        <w:pStyle w:val="Heading3"/>
        <w:spacing w:after="80" w:before="240"/>
      </w:pPr>
      <w:r>
        <w:rPr>
          <w:rFonts w:ascii="Arial" w:cs="Arial" w:eastAsia="Arial" w:hAnsi="Arial"/>
          <w:b/>
          <w:bCs/>
          <w:color w:val="5B5FDE"/>
          <w:sz w:val="24"/>
          <w:szCs w:val="24"/>
        </w:rPr>
        <w:t xml:space="preserve">Financial Health Traffic Lights</w:t>
      </w:r>
    </w:p>
    <w:p>
      <w:pPr>
        <w:spacing w:after="120"/>
      </w:pPr>
      <w:r>
        <w:rPr>
          <w:rFonts w:ascii="Arial" w:cs="Arial" w:eastAsia="Arial" w:hAnsi="Arial"/>
          <w:sz w:val="22"/>
          <w:szCs w:val="22"/>
        </w:rPr>
        <w:t xml:space="preserve">Eight coloured indicators give you an instant red/amber/green status on the key health metrics. Each dot is colour-coded:</w:t>
      </w:r>
    </w:p>
    <w:p>
      <w:pPr>
        <w:pStyle w:val="ListParagraph"/>
        <w:numPr>
          <w:ilvl w:val="0"/>
          <w:numId w:val="2"/>
        </w:numPr>
        <w:spacing w:after="60"/>
      </w:pPr>
      <w:r>
        <w:rPr>
          <w:rFonts w:ascii="Arial" w:cs="Arial" w:eastAsia="Arial" w:hAnsi="Arial"/>
          <w:sz w:val="22"/>
          <w:szCs w:val="22"/>
        </w:rPr>
        <w:t xml:space="preserve">Green — performing well, no action needed</w:t>
      </w:r>
    </w:p>
    <w:p>
      <w:pPr>
        <w:pStyle w:val="ListParagraph"/>
        <w:numPr>
          <w:ilvl w:val="0"/>
          <w:numId w:val="2"/>
        </w:numPr>
        <w:spacing w:after="60"/>
      </w:pPr>
      <w:r>
        <w:rPr>
          <w:rFonts w:ascii="Arial" w:cs="Arial" w:eastAsia="Arial" w:hAnsi="Arial"/>
          <w:sz w:val="22"/>
          <w:szCs w:val="22"/>
        </w:rPr>
        <w:t xml:space="preserve">Amber — acceptable but monitor closely</w:t>
      </w:r>
    </w:p>
    <w:p>
      <w:pPr>
        <w:pStyle w:val="ListParagraph"/>
        <w:numPr>
          <w:ilvl w:val="0"/>
          <w:numId w:val="2"/>
        </w:numPr>
        <w:spacing w:after="60"/>
      </w:pPr>
      <w:r>
        <w:rPr>
          <w:rFonts w:ascii="Arial" w:cs="Arial" w:eastAsia="Arial" w:hAnsi="Arial"/>
          <w:sz w:val="22"/>
          <w:szCs w:val="22"/>
        </w:rPr>
        <w:t xml:space="preserve">Red — below benchmark, investigate and act</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334155" w:sz="4"/>
              <w:left w:val="single" w:color="334155" w:sz="4"/>
              <w:bottom w:val="single" w:color="334155" w:sz="4"/>
              <w:right w:val="single" w:color="334155" w:sz="4"/>
            </w:tcBorders>
            <w:shd w:fill="334155" w:val="clear"/>
            <w:tcMar>
              <w:top w:type="dxa" w:w="90"/>
              <w:left w:type="dxa" w:w="120"/>
              <w:bottom w:type="dxa" w:w="90"/>
              <w:right w:type="dxa" w:w="120"/>
            </w:tcMar>
          </w:tcPr>
          <w:p>
            <w:r>
              <w:rPr>
                <w:rFonts w:ascii="Arial" w:cs="Arial" w:eastAsia="Arial" w:hAnsi="Arial"/>
                <w:b/>
                <w:bCs/>
                <w:color w:val="FFFFFF"/>
                <w:sz w:val="20"/>
                <w:szCs w:val="20"/>
              </w:rPr>
              <w:t xml:space="preserve">Indicator</w:t>
            </w:r>
          </w:p>
        </w:tc>
        <w:tc>
          <w:tcPr>
            <w:tcW w:type="dxa" w:w="2400"/>
            <w:tcBorders>
              <w:top w:val="single" w:color="334155" w:sz="4"/>
              <w:left w:val="single" w:color="334155" w:sz="4"/>
              <w:bottom w:val="single" w:color="334155" w:sz="4"/>
              <w:right w:val="single" w:color="334155" w:sz="4"/>
            </w:tcBorders>
            <w:shd w:fill="334155" w:val="clear"/>
            <w:tcMar>
              <w:top w:type="dxa" w:w="90"/>
              <w:left w:type="dxa" w:w="120"/>
              <w:bottom w:type="dxa" w:w="90"/>
              <w:right w:type="dxa" w:w="120"/>
            </w:tcMar>
          </w:tcPr>
          <w:p>
            <w:r>
              <w:rPr>
                <w:rFonts w:ascii="Arial" w:cs="Arial" w:eastAsia="Arial" w:hAnsi="Arial"/>
                <w:b/>
                <w:bCs/>
                <w:color w:val="FFFFFF"/>
                <w:sz w:val="20"/>
                <w:szCs w:val="20"/>
              </w:rPr>
              <w:t xml:space="preserve">Green threshold</w:t>
            </w:r>
          </w:p>
        </w:tc>
        <w:tc>
          <w:tcPr>
            <w:tcW w:type="dxa" w:w="4560"/>
            <w:tcBorders>
              <w:top w:val="single" w:color="334155" w:sz="4"/>
              <w:left w:val="single" w:color="334155" w:sz="4"/>
              <w:bottom w:val="single" w:color="334155" w:sz="4"/>
              <w:right w:val="single" w:color="334155" w:sz="4"/>
            </w:tcBorders>
            <w:shd w:fill="334155" w:val="clear"/>
            <w:tcMar>
              <w:top w:type="dxa" w:w="90"/>
              <w:left w:type="dxa" w:w="120"/>
              <w:bottom w:type="dxa" w:w="90"/>
              <w:right w:type="dxa" w:w="120"/>
            </w:tcMar>
          </w:tcPr>
          <w:p>
            <w:r>
              <w:rPr>
                <w:rFonts w:ascii="Arial" w:cs="Arial" w:eastAsia="Arial" w:hAnsi="Arial"/>
                <w:b/>
                <w:bCs/>
                <w:color w:val="FFFFFF"/>
                <w:sz w:val="20"/>
                <w:szCs w:val="20"/>
              </w:rPr>
              <w:t xml:space="preserve">Red threshold</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sz w:val="20"/>
                <w:szCs w:val="20"/>
              </w:rPr>
              <w:t xml:space="preserve">Revenue Trend</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059669"/>
                <w:sz w:val="20"/>
                <w:szCs w:val="20"/>
              </w:rPr>
              <w:t xml:space="preserve">+5% MoM or better</w:t>
            </w:r>
          </w:p>
        </w:tc>
        <w:tc>
          <w:tcPr>
            <w:tcW w:type="dxa" w:w="4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DC2626"/>
                <w:sz w:val="20"/>
                <w:szCs w:val="20"/>
              </w:rPr>
              <w:t xml:space="preserve">Negative MoM — revenue is declining</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b/>
                <w:bCs/>
                <w:sz w:val="20"/>
                <w:szCs w:val="20"/>
              </w:rPr>
              <w:t xml:space="preserve">Gross Margin</w:t>
            </w:r>
          </w:p>
        </w:tc>
        <w:tc>
          <w:tcPr>
            <w:tcW w:type="dxa" w:w="2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059669"/>
                <w:sz w:val="20"/>
                <w:szCs w:val="20"/>
              </w:rPr>
              <w:t xml:space="preserve">50%+</w:t>
            </w:r>
          </w:p>
        </w:tc>
        <w:tc>
          <w:tcPr>
            <w:tcW w:type="dxa" w:w="456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DC2626"/>
                <w:sz w:val="20"/>
                <w:szCs w:val="20"/>
              </w:rPr>
              <w:t xml:space="preserve">Below 35% — COGS eating too much of revenue</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sz w:val="20"/>
                <w:szCs w:val="20"/>
              </w:rPr>
              <w:t xml:space="preserve">Ad Efficiency MER</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059669"/>
                <w:sz w:val="20"/>
                <w:szCs w:val="20"/>
              </w:rPr>
              <w:t xml:space="preserve">4× or better</w:t>
            </w:r>
          </w:p>
        </w:tc>
        <w:tc>
          <w:tcPr>
            <w:tcW w:type="dxa" w:w="4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DC2626"/>
                <w:sz w:val="20"/>
                <w:szCs w:val="20"/>
              </w:rPr>
              <w:t xml:space="preserve">Below 3× — ad spend outpacing revenue return</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b/>
                <w:bCs/>
                <w:sz w:val="20"/>
                <w:szCs w:val="20"/>
              </w:rPr>
              <w:t xml:space="preserve">Net Margin</w:t>
            </w:r>
          </w:p>
        </w:tc>
        <w:tc>
          <w:tcPr>
            <w:tcW w:type="dxa" w:w="2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059669"/>
                <w:sz w:val="20"/>
                <w:szCs w:val="20"/>
              </w:rPr>
              <w:t xml:space="preserve">15%+</w:t>
            </w:r>
          </w:p>
        </w:tc>
        <w:tc>
          <w:tcPr>
            <w:tcW w:type="dxa" w:w="456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DC2626"/>
                <w:sz w:val="20"/>
                <w:szCs w:val="20"/>
              </w:rPr>
              <w:t xml:space="preserve">Below 5% — barely profitable after all costs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sz w:val="20"/>
                <w:szCs w:val="20"/>
              </w:rPr>
              <w:t xml:space="preserve">Inventory Turns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059669"/>
                <w:sz w:val="20"/>
                <w:szCs w:val="20"/>
              </w:rPr>
              <w:t xml:space="preserve">6×/year or better</w:t>
            </w:r>
          </w:p>
        </w:tc>
        <w:tc>
          <w:tcPr>
            <w:tcW w:type="dxa" w:w="4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DC2626"/>
                <w:sz w:val="20"/>
                <w:szCs w:val="20"/>
              </w:rPr>
              <w:t xml:space="preserve">Below 3×/year — stock sitting too long, cash tied up</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b/>
                <w:bCs/>
                <w:sz w:val="20"/>
                <w:szCs w:val="20"/>
              </w:rPr>
              <w:t xml:space="preserve">LTV:CAC</w:t>
            </w:r>
          </w:p>
        </w:tc>
        <w:tc>
          <w:tcPr>
            <w:tcW w:type="dxa" w:w="2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059669"/>
                <w:sz w:val="20"/>
                <w:szCs w:val="20"/>
              </w:rPr>
              <w:t xml:space="preserve">3× or better</w:t>
            </w:r>
          </w:p>
        </w:tc>
        <w:tc>
          <w:tcPr>
            <w:tcW w:type="dxa" w:w="456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DC2626"/>
                <w:sz w:val="20"/>
                <w:szCs w:val="20"/>
              </w:rPr>
              <w:t xml:space="preserve">Below 2× — unsustainable customer acquisition cost</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sz w:val="20"/>
                <w:szCs w:val="20"/>
              </w:rPr>
              <w:t xml:space="preserve">Refund Rate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059669"/>
                <w:sz w:val="20"/>
                <w:szCs w:val="20"/>
              </w:rPr>
              <w:t xml:space="preserve">3% or below</w:t>
            </w:r>
          </w:p>
        </w:tc>
        <w:tc>
          <w:tcPr>
            <w:tcW w:type="dxa" w:w="4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DC2626"/>
                <w:sz w:val="20"/>
                <w:szCs w:val="20"/>
              </w:rPr>
              <w:t xml:space="preserve">Above 7% — product or listing quality issue</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b/>
                <w:bCs/>
                <w:sz w:val="20"/>
                <w:szCs w:val="20"/>
              </w:rPr>
              <w:t xml:space="preserve">Repeat Rate</w:t>
            </w:r>
          </w:p>
        </w:tc>
        <w:tc>
          <w:tcPr>
            <w:tcW w:type="dxa" w:w="2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059669"/>
                <w:sz w:val="20"/>
                <w:szCs w:val="20"/>
              </w:rPr>
              <w:t xml:space="preserve">30%+ of customers</w:t>
            </w:r>
          </w:p>
        </w:tc>
        <w:tc>
          <w:tcPr>
            <w:tcW w:type="dxa" w:w="456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DC2626"/>
                <w:sz w:val="20"/>
                <w:szCs w:val="20"/>
              </w:rPr>
              <w:t xml:space="preserve">Below 20% — poor retention, over-reliant on new customers</w:t>
            </w:r>
          </w:p>
        </w:tc>
      </w:tr>
    </w:tbl>
    <w:p>
      <w:pPr>
        <w:spacing w:after="120"/>
      </w:pPr>
      <w:r>
        <w:rPr>
          <w:rFonts w:ascii="Arial" w:cs="Arial" w:eastAsia="Arial" w:hAnsi="Arial"/>
          <w:sz w:val="22"/>
          <w:szCs w:val="22"/>
        </w:rPr>
        <w:t xml:space="preserve"/>
      </w:r>
    </w:p>
    <w:p>
      <w:pPr>
        <w:pStyle w:val="Heading3"/>
        <w:spacing w:after="80" w:before="240"/>
      </w:pPr>
      <w:r>
        <w:rPr>
          <w:rFonts w:ascii="Arial" w:cs="Arial" w:eastAsia="Arial" w:hAnsi="Arial"/>
          <w:b/>
          <w:bCs/>
          <w:color w:val="5B5FDE"/>
          <w:sz w:val="24"/>
          <w:szCs w:val="24"/>
        </w:rPr>
        <w:t xml:space="preserve">Key Highlights &amp; Concerns</w:t>
      </w:r>
    </w:p>
    <w:p>
      <w:pPr>
        <w:spacing w:after="120"/>
      </w:pPr>
      <w:r>
        <w:rPr>
          <w:rFonts w:ascii="Arial" w:cs="Arial" w:eastAsia="Arial" w:hAnsi="Arial"/>
          <w:sz w:val="22"/>
          <w:szCs w:val="22"/>
        </w:rPr>
        <w:t xml:space="preserve">Below the traffic lights, the system generates up to six automatic text insights based on your live numbers. These are written in plain English and call out the most important things happening — both good and bad. Read these every time you open the dashboard.</w:t>
      </w:r>
    </w:p>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5B5FDE"/>
          <w:sz w:val="24"/>
          <w:szCs w:val="24"/>
        </w:rPr>
        <w:t xml:space="preserve">Month-over-Month Comparison</w:t>
      </w:r>
    </w:p>
    <w:p>
      <w:pPr>
        <w:spacing w:after="120"/>
      </w:pPr>
      <w:r>
        <w:rPr>
          <w:rFonts w:ascii="Arial" w:cs="Arial" w:eastAsia="Arial" w:hAnsi="Arial"/>
          <w:sz w:val="22"/>
          <w:szCs w:val="22"/>
        </w:rPr>
        <w:t xml:space="preserve">A side-by-side table comparing last full month vs. this month (current, partial). Shows Revenue, Gross Profit, Gross Margin %, Net Profit, Net Margin %, Orders, AOV, and Refund Rate with a % change badge on each row.</w:t>
      </w:r>
    </w:p>
    <w:p>
      <w:r>
        <w:br w:type="page"/>
      </w:r>
    </w:p>
    <w:p>
      <w:pPr>
        <w:pStyle w:val="Heading2"/>
        <w:spacing w:after="120" w:before="360"/>
      </w:pPr>
      <w:r>
        <w:rPr>
          <w:rFonts w:ascii="Arial" w:cs="Arial" w:eastAsia="Arial" w:hAnsi="Arial"/>
          <w:b/>
          <w:bCs/>
          <w:color w:val="334155"/>
          <w:sz w:val="28"/>
          <w:szCs w:val="28"/>
        </w:rPr>
        <w:t xml:space="preserve">Tab 2 — P&amp;L Analysis</w:t>
      </w:r>
    </w:p>
    <w:p>
      <w:pPr>
        <w:spacing w:after="120"/>
      </w:pPr>
      <w:r>
        <w:rPr>
          <w:rFonts w:ascii="Arial" w:cs="Arial" w:eastAsia="Arial" w:hAnsi="Arial"/>
          <w:sz w:val="22"/>
          <w:szCs w:val="22"/>
        </w:rPr>
        <w:t xml:space="preserve">This tab shows you where revenue goes — step by step — from total revenue down to net profit. It also shows 6-month margin trends so you can see whether profitability is improving or deteriorating over time.</w:t>
      </w:r>
    </w:p>
    <w:p>
      <w:pPr>
        <w:spacing w:after="60"/>
      </w:pPr>
      <w:r>
        <w:rPr>
          <w:rFonts w:ascii="Arial" w:cs="Arial" w:eastAsia="Arial" w:hAnsi="Arial"/>
          <w:sz w:val="22"/>
          <w:szCs w:val="22"/>
        </w:rPr>
        <w:t xml:space="preserve"/>
      </w:r>
    </w:p>
    <w:p>
      <w:pPr>
        <w:pStyle w:val="Heading3"/>
        <w:spacing w:after="80" w:before="240"/>
      </w:pPr>
      <w:r>
        <w:rPr>
          <w:rFonts w:ascii="Arial" w:cs="Arial" w:eastAsia="Arial" w:hAnsi="Arial"/>
          <w:b/>
          <w:bCs/>
          <w:color w:val="5B5FDE"/>
          <w:sz w:val="24"/>
          <w:szCs w:val="24"/>
        </w:rPr>
        <w:t xml:space="preserve">P&amp;L Waterfall</w:t>
      </w:r>
    </w:p>
    <w:p>
      <w:pPr>
        <w:spacing w:after="120"/>
      </w:pPr>
      <w:r>
        <w:rPr>
          <w:rFonts w:ascii="Arial" w:cs="Arial" w:eastAsia="Arial" w:hAnsi="Arial"/>
          <w:sz w:val="22"/>
          <w:szCs w:val="22"/>
        </w:rPr>
        <w:t xml:space="preserve">The waterfall is a visual bar chart that shows how each cost layer reduces your revenue. Read it top-to-bottom:</w:t>
      </w:r>
    </w:p>
    <w:p>
      <w:pPr>
        <w:pStyle w:val="ListParagraph"/>
        <w:numPr>
          <w:ilvl w:val="0"/>
          <w:numId w:val="2"/>
        </w:numPr>
        <w:spacing w:after="60"/>
      </w:pPr>
      <w:r>
        <w:rPr>
          <w:rFonts w:ascii="Arial" w:cs="Arial" w:eastAsia="Arial" w:hAnsi="Arial"/>
          <w:sz w:val="22"/>
          <w:szCs w:val="22"/>
        </w:rPr>
        <w:t xml:space="preserve">Revenue — gross Shopify revenue this month</w:t>
      </w:r>
    </w:p>
    <w:p>
      <w:pPr>
        <w:pStyle w:val="ListParagraph"/>
        <w:numPr>
          <w:ilvl w:val="0"/>
          <w:numId w:val="2"/>
        </w:numPr>
        <w:spacing w:after="60"/>
      </w:pPr>
      <w:r>
        <w:rPr>
          <w:rFonts w:ascii="Arial" w:cs="Arial" w:eastAsia="Arial" w:hAnsi="Arial"/>
          <w:sz w:val="22"/>
          <w:szCs w:val="22"/>
        </w:rPr>
        <w:t xml:space="preserve">Refunds — subtracted from revenue (if any)</w:t>
      </w:r>
    </w:p>
    <w:p>
      <w:pPr>
        <w:pStyle w:val="ListParagraph"/>
        <w:numPr>
          <w:ilvl w:val="0"/>
          <w:numId w:val="2"/>
        </w:numPr>
        <w:spacing w:after="60"/>
      </w:pPr>
      <w:r>
        <w:rPr>
          <w:rFonts w:ascii="Arial" w:cs="Arial" w:eastAsia="Arial" w:hAnsi="Arial"/>
          <w:sz w:val="22"/>
          <w:szCs w:val="22"/>
        </w:rPr>
        <w:t xml:space="preserve">COGS — cost of goods sold (set via P&amp;L page — see Section 4)</w:t>
      </w:r>
    </w:p>
    <w:p>
      <w:pPr>
        <w:pStyle w:val="ListParagraph"/>
        <w:numPr>
          <w:ilvl w:val="0"/>
          <w:numId w:val="2"/>
        </w:numPr>
        <w:spacing w:after="60"/>
      </w:pPr>
      <w:r>
        <w:rPr>
          <w:rFonts w:ascii="Arial" w:cs="Arial" w:eastAsia="Arial" w:hAnsi="Arial"/>
          <w:sz w:val="22"/>
          <w:szCs w:val="22"/>
        </w:rPr>
        <w:t xml:space="preserve">Gross Profit — what's left after product costs</w:t>
      </w:r>
    </w:p>
    <w:p>
      <w:pPr>
        <w:pStyle w:val="ListParagraph"/>
        <w:numPr>
          <w:ilvl w:val="0"/>
          <w:numId w:val="2"/>
        </w:numPr>
        <w:spacing w:after="60"/>
      </w:pPr>
      <w:r>
        <w:rPr>
          <w:rFonts w:ascii="Arial" w:cs="Arial" w:eastAsia="Arial" w:hAnsi="Arial"/>
          <w:sz w:val="22"/>
          <w:szCs w:val="22"/>
        </w:rPr>
        <w:t xml:space="preserve">Ad Spend — subtracted from gross profit</w:t>
      </w:r>
    </w:p>
    <w:p>
      <w:pPr>
        <w:pStyle w:val="ListParagraph"/>
        <w:numPr>
          <w:ilvl w:val="0"/>
          <w:numId w:val="2"/>
        </w:numPr>
        <w:spacing w:after="60"/>
      </w:pPr>
      <w:r>
        <w:rPr>
          <w:rFonts w:ascii="Arial" w:cs="Arial" w:eastAsia="Arial" w:hAnsi="Arial"/>
          <w:sz w:val="22"/>
          <w:szCs w:val="22"/>
        </w:rPr>
        <w:t xml:space="preserve">Contribution Margin — revenue after COGS and ads only</w:t>
      </w:r>
    </w:p>
    <w:p>
      <w:pPr>
        <w:pStyle w:val="ListParagraph"/>
        <w:numPr>
          <w:ilvl w:val="0"/>
          <w:numId w:val="2"/>
        </w:numPr>
        <w:spacing w:after="60"/>
      </w:pPr>
      <w:r>
        <w:rPr>
          <w:rFonts w:ascii="Arial" w:cs="Arial" w:eastAsia="Arial" w:hAnsi="Arial"/>
          <w:sz w:val="22"/>
          <w:szCs w:val="22"/>
        </w:rPr>
        <w:t xml:space="preserve">Fixed Costs — your monthly overheads (entered manually)</w:t>
      </w:r>
    </w:p>
    <w:p>
      <w:pPr>
        <w:pStyle w:val="ListParagraph"/>
        <w:numPr>
          <w:ilvl w:val="0"/>
          <w:numId w:val="2"/>
        </w:numPr>
        <w:spacing w:after="60"/>
      </w:pPr>
      <w:r>
        <w:rPr>
          <w:rFonts w:ascii="Arial" w:cs="Arial" w:eastAsia="Arial" w:hAnsi="Arial"/>
          <w:sz w:val="22"/>
          <w:szCs w:val="22"/>
        </w:rPr>
        <w:t xml:space="preserve">Net Profit — the final figure after everything</w:t>
      </w:r>
    </w:p>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5B5FDE"/>
          <w:sz w:val="24"/>
          <w:szCs w:val="24"/>
        </w:rPr>
        <w:t xml:space="preserve">6-Month Margin Trends</w:t>
      </w:r>
    </w:p>
    <w:p>
      <w:pPr>
        <w:spacing w:after="120"/>
      </w:pPr>
      <w:r>
        <w:rPr>
          <w:rFonts w:ascii="Arial" w:cs="Arial" w:eastAsia="Arial" w:hAnsi="Arial"/>
          <w:sz w:val="22"/>
          <w:szCs w:val="22"/>
        </w:rPr>
        <w:t xml:space="preserve">Two bar charts show how gross margin % and net margin % have moved across the last six months. If gross margin is stable but net margin is shrinking, your fixed costs or ad spend are increasing. If gross margin is shrinking, your COGS are increasing.</w:t>
      </w:r>
    </w:p>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5B5FDE"/>
          <w:sz w:val="24"/>
          <w:szCs w:val="24"/>
        </w:rPr>
        <w:t xml:space="preserve">Period P&amp;L Statement</w:t>
      </w:r>
    </w:p>
    <w:p>
      <w:pPr>
        <w:spacing w:after="120"/>
      </w:pPr>
      <w:r>
        <w:rPr>
          <w:rFonts w:ascii="Arial" w:cs="Arial" w:eastAsia="Arial" w:hAnsi="Arial"/>
          <w:sz w:val="22"/>
          <w:szCs w:val="22"/>
        </w:rPr>
        <w:t xml:space="preserve">A formal two-column P&amp;L table comparing last month vs. this month, including Revenue, COGS, Gross Profit, Ad Spend, Contribution, Fixed Costs, Net Profit, Orders, and AOV. This can be printed or screen-captured for reporting purposes.</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5FDE" w:sz="20"/>
              <w:bottom w:val="none" w:color="FFFFFF" w:sz="0"/>
              <w:right w:val="none" w:color="FFFFFF" w:sz="0"/>
            </w:tcBorders>
            <w:shd w:fill="ECEEFF" w:val="clear"/>
            <w:tcMar>
              <w:top w:type="dxa" w:w="100"/>
              <w:left w:type="dxa" w:w="200"/>
              <w:bottom w:type="dxa" w:w="100"/>
              <w:right w:type="dxa" w:w="200"/>
            </w:tcMar>
          </w:tcPr>
          <w:p>
            <w:r>
              <w:rPr>
                <w:rFonts w:ascii="Arial" w:cs="Arial" w:eastAsia="Arial" w:hAnsi="Arial"/>
                <w:b/>
                <w:bCs/>
                <w:color w:val="5B5FDE"/>
                <w:sz w:val="21"/>
                <w:szCs w:val="21"/>
              </w:rPr>
              <w:t xml:space="preserve">COGS Configuration</w:t>
            </w:r>
          </w:p>
          <w:p>
            <w:r>
              <w:rPr>
                <w:rFonts w:ascii="Arial" w:cs="Arial" w:eastAsia="Arial" w:hAnsi="Arial"/>
                <w:sz w:val="20"/>
                <w:szCs w:val="20"/>
              </w:rPr>
              <w:t xml:space="preserve">Your Cost of Goods Sold (COGS) setting is configured on the P&amp;L page. You can enter it as a percentage of revenue (e.g. 45%) or as a fixed dollar amount per month. This setting is shared between the P&amp;L page and the CFO Hub — change it once and both update.</w:t>
            </w:r>
          </w:p>
        </w:tc>
      </w:tr>
    </w:tbl>
    <w:p>
      <w:r>
        <w:br w:type="page"/>
      </w:r>
    </w:p>
    <w:p>
      <w:pPr>
        <w:pStyle w:val="Heading2"/>
        <w:spacing w:after="120" w:before="360"/>
      </w:pPr>
      <w:r>
        <w:rPr>
          <w:rFonts w:ascii="Arial" w:cs="Arial" w:eastAsia="Arial" w:hAnsi="Arial"/>
          <w:b/>
          <w:bCs/>
          <w:color w:val="334155"/>
          <w:sz w:val="28"/>
          <w:szCs w:val="28"/>
        </w:rPr>
        <w:t xml:space="preserve">Tab 3 — Cash &amp; Working Capital</w:t>
      </w:r>
    </w:p>
    <w:p>
      <w:pPr>
        <w:spacing w:after="120"/>
      </w:pPr>
      <w:r>
        <w:rPr>
          <w:rFonts w:ascii="Arial" w:cs="Arial" w:eastAsia="Arial" w:hAnsi="Arial"/>
          <w:sz w:val="22"/>
          <w:szCs w:val="22"/>
        </w:rPr>
        <w:t xml:space="preserve">Cash is the lifeblood of any business. This tab tells you how much cash you have, how long it will last at the current burn rate, and whether your inventory is tying up too much working capital.</w:t>
      </w:r>
    </w:p>
    <w:p>
      <w:pPr>
        <w:spacing w:after="60"/>
      </w:pPr>
      <w:r>
        <w:rPr>
          <w:rFonts w:ascii="Arial" w:cs="Arial" w:eastAsia="Arial" w:hAnsi="Arial"/>
          <w:sz w:val="22"/>
          <w:szCs w:val="22"/>
        </w:rPr>
        <w:t xml:space="preserve"/>
      </w:r>
    </w:p>
    <w:p>
      <w:pPr>
        <w:pStyle w:val="Heading3"/>
        <w:spacing w:after="80" w:before="240"/>
      </w:pPr>
      <w:r>
        <w:rPr>
          <w:rFonts w:ascii="Arial" w:cs="Arial" w:eastAsia="Arial" w:hAnsi="Arial"/>
          <w:b/>
          <w:bCs/>
          <w:color w:val="5B5FDE"/>
          <w:sz w:val="24"/>
          <w:szCs w:val="24"/>
        </w:rPr>
        <w:t xml:space="preserve">How to use this tab — step by step</w:t>
      </w:r>
    </w:p>
    <w:p>
      <w:pPr>
        <w:pStyle w:val="ListParagraph"/>
        <w:numPr>
          <w:ilvl w:val="0"/>
          <w:numId w:val="3"/>
        </w:numPr>
        <w:spacing w:after="60"/>
      </w:pPr>
      <w:r>
        <w:rPr>
          <w:rFonts w:ascii="Arial" w:cs="Arial" w:eastAsia="Arial" w:hAnsi="Arial"/>
          <w:b/>
          <w:bCs/>
          <w:sz w:val="22"/>
          <w:szCs w:val="22"/>
        </w:rPr>
        <w:t xml:space="preserve">Open the tab</w:t>
      </w:r>
      <w:r>
        <w:rPr>
          <w:rFonts w:ascii="Arial" w:cs="Arial" w:eastAsia="Arial" w:hAnsi="Arial"/>
          <w:sz w:val="22"/>
          <w:szCs w:val="22"/>
        </w:rPr>
        <w:t xml:space="preserve"> — you will see three input fields on the left card.</w:t>
      </w:r>
    </w:p>
    <w:p>
      <w:pPr>
        <w:pStyle w:val="ListParagraph"/>
        <w:numPr>
          <w:ilvl w:val="0"/>
          <w:numId w:val="3"/>
        </w:numPr>
        <w:spacing w:after="60"/>
      </w:pPr>
      <w:r>
        <w:rPr>
          <w:rFonts w:ascii="Arial" w:cs="Arial" w:eastAsia="Arial" w:hAnsi="Arial"/>
          <w:b/>
          <w:bCs/>
          <w:sz w:val="22"/>
          <w:szCs w:val="22"/>
        </w:rPr>
        <w:t xml:space="preserve">Enter Bank Balance</w:t>
      </w:r>
      <w:r>
        <w:rPr>
          <w:rFonts w:ascii="Arial" w:cs="Arial" w:eastAsia="Arial" w:hAnsi="Arial"/>
          <w:sz w:val="22"/>
          <w:szCs w:val="22"/>
        </w:rPr>
        <w:t xml:space="preserve"> — check your business bank account right now and enter the available balance.</w:t>
      </w:r>
    </w:p>
    <w:p>
      <w:pPr>
        <w:pStyle w:val="ListParagraph"/>
        <w:numPr>
          <w:ilvl w:val="0"/>
          <w:numId w:val="3"/>
        </w:numPr>
        <w:spacing w:after="60"/>
      </w:pPr>
      <w:r>
        <w:rPr>
          <w:rFonts w:ascii="Arial" w:cs="Arial" w:eastAsia="Arial" w:hAnsi="Arial"/>
          <w:b/>
          <w:bCs/>
          <w:sz w:val="22"/>
          <w:szCs w:val="22"/>
        </w:rPr>
        <w:t xml:space="preserve">Enter Accounts Payable</w:t>
      </w:r>
      <w:r>
        <w:rPr>
          <w:rFonts w:ascii="Arial" w:cs="Arial" w:eastAsia="Arial" w:hAnsi="Arial"/>
          <w:sz w:val="22"/>
          <w:szCs w:val="22"/>
        </w:rPr>
        <w:t xml:space="preserve"> — add up all outstanding invoices you owe to suppliers and enter the total.</w:t>
      </w:r>
    </w:p>
    <w:p>
      <w:pPr>
        <w:pStyle w:val="ListParagraph"/>
        <w:numPr>
          <w:ilvl w:val="0"/>
          <w:numId w:val="3"/>
        </w:numPr>
        <w:spacing w:after="60"/>
      </w:pPr>
      <w:r>
        <w:rPr>
          <w:rFonts w:ascii="Arial" w:cs="Arial" w:eastAsia="Arial" w:hAnsi="Arial"/>
          <w:b/>
          <w:bCs/>
          <w:sz w:val="22"/>
          <w:szCs w:val="22"/>
        </w:rPr>
        <w:t xml:space="preserve">Enter Monthly Fixed Costs</w:t>
      </w:r>
      <w:r>
        <w:rPr>
          <w:rFonts w:ascii="Arial" w:cs="Arial" w:eastAsia="Arial" w:hAnsi="Arial"/>
          <w:sz w:val="22"/>
          <w:szCs w:val="22"/>
        </w:rPr>
        <w:t xml:space="preserve"> — add up your recurring monthly costs: salaries, rent, Shopify subscription, software tools, etc.</w:t>
      </w:r>
    </w:p>
    <w:p>
      <w:pPr>
        <w:pStyle w:val="ListParagraph"/>
        <w:numPr>
          <w:ilvl w:val="0"/>
          <w:numId w:val="3"/>
        </w:numPr>
        <w:spacing w:after="60"/>
      </w:pPr>
      <w:r>
        <w:rPr>
          <w:rFonts w:ascii="Arial" w:cs="Arial" w:eastAsia="Arial" w:hAnsi="Arial"/>
          <w:b/>
          <w:bCs/>
          <w:sz w:val="22"/>
          <w:szCs w:val="22"/>
        </w:rPr>
        <w:t xml:space="preserve">Click Save</w:t>
      </w:r>
      <w:r>
        <w:rPr>
          <w:rFonts w:ascii="Arial" w:cs="Arial" w:eastAsia="Arial" w:hAnsi="Arial"/>
          <w:sz w:val="22"/>
          <w:szCs w:val="22"/>
        </w:rPr>
        <w:t xml:space="preserve"> — values are stored in your browser and will still be there next time you open the page.</w:t>
      </w:r>
    </w:p>
    <w:p>
      <w:pPr>
        <w:pStyle w:val="ListParagraph"/>
        <w:numPr>
          <w:ilvl w:val="0"/>
          <w:numId w:val="3"/>
        </w:numPr>
        <w:spacing w:after="120"/>
      </w:pPr>
      <w:r>
        <w:rPr>
          <w:rFonts w:ascii="Arial" w:cs="Arial" w:eastAsia="Arial" w:hAnsi="Arial"/>
          <w:b/>
          <w:bCs/>
          <w:sz w:val="22"/>
          <w:szCs w:val="22"/>
        </w:rPr>
        <w:t xml:space="preserve">Read the results</w:t>
      </w:r>
      <w:r>
        <w:rPr>
          <w:rFonts w:ascii="Arial" w:cs="Arial" w:eastAsia="Arial" w:hAnsi="Arial"/>
          <w:sz w:val="22"/>
          <w:szCs w:val="22"/>
        </w:rPr>
        <w:t xml:space="preserve"> — the dashboard calculates Net Cash, Monthly Burn, and Cash Runway automatically.</w:t>
      </w:r>
    </w:p>
    <w:p>
      <w:pPr>
        <w:spacing w:after="60"/>
      </w:pPr>
      <w:r>
        <w:rPr>
          <w:rFonts w:ascii="Arial" w:cs="Arial" w:eastAsia="Arial" w:hAnsi="Arial"/>
          <w:sz w:val="22"/>
          <w:szCs w:val="22"/>
        </w:rPr>
        <w:t xml:space="preserve"/>
      </w:r>
    </w:p>
    <w:p>
      <w:pPr>
        <w:pStyle w:val="Heading3"/>
        <w:spacing w:after="80" w:before="240"/>
      </w:pPr>
      <w:r>
        <w:rPr>
          <w:rFonts w:ascii="Arial" w:cs="Arial" w:eastAsia="Arial" w:hAnsi="Arial"/>
          <w:b/>
          <w:bCs/>
          <w:color w:val="5B5FDE"/>
          <w:sz w:val="24"/>
          <w:szCs w:val="24"/>
        </w:rPr>
        <w:t xml:space="preserve">Key metrics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334155" w:sz="4"/>
              <w:left w:val="single" w:color="334155" w:sz="4"/>
              <w:bottom w:val="single" w:color="334155" w:sz="4"/>
              <w:right w:val="single" w:color="334155" w:sz="4"/>
            </w:tcBorders>
            <w:shd w:fill="334155" w:val="clear"/>
            <w:tcMar>
              <w:top w:type="dxa" w:w="90"/>
              <w:left w:type="dxa" w:w="120"/>
              <w:bottom w:type="dxa" w:w="90"/>
              <w:right w:type="dxa" w:w="120"/>
            </w:tcMar>
          </w:tcPr>
          <w:p>
            <w:r>
              <w:rPr>
                <w:rFonts w:ascii="Arial" w:cs="Arial" w:eastAsia="Arial" w:hAnsi="Arial"/>
                <w:b/>
                <w:bCs/>
                <w:color w:val="FFFFFF"/>
                <w:sz w:val="20"/>
                <w:szCs w:val="20"/>
              </w:rPr>
              <w:t xml:space="preserve">Metric</w:t>
            </w:r>
          </w:p>
        </w:tc>
        <w:tc>
          <w:tcPr>
            <w:tcW w:type="dxa" w:w="3000"/>
            <w:tcBorders>
              <w:top w:val="single" w:color="334155" w:sz="4"/>
              <w:left w:val="single" w:color="334155" w:sz="4"/>
              <w:bottom w:val="single" w:color="334155" w:sz="4"/>
              <w:right w:val="single" w:color="334155" w:sz="4"/>
            </w:tcBorders>
            <w:shd w:fill="334155" w:val="clear"/>
            <w:tcMar>
              <w:top w:type="dxa" w:w="90"/>
              <w:left w:type="dxa" w:w="120"/>
              <w:bottom w:type="dxa" w:w="90"/>
              <w:right w:type="dxa" w:w="120"/>
            </w:tcMar>
          </w:tcPr>
          <w:p>
            <w:r>
              <w:rPr>
                <w:rFonts w:ascii="Arial" w:cs="Arial" w:eastAsia="Arial" w:hAnsi="Arial"/>
                <w:b/>
                <w:bCs/>
                <w:color w:val="FFFFFF"/>
                <w:sz w:val="20"/>
                <w:szCs w:val="20"/>
              </w:rPr>
              <w:t xml:space="preserve">Formula</w:t>
            </w:r>
          </w:p>
        </w:tc>
        <w:tc>
          <w:tcPr>
            <w:tcW w:type="dxa" w:w="3960"/>
            <w:tcBorders>
              <w:top w:val="single" w:color="334155" w:sz="4"/>
              <w:left w:val="single" w:color="334155" w:sz="4"/>
              <w:bottom w:val="single" w:color="334155" w:sz="4"/>
              <w:right w:val="single" w:color="334155" w:sz="4"/>
            </w:tcBorders>
            <w:shd w:fill="334155" w:val="clear"/>
            <w:tcMar>
              <w:top w:type="dxa" w:w="90"/>
              <w:left w:type="dxa" w:w="120"/>
              <w:bottom w:type="dxa" w:w="90"/>
              <w:right w:type="dxa" w:w="120"/>
            </w:tcMar>
          </w:tcPr>
          <w:p>
            <w:r>
              <w:rPr>
                <w:rFonts w:ascii="Arial" w:cs="Arial" w:eastAsia="Arial" w:hAnsi="Arial"/>
                <w:b/>
                <w:bCs/>
                <w:color w:val="FFFFFF"/>
                <w:sz w:val="20"/>
                <w:szCs w:val="20"/>
              </w:rPr>
              <w:t xml:space="preserve">What it tells you</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sz w:val="20"/>
                <w:szCs w:val="20"/>
              </w:rPr>
              <w:t xml:space="preserve">Net Cash</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i/>
                <w:iCs/>
                <w:color w:val="64748B"/>
                <w:sz w:val="20"/>
                <w:szCs w:val="20"/>
              </w:rPr>
              <w:t xml:space="preserve">Bank Balance − Accounts Payable</w:t>
            </w:r>
          </w:p>
        </w:tc>
        <w:tc>
          <w:tcPr>
            <w:tcW w:type="dxa" w:w="3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Real usable cash after liabilities</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b/>
                <w:bCs/>
                <w:sz w:val="20"/>
                <w:szCs w:val="20"/>
              </w:rPr>
              <w:t xml:space="preserve">Monthly Burn</w:t>
            </w:r>
          </w:p>
        </w:tc>
        <w:tc>
          <w:tcPr>
            <w:tcW w:type="dxa" w:w="30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i/>
                <w:iCs/>
                <w:color w:val="64748B"/>
                <w:sz w:val="20"/>
                <w:szCs w:val="20"/>
              </w:rPr>
              <w:t xml:space="preserve">Total monthly costs − revenue (if negative)</w:t>
            </w:r>
          </w:p>
        </w:tc>
        <w:tc>
          <w:tcPr>
            <w:tcW w:type="dxa" w:w="396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sz w:val="20"/>
                <w:szCs w:val="20"/>
              </w:rPr>
              <w:t xml:space="preserve">How much cash you consume per month. Zero if profitable.</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sz w:val="20"/>
                <w:szCs w:val="20"/>
              </w:rPr>
              <w:t xml:space="preserve">Cash Runway</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i/>
                <w:iCs/>
                <w:color w:val="64748B"/>
                <w:sz w:val="20"/>
                <w:szCs w:val="20"/>
              </w:rPr>
              <w:t xml:space="preserve">Net Cash ÷ Monthly Burn</w:t>
            </w:r>
          </w:p>
        </w:tc>
        <w:tc>
          <w:tcPr>
            <w:tcW w:type="dxa" w:w="3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Months of operation remaining at current burn rate</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b/>
                <w:bCs/>
                <w:sz w:val="20"/>
                <w:szCs w:val="20"/>
              </w:rPr>
              <w:t xml:space="preserve">Inventory Value</w:t>
            </w:r>
          </w:p>
        </w:tc>
        <w:tc>
          <w:tcPr>
            <w:tcW w:type="dxa" w:w="30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i/>
                <w:iCs/>
                <w:color w:val="64748B"/>
                <w:sz w:val="20"/>
                <w:szCs w:val="20"/>
              </w:rPr>
              <w:t xml:space="preserve">Price × 45% × stock quantity (all active SKUs)</w:t>
            </w:r>
          </w:p>
        </w:tc>
        <w:tc>
          <w:tcPr>
            <w:tcW w:type="dxa" w:w="396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sz w:val="20"/>
                <w:szCs w:val="20"/>
              </w:rPr>
              <w:t xml:space="preserve">Estimated cost value of stock on hand</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sz w:val="20"/>
                <w:szCs w:val="20"/>
              </w:rPr>
              <w:t xml:space="preserve">Inventory Turnover</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i/>
                <w:iCs/>
                <w:color w:val="64748B"/>
                <w:sz w:val="20"/>
                <w:szCs w:val="20"/>
              </w:rPr>
              <w:t xml:space="preserve">(Monthly COGS × 12) ÷ Inventory Value</w:t>
            </w:r>
          </w:p>
        </w:tc>
        <w:tc>
          <w:tcPr>
            <w:tcW w:type="dxa" w:w="3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How many times you sell through your stock per year. Higher = better.</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b/>
                <w:bCs/>
                <w:sz w:val="20"/>
                <w:szCs w:val="20"/>
              </w:rPr>
              <w:t xml:space="preserve">Days Inventory (DIO)</w:t>
            </w:r>
          </w:p>
        </w:tc>
        <w:tc>
          <w:tcPr>
            <w:tcW w:type="dxa" w:w="30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i/>
                <w:iCs/>
                <w:color w:val="64748B"/>
                <w:sz w:val="20"/>
                <w:szCs w:val="20"/>
              </w:rPr>
              <w:t xml:space="preserve">Inventory Value ÷ (COGS ÷ 30)</w:t>
            </w:r>
          </w:p>
        </w:tc>
        <w:tc>
          <w:tcPr>
            <w:tcW w:type="dxa" w:w="396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sz w:val="20"/>
                <w:szCs w:val="20"/>
              </w:rPr>
              <w:t xml:space="preserve">Average days stock sits before being sold. Target under 60.</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sz w:val="20"/>
                <w:szCs w:val="20"/>
              </w:rPr>
              <w:t xml:space="preserve">Current Ratio</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i/>
                <w:iCs/>
                <w:color w:val="64748B"/>
                <w:sz w:val="20"/>
                <w:szCs w:val="20"/>
              </w:rPr>
              <w:t xml:space="preserve">(Cash + Inventory) ÷ Accounts Payable</w:t>
            </w:r>
          </w:p>
        </w:tc>
        <w:tc>
          <w:tcPr>
            <w:tcW w:type="dxa" w:w="3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Ability to cover short-term debts. Target above 2×.</w:t>
            </w:r>
          </w:p>
        </w:tc>
      </w:tr>
    </w:tbl>
    <w:p>
      <w:r>
        <w:br w:type="page"/>
      </w:r>
    </w:p>
    <w:p>
      <w:pPr>
        <w:pStyle w:val="Heading2"/>
        <w:spacing w:after="120" w:before="360"/>
      </w:pPr>
      <w:r>
        <w:rPr>
          <w:rFonts w:ascii="Arial" w:cs="Arial" w:eastAsia="Arial" w:hAnsi="Arial"/>
          <w:b/>
          <w:bCs/>
          <w:color w:val="334155"/>
          <w:sz w:val="28"/>
          <w:szCs w:val="28"/>
        </w:rPr>
        <w:t xml:space="preserve">Tab 4 — Growth Analytics</w:t>
      </w:r>
    </w:p>
    <w:p>
      <w:pPr>
        <w:spacing w:after="120"/>
      </w:pPr>
      <w:r>
        <w:rPr>
          <w:rFonts w:ascii="Arial" w:cs="Arial" w:eastAsia="Arial" w:hAnsi="Arial"/>
          <w:sz w:val="22"/>
          <w:szCs w:val="22"/>
        </w:rPr>
        <w:t xml:space="preserve">This tab shows you whether your business is growing, at what rate, and whether that growth is coming from new customers or returning customers — a critical distinction for understanding the health of your acquisition and retention engines.</w:t>
      </w:r>
    </w:p>
    <w:p>
      <w:pPr>
        <w:spacing w:after="60"/>
      </w:pPr>
      <w:r>
        <w:rPr>
          <w:rFonts w:ascii="Arial" w:cs="Arial" w:eastAsia="Arial" w:hAnsi="Arial"/>
          <w:sz w:val="22"/>
          <w:szCs w:val="22"/>
        </w:rPr>
        <w:t xml:space="preserve"/>
      </w:r>
    </w:p>
    <w:p>
      <w:pPr>
        <w:pStyle w:val="Heading3"/>
        <w:spacing w:after="80" w:before="240"/>
      </w:pPr>
      <w:r>
        <w:rPr>
          <w:rFonts w:ascii="Arial" w:cs="Arial" w:eastAsia="Arial" w:hAnsi="Arial"/>
          <w:b/>
          <w:bCs/>
          <w:color w:val="5B5FDE"/>
          <w:sz w:val="24"/>
          <w:szCs w:val="24"/>
        </w:rPr>
        <w:t xml:space="preserve">6-Month Revenue Trend</w:t>
      </w:r>
    </w:p>
    <w:p>
      <w:pPr>
        <w:spacing w:after="120"/>
      </w:pPr>
      <w:r>
        <w:rPr>
          <w:rFonts w:ascii="Arial" w:cs="Arial" w:eastAsia="Arial" w:hAnsi="Arial"/>
          <w:sz w:val="22"/>
          <w:szCs w:val="22"/>
        </w:rPr>
        <w:t xml:space="preserve">A bar chart showing monthly revenue for the past 6 months. The current month is highlighted. Below the chart you will see the revenue pace per day, MoM change %, and order count.</w:t>
      </w:r>
    </w:p>
    <w:p>
      <w:pPr>
        <w:spacing w:after="60"/>
      </w:pPr>
      <w:r>
        <w:rPr>
          <w:rFonts w:ascii="Arial" w:cs="Arial" w:eastAsia="Arial" w:hAnsi="Arial"/>
          <w:sz w:val="22"/>
          <w:szCs w:val="22"/>
        </w:rPr>
        <w:t xml:space="preserve"/>
      </w:r>
    </w:p>
    <w:p>
      <w:pPr>
        <w:pStyle w:val="Heading3"/>
        <w:spacing w:after="80" w:before="240"/>
      </w:pPr>
      <w:r>
        <w:rPr>
          <w:rFonts w:ascii="Arial" w:cs="Arial" w:eastAsia="Arial" w:hAnsi="Arial"/>
          <w:b/>
          <w:bCs/>
          <w:color w:val="5B5FDE"/>
          <w:sz w:val="24"/>
          <w:szCs w:val="24"/>
        </w:rPr>
        <w:t xml:space="preserve">New vs. Returning Revenue</w:t>
      </w:r>
    </w:p>
    <w:p>
      <w:pPr>
        <w:spacing w:after="120"/>
      </w:pPr>
      <w:r>
        <w:rPr>
          <w:rFonts w:ascii="Arial" w:cs="Arial" w:eastAsia="Arial" w:hAnsi="Arial"/>
          <w:sz w:val="22"/>
          <w:szCs w:val="22"/>
        </w:rPr>
        <w:t xml:space="preserve">A stacked bar shows the estimated split between revenue from new customers and revenue from returning customers. This is calculated from your repeat purchase rate (from Shopify order history).</w:t>
      </w:r>
    </w:p>
    <w:p>
      <w:pPr>
        <w:pStyle w:val="ListParagraph"/>
        <w:numPr>
          <w:ilvl w:val="0"/>
          <w:numId w:val="2"/>
        </w:numPr>
        <w:spacing w:after="60"/>
      </w:pPr>
      <w:r>
        <w:rPr>
          <w:rFonts w:ascii="Arial" w:cs="Arial" w:eastAsia="Arial" w:hAnsi="Arial"/>
          <w:sz w:val="22"/>
          <w:szCs w:val="22"/>
        </w:rPr>
        <w:t xml:space="preserve">High returning revenue % (30%+) means your retention is strong — you rely less on paid acquisition.</w:t>
      </w:r>
    </w:p>
    <w:p>
      <w:pPr>
        <w:pStyle w:val="ListParagraph"/>
        <w:numPr>
          <w:ilvl w:val="0"/>
          <w:numId w:val="2"/>
        </w:numPr>
        <w:spacing w:after="60"/>
      </w:pPr>
      <w:r>
        <w:rPr>
          <w:rFonts w:ascii="Arial" w:cs="Arial" w:eastAsia="Arial" w:hAnsi="Arial"/>
          <w:sz w:val="22"/>
          <w:szCs w:val="22"/>
        </w:rPr>
        <w:t xml:space="preserve">Low returning revenue % means almost all revenue comes from new customers — a dependency on advertising that increases risk.</w:t>
      </w:r>
    </w:p>
    <w:p>
      <w:pPr>
        <w:spacing w:after="60"/>
      </w:pPr>
      <w:r>
        <w:rPr>
          <w:rFonts w:ascii="Arial" w:cs="Arial" w:eastAsia="Arial" w:hAnsi="Arial"/>
          <w:sz w:val="22"/>
          <w:szCs w:val="22"/>
        </w:rPr>
        <w:t xml:space="preserve"/>
      </w:r>
    </w:p>
    <w:p>
      <w:pPr>
        <w:pStyle w:val="Heading3"/>
        <w:spacing w:after="80" w:before="240"/>
      </w:pPr>
      <w:r>
        <w:rPr>
          <w:rFonts w:ascii="Arial" w:cs="Arial" w:eastAsia="Arial" w:hAnsi="Arial"/>
          <w:b/>
          <w:bCs/>
          <w:color w:val="5B5FDE"/>
          <w:sz w:val="24"/>
          <w:szCs w:val="24"/>
        </w:rPr>
        <w:t xml:space="preserve">Order Volume Trend</w:t>
      </w:r>
    </w:p>
    <w:p>
      <w:pPr>
        <w:spacing w:after="120"/>
      </w:pPr>
      <w:r>
        <w:rPr>
          <w:rFonts w:ascii="Arial" w:cs="Arial" w:eastAsia="Arial" w:hAnsi="Arial"/>
          <w:sz w:val="22"/>
          <w:szCs w:val="22"/>
        </w:rPr>
        <w:t xml:space="preserve">A separate bar chart shows order count by month. Compare this to revenue — if orders are growing but revenue is flat, your AOV may be declining (check the P&amp;L tab). If revenue is growing but orders are flat, your AOV is increasing — a positive signal.</w:t>
      </w:r>
    </w:p>
    <w:p>
      <w:r>
        <w:br w:type="page"/>
      </w:r>
    </w:p>
    <w:p>
      <w:pPr>
        <w:pStyle w:val="Heading2"/>
        <w:spacing w:after="120" w:before="360"/>
      </w:pPr>
      <w:r>
        <w:rPr>
          <w:rFonts w:ascii="Arial" w:cs="Arial" w:eastAsia="Arial" w:hAnsi="Arial"/>
          <w:b/>
          <w:bCs/>
          <w:color w:val="334155"/>
          <w:sz w:val="28"/>
          <w:szCs w:val="28"/>
        </w:rPr>
        <w:t xml:space="preserve">Tab 5 — Unit Economics</w:t>
      </w:r>
    </w:p>
    <w:p>
      <w:pPr>
        <w:spacing w:after="120"/>
      </w:pPr>
      <w:r>
        <w:rPr>
          <w:rFonts w:ascii="Arial" w:cs="Arial" w:eastAsia="Arial" w:hAnsi="Arial"/>
          <w:sz w:val="22"/>
          <w:szCs w:val="22"/>
        </w:rPr>
        <w:t xml:space="preserve">Unit economics tells you how profitable each individual customer or order is. This is the most important tab for understanding whether your business model is sustainable as you scale — because scaling a business with poor unit economics just loses money faster.</w:t>
      </w:r>
    </w:p>
    <w:p>
      <w:pPr>
        <w:spacing w:after="60"/>
      </w:pPr>
      <w:r>
        <w:rPr>
          <w:rFonts w:ascii="Arial" w:cs="Arial" w:eastAsia="Arial" w:hAnsi="Arial"/>
          <w:sz w:val="22"/>
          <w:szCs w:val="22"/>
        </w:rPr>
        <w:t xml:space="preserve"/>
      </w:r>
    </w:p>
    <w:p>
      <w:pPr>
        <w:pStyle w:val="Heading3"/>
        <w:spacing w:after="80" w:before="240"/>
      </w:pPr>
      <w:r>
        <w:rPr>
          <w:rFonts w:ascii="Arial" w:cs="Arial" w:eastAsia="Arial" w:hAnsi="Arial"/>
          <w:b/>
          <w:bCs/>
          <w:color w:val="5B5FDE"/>
          <w:sz w:val="24"/>
          <w:szCs w:val="24"/>
        </w:rPr>
        <w:t xml:space="preserve">Per-Order Breakdown (top row)</w:t>
      </w:r>
    </w:p>
    <w:p>
      <w:pPr>
        <w:spacing w:after="120"/>
      </w:pPr>
      <w:r>
        <w:rPr>
          <w:rFonts w:ascii="Arial" w:cs="Arial" w:eastAsia="Arial" w:hAnsi="Arial"/>
          <w:sz w:val="22"/>
          <w:szCs w:val="22"/>
        </w:rPr>
        <w:t xml:space="preserve">Six cards show the economics of a single average order:</w:t>
      </w:r>
    </w:p>
    <w:p>
      <w:pPr>
        <w:pStyle w:val="ListParagraph"/>
        <w:numPr>
          <w:ilvl w:val="0"/>
          <w:numId w:val="2"/>
        </w:numPr>
        <w:spacing w:after="60"/>
      </w:pPr>
      <w:r>
        <w:rPr>
          <w:rFonts w:ascii="Arial" w:cs="Arial" w:eastAsia="Arial" w:hAnsi="Arial"/>
          <w:sz w:val="22"/>
          <w:szCs w:val="22"/>
        </w:rPr>
        <w:t xml:space="preserve">AOV — average order value (total revenue ÷ orders)</w:t>
      </w:r>
    </w:p>
    <w:p>
      <w:pPr>
        <w:pStyle w:val="ListParagraph"/>
        <w:numPr>
          <w:ilvl w:val="0"/>
          <w:numId w:val="2"/>
        </w:numPr>
        <w:spacing w:after="60"/>
      </w:pPr>
      <w:r>
        <w:rPr>
          <w:rFonts w:ascii="Arial" w:cs="Arial" w:eastAsia="Arial" w:hAnsi="Arial"/>
          <w:sz w:val="22"/>
          <w:szCs w:val="22"/>
        </w:rPr>
        <w:t xml:space="preserve">COGS per order — average product cost per order</w:t>
      </w:r>
    </w:p>
    <w:p>
      <w:pPr>
        <w:pStyle w:val="ListParagraph"/>
        <w:numPr>
          <w:ilvl w:val="0"/>
          <w:numId w:val="2"/>
        </w:numPr>
        <w:spacing w:after="60"/>
      </w:pPr>
      <w:r>
        <w:rPr>
          <w:rFonts w:ascii="Arial" w:cs="Arial" w:eastAsia="Arial" w:hAnsi="Arial"/>
          <w:sz w:val="22"/>
          <w:szCs w:val="22"/>
        </w:rPr>
        <w:t xml:space="preserve">Gross profit per order — after product cost only</w:t>
      </w:r>
    </w:p>
    <w:p>
      <w:pPr>
        <w:pStyle w:val="ListParagraph"/>
        <w:numPr>
          <w:ilvl w:val="0"/>
          <w:numId w:val="2"/>
        </w:numPr>
        <w:spacing w:after="60"/>
      </w:pPr>
      <w:r>
        <w:rPr>
          <w:rFonts w:ascii="Arial" w:cs="Arial" w:eastAsia="Arial" w:hAnsi="Arial"/>
          <w:sz w:val="22"/>
          <w:szCs w:val="22"/>
        </w:rPr>
        <w:t xml:space="preserve">CPA (ad cost) — average cost to acquire one customer via paid ads</w:t>
      </w:r>
    </w:p>
    <w:p>
      <w:pPr>
        <w:pStyle w:val="ListParagraph"/>
        <w:numPr>
          <w:ilvl w:val="0"/>
          <w:numId w:val="2"/>
        </w:numPr>
        <w:spacing w:after="60"/>
      </w:pPr>
      <w:r>
        <w:rPr>
          <w:rFonts w:ascii="Arial" w:cs="Arial" w:eastAsia="Arial" w:hAnsi="Arial"/>
          <w:sz w:val="22"/>
          <w:szCs w:val="22"/>
        </w:rPr>
        <w:t xml:space="preserve">Contribution per order — after COGS and ad cost (how much each order contributes to overheads)</w:t>
      </w:r>
    </w:p>
    <w:p>
      <w:pPr>
        <w:pStyle w:val="ListParagraph"/>
        <w:numPr>
          <w:ilvl w:val="0"/>
          <w:numId w:val="2"/>
        </w:numPr>
        <w:spacing w:after="60"/>
      </w:pPr>
      <w:r>
        <w:rPr>
          <w:rFonts w:ascii="Arial" w:cs="Arial" w:eastAsia="Arial" w:hAnsi="Arial"/>
          <w:sz w:val="22"/>
          <w:szCs w:val="22"/>
        </w:rPr>
        <w:t xml:space="preserve">Net profit per order — after all costs, including fixed costs allocated per order</w:t>
      </w:r>
    </w:p>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5B5FDE"/>
          <w:sz w:val="24"/>
          <w:szCs w:val="24"/>
        </w:rPr>
        <w:t xml:space="preserve">LTV:CAC Analysis</w:t>
      </w:r>
    </w:p>
    <w:p>
      <w:pPr>
        <w:spacing w:after="120"/>
      </w:pPr>
      <w:r>
        <w:rPr>
          <w:rFonts w:ascii="Arial" w:cs="Arial" w:eastAsia="Arial" w:hAnsi="Arial"/>
          <w:sz w:val="22"/>
          <w:szCs w:val="22"/>
        </w:rPr>
        <w:t xml:space="preserve">This is the most critical metric for any ecommerce business using paid advertising.</w:t>
      </w:r>
    </w:p>
    <w:p>
      <w:pPr>
        <w:spacing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334155" w:sz="4"/>
              <w:left w:val="single" w:color="334155" w:sz="4"/>
              <w:bottom w:val="single" w:color="334155" w:sz="4"/>
              <w:right w:val="single" w:color="334155" w:sz="4"/>
            </w:tcBorders>
            <w:shd w:fill="334155" w:val="clear"/>
            <w:tcMar>
              <w:top w:type="dxa" w:w="90"/>
              <w:left w:type="dxa" w:w="120"/>
              <w:bottom w:type="dxa" w:w="90"/>
              <w:right w:type="dxa" w:w="120"/>
            </w:tcMar>
          </w:tcPr>
          <w:p>
            <w:r>
              <w:rPr>
                <w:rFonts w:ascii="Arial" w:cs="Arial" w:eastAsia="Arial" w:hAnsi="Arial"/>
                <w:b/>
                <w:bCs/>
                <w:color w:val="FFFFFF"/>
                <w:sz w:val="20"/>
                <w:szCs w:val="20"/>
              </w:rPr>
              <w:t xml:space="preserve">Metric</w:t>
            </w:r>
          </w:p>
        </w:tc>
        <w:tc>
          <w:tcPr>
            <w:tcW w:type="dxa" w:w="3560"/>
            <w:tcBorders>
              <w:top w:val="single" w:color="334155" w:sz="4"/>
              <w:left w:val="single" w:color="334155" w:sz="4"/>
              <w:bottom w:val="single" w:color="334155" w:sz="4"/>
              <w:right w:val="single" w:color="334155" w:sz="4"/>
            </w:tcBorders>
            <w:shd w:fill="334155" w:val="clear"/>
            <w:tcMar>
              <w:top w:type="dxa" w:w="90"/>
              <w:left w:type="dxa" w:w="120"/>
              <w:bottom w:type="dxa" w:w="90"/>
              <w:right w:type="dxa" w:w="120"/>
            </w:tcMar>
          </w:tcPr>
          <w:p>
            <w:r>
              <w:rPr>
                <w:rFonts w:ascii="Arial" w:cs="Arial" w:eastAsia="Arial" w:hAnsi="Arial"/>
                <w:b/>
                <w:bCs/>
                <w:color w:val="FFFFFF"/>
                <w:sz w:val="20"/>
                <w:szCs w:val="20"/>
              </w:rPr>
              <w:t xml:space="preserve">How it is calculated</w:t>
            </w:r>
          </w:p>
        </w:tc>
        <w:tc>
          <w:tcPr>
            <w:tcW w:type="dxa" w:w="3800"/>
            <w:tcBorders>
              <w:top w:val="single" w:color="334155" w:sz="4"/>
              <w:left w:val="single" w:color="334155" w:sz="4"/>
              <w:bottom w:val="single" w:color="334155" w:sz="4"/>
              <w:right w:val="single" w:color="334155" w:sz="4"/>
            </w:tcBorders>
            <w:shd w:fill="334155" w:val="clear"/>
            <w:tcMar>
              <w:top w:type="dxa" w:w="90"/>
              <w:left w:type="dxa" w:w="120"/>
              <w:bottom w:type="dxa" w:w="90"/>
              <w:right w:type="dxa" w:w="120"/>
            </w:tcMar>
          </w:tcPr>
          <w:p>
            <w:r>
              <w:rPr>
                <w:rFonts w:ascii="Arial" w:cs="Arial" w:eastAsia="Arial" w:hAnsi="Arial"/>
                <w:b/>
                <w:bCs/>
                <w:color w:val="FFFFFF"/>
                <w:sz w:val="20"/>
                <w:szCs w:val="20"/>
              </w:rPr>
              <w:t xml:space="preserve">Benchmark</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5B5FDE"/>
                <w:sz w:val="20"/>
                <w:szCs w:val="20"/>
              </w:rPr>
              <w:t xml:space="preserve">CAC (Cost to Acquire Customer)</w:t>
            </w:r>
          </w:p>
        </w:tc>
        <w:tc>
          <w:tcPr>
            <w:tcW w:type="dxa" w:w="3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i/>
                <w:iCs/>
                <w:color w:val="64748B"/>
                <w:sz w:val="20"/>
                <w:szCs w:val="20"/>
              </w:rPr>
              <w:t xml:space="preserve">Total ad spend ÷ new customers in last 30 days</w:t>
            </w:r>
          </w:p>
        </w:tc>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Varies — compare to gross profit per order</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b/>
                <w:bCs/>
                <w:color w:val="5B5FDE"/>
                <w:sz w:val="20"/>
                <w:szCs w:val="20"/>
              </w:rPr>
              <w:t xml:space="preserve">LTV (Lifetime Value)</w:t>
            </w:r>
          </w:p>
        </w:tc>
        <w:tc>
          <w:tcPr>
            <w:tcW w:type="dxa" w:w="356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i/>
                <w:iCs/>
                <w:color w:val="64748B"/>
                <w:sz w:val="20"/>
                <w:szCs w:val="20"/>
              </w:rPr>
              <w:t xml:space="preserve">AOV × average orders per customer × gross margin %</w:t>
            </w:r>
          </w:p>
        </w:tc>
        <w:tc>
          <w:tcPr>
            <w:tcW w:type="dxa" w:w="38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sz w:val="20"/>
                <w:szCs w:val="20"/>
              </w:rPr>
              <w:t xml:space="preserve">Must exceed CAC by 3× for sustainable growth</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5B5FDE"/>
                <w:sz w:val="20"/>
                <w:szCs w:val="20"/>
              </w:rPr>
              <w:t xml:space="preserve">LTV:CAC Ratio</w:t>
            </w:r>
          </w:p>
        </w:tc>
        <w:tc>
          <w:tcPr>
            <w:tcW w:type="dxa" w:w="3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i/>
                <w:iCs/>
                <w:color w:val="64748B"/>
                <w:sz w:val="20"/>
                <w:szCs w:val="20"/>
              </w:rPr>
              <w:t xml:space="preserve">LTV ÷ CAC</w:t>
            </w:r>
          </w:p>
        </w:tc>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Target 3×+. Below 2× is unsustainable.</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b/>
                <w:bCs/>
                <w:color w:val="5B5FDE"/>
                <w:sz w:val="20"/>
                <w:szCs w:val="20"/>
              </w:rPr>
              <w:t xml:space="preserve">CAC Payback Period</w:t>
            </w:r>
          </w:p>
        </w:tc>
        <w:tc>
          <w:tcPr>
            <w:tcW w:type="dxa" w:w="356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i/>
                <w:iCs/>
                <w:color w:val="64748B"/>
                <w:sz w:val="20"/>
                <w:szCs w:val="20"/>
              </w:rPr>
              <w:t xml:space="preserve">CAC ÷ (AOV × gross margin %)</w:t>
            </w:r>
          </w:p>
        </w:tc>
        <w:tc>
          <w:tcPr>
            <w:tcW w:type="dxa" w:w="38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sz w:val="20"/>
                <w:szCs w:val="20"/>
              </w:rPr>
              <w:t xml:space="preserve">Target under 3 orders — recover cost quickly</w:t>
            </w:r>
          </w:p>
        </w:tc>
      </w:tr>
    </w:tbl>
    <w:p>
      <w:pPr>
        <w:spacing w:after="120"/>
      </w:pPr>
      <w:r>
        <w:rPr>
          <w:rFonts w:ascii="Arial" w:cs="Arial" w:eastAsia="Arial" w:hAnsi="Arial"/>
          <w:sz w:val="22"/>
          <w:szCs w:val="22"/>
        </w:rPr>
        <w:t xml:space="preserve"/>
      </w:r>
    </w:p>
    <w:p>
      <w:pPr>
        <w:pStyle w:val="Heading3"/>
        <w:spacing w:after="80" w:before="240"/>
      </w:pPr>
      <w:r>
        <w:rPr>
          <w:rFonts w:ascii="Arial" w:cs="Arial" w:eastAsia="Arial" w:hAnsi="Arial"/>
          <w:b/>
          <w:bCs/>
          <w:color w:val="5B5FDE"/>
          <w:sz w:val="24"/>
          <w:szCs w:val="24"/>
        </w:rPr>
        <w:t xml:space="preserve">Channel Efficiency Table</w:t>
      </w:r>
    </w:p>
    <w:p>
      <w:pPr>
        <w:spacing w:after="120"/>
      </w:pPr>
      <w:r>
        <w:rPr>
          <w:rFonts w:ascii="Arial" w:cs="Arial" w:eastAsia="Arial" w:hAnsi="Arial"/>
          <w:sz w:val="22"/>
          <w:szCs w:val="22"/>
        </w:rPr>
        <w:t xml:space="preserve">If you have ad platforms connected, this table breaks down spend, estimated CPA, and estimated ROAS per platform (Meta, Google, TikTok). Use this to compare which channel is delivering the best return and reallocate budget accordingly.</w:t>
      </w:r>
    </w:p>
    <w:p>
      <w:r>
        <w:br w:type="page"/>
      </w:r>
    </w:p>
    <w:p>
      <w:pPr>
        <w:pStyle w:val="Heading2"/>
        <w:spacing w:after="120" w:before="360"/>
      </w:pPr>
      <w:r>
        <w:rPr>
          <w:rFonts w:ascii="Arial" w:cs="Arial" w:eastAsia="Arial" w:hAnsi="Arial"/>
          <w:b/>
          <w:bCs/>
          <w:color w:val="334155"/>
          <w:sz w:val="28"/>
          <w:szCs w:val="28"/>
        </w:rPr>
        <w:t xml:space="preserve">Tab 6 — Forecasting</w:t>
      </w:r>
    </w:p>
    <w:p>
      <w:pPr>
        <w:spacing w:after="120"/>
      </w:pPr>
      <w:r>
        <w:rPr>
          <w:rFonts w:ascii="Arial" w:cs="Arial" w:eastAsia="Arial" w:hAnsi="Arial"/>
          <w:sz w:val="22"/>
          <w:szCs w:val="22"/>
        </w:rPr>
        <w:t xml:space="preserve">This tab projects where revenue is heading based on your current month's pace and historical growth rate. It also lets you set monthly revenue and profit targets to track attainment.</w:t>
      </w:r>
    </w:p>
    <w:p>
      <w:pPr>
        <w:spacing w:after="60"/>
      </w:pPr>
      <w:r>
        <w:rPr>
          <w:rFonts w:ascii="Arial" w:cs="Arial" w:eastAsia="Arial" w:hAnsi="Arial"/>
          <w:sz w:val="22"/>
          <w:szCs w:val="22"/>
        </w:rPr>
        <w:t xml:space="preserve"/>
      </w:r>
    </w:p>
    <w:p>
      <w:pPr>
        <w:pStyle w:val="Heading3"/>
        <w:spacing w:after="80" w:before="240"/>
      </w:pPr>
      <w:r>
        <w:rPr>
          <w:rFonts w:ascii="Arial" w:cs="Arial" w:eastAsia="Arial" w:hAnsi="Arial"/>
          <w:b/>
          <w:bCs/>
          <w:color w:val="5B5FDE"/>
          <w:sz w:val="24"/>
          <w:szCs w:val="24"/>
        </w:rPr>
        <w:t xml:space="preserve">EOM Projection</w:t>
      </w:r>
    </w:p>
    <w:p>
      <w:pPr>
        <w:spacing w:after="120"/>
      </w:pPr>
      <w:r>
        <w:rPr>
          <w:rFonts w:ascii="Arial" w:cs="Arial" w:eastAsia="Arial" w:hAnsi="Arial"/>
          <w:sz w:val="22"/>
          <w:szCs w:val="22"/>
        </w:rPr>
        <w:t xml:space="preserve">The End-of-Month projection is calculated by taking total revenue earned so far this month, dividing by the number of days elapsed, and multiplying by the total days in the month. This gives a straight-line projection of where you will finish if the current daily pace continues.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5FDE" w:sz="20"/>
              <w:bottom w:val="none" w:color="FFFFFF" w:sz="0"/>
              <w:right w:val="none" w:color="FFFFFF" w:sz="0"/>
            </w:tcBorders>
            <w:shd w:fill="ECEEFF" w:val="clear"/>
            <w:tcMar>
              <w:top w:type="dxa" w:w="100"/>
              <w:left w:type="dxa" w:w="200"/>
              <w:bottom w:type="dxa" w:w="100"/>
              <w:right w:type="dxa" w:w="200"/>
            </w:tcMar>
          </w:tcPr>
          <w:p>
            <w:r>
              <w:rPr>
                <w:rFonts w:ascii="Arial" w:cs="Arial" w:eastAsia="Arial" w:hAnsi="Arial"/>
                <w:b/>
                <w:bCs/>
                <w:color w:val="5B5FDE"/>
                <w:sz w:val="21"/>
                <w:szCs w:val="21"/>
              </w:rPr>
              <w:t xml:space="preserve">Example</w:t>
            </w:r>
          </w:p>
          <w:p>
            <w:r>
              <w:rPr>
                <w:rFonts w:ascii="Arial" w:cs="Arial" w:eastAsia="Arial" w:hAnsi="Arial"/>
                <w:sz w:val="20"/>
                <w:szCs w:val="20"/>
              </w:rPr>
              <w:t xml:space="preserve">If it is the 15th of June and you have earned $30,000 in revenue, your daily pace is $2,000. June has 30 days, so your EOM projection is $60,000.</w:t>
            </w:r>
          </w:p>
        </w:tc>
      </w:tr>
    </w:tbl>
    <w:p>
      <w:pPr>
        <w:spacing w:after="120"/>
      </w:pPr>
      <w:r>
        <w:rPr>
          <w:rFonts w:ascii="Arial" w:cs="Arial" w:eastAsia="Arial" w:hAnsi="Arial"/>
          <w:sz w:val="22"/>
          <w:szCs w:val="22"/>
        </w:rPr>
        <w:t xml:space="preserve"/>
      </w:r>
    </w:p>
    <w:p>
      <w:pPr>
        <w:pStyle w:val="Heading3"/>
        <w:spacing w:after="80" w:before="240"/>
      </w:pPr>
      <w:r>
        <w:rPr>
          <w:rFonts w:ascii="Arial" w:cs="Arial" w:eastAsia="Arial" w:hAnsi="Arial"/>
          <w:b/>
          <w:bCs/>
          <w:color w:val="5B5FDE"/>
          <w:sz w:val="24"/>
          <w:szCs w:val="24"/>
        </w:rPr>
        <w:t xml:space="preserve">3-Month Projection</w:t>
      </w:r>
    </w:p>
    <w:p>
      <w:pPr>
        <w:spacing w:after="120"/>
      </w:pPr>
      <w:r>
        <w:rPr>
          <w:rFonts w:ascii="Arial" w:cs="Arial" w:eastAsia="Arial" w:hAnsi="Arial"/>
          <w:sz w:val="22"/>
          <w:szCs w:val="22"/>
        </w:rPr>
        <w:t xml:space="preserve">The system calculates a month-on-month growth rate from your last three complete months of revenue history, then projects forward three months using that rate. Projected bars appear as dashed outlines on the chart to distinguish them from actual data.</w:t>
      </w:r>
    </w:p>
    <w:p>
      <w:pPr>
        <w:spacing w:after="60"/>
      </w:pPr>
      <w:r>
        <w:rPr>
          <w:rFonts w:ascii="Arial" w:cs="Arial" w:eastAsia="Arial" w:hAnsi="Arial"/>
          <w:sz w:val="22"/>
          <w:szCs w:val="22"/>
        </w:rPr>
        <w:t xml:space="preserve"/>
      </w:r>
    </w:p>
    <w:p>
      <w:pPr>
        <w:pStyle w:val="Heading3"/>
        <w:spacing w:after="80" w:before="240"/>
      </w:pPr>
      <w:r>
        <w:rPr>
          <w:rFonts w:ascii="Arial" w:cs="Arial" w:eastAsia="Arial" w:hAnsi="Arial"/>
          <w:b/>
          <w:bCs/>
          <w:color w:val="5B5FDE"/>
          <w:sz w:val="24"/>
          <w:szCs w:val="24"/>
        </w:rPr>
        <w:t xml:space="preserve">Budget vs. Actual</w:t>
      </w:r>
    </w:p>
    <w:p>
      <w:pPr>
        <w:spacing w:after="120"/>
      </w:pPr>
      <w:r>
        <w:rPr>
          <w:rFonts w:ascii="Arial" w:cs="Arial" w:eastAsia="Arial" w:hAnsi="Arial"/>
          <w:sz w:val="22"/>
          <w:szCs w:val="22"/>
        </w:rPr>
        <w:t xml:space="preserve">Set a revenue target and net profit target for the current month. Once set, the page shows:</w:t>
      </w:r>
    </w:p>
    <w:p>
      <w:pPr>
        <w:pStyle w:val="ListParagraph"/>
        <w:numPr>
          <w:ilvl w:val="0"/>
          <w:numId w:val="2"/>
        </w:numPr>
        <w:spacing w:after="60"/>
      </w:pPr>
      <w:r>
        <w:rPr>
          <w:rFonts w:ascii="Arial" w:cs="Arial" w:eastAsia="Arial" w:hAnsi="Arial"/>
          <w:sz w:val="22"/>
          <w:szCs w:val="22"/>
        </w:rPr>
        <w:t xml:space="preserve">Attainment % — how close you are to the target</w:t>
      </w:r>
    </w:p>
    <w:p>
      <w:pPr>
        <w:pStyle w:val="ListParagraph"/>
        <w:numPr>
          <w:ilvl w:val="0"/>
          <w:numId w:val="2"/>
        </w:numPr>
        <w:spacing w:after="60"/>
      </w:pPr>
      <w:r>
        <w:rPr>
          <w:rFonts w:ascii="Arial" w:cs="Arial" w:eastAsia="Arial" w:hAnsi="Arial"/>
          <w:sz w:val="22"/>
          <w:szCs w:val="22"/>
        </w:rPr>
        <w:t xml:space="preserve">Gap to target — dollar amount still needed</w:t>
      </w:r>
    </w:p>
    <w:p>
      <w:pPr>
        <w:pStyle w:val="ListParagraph"/>
        <w:numPr>
          <w:ilvl w:val="0"/>
          <w:numId w:val="2"/>
        </w:numPr>
        <w:spacing w:after="60"/>
      </w:pPr>
      <w:r>
        <w:rPr>
          <w:rFonts w:ascii="Arial" w:cs="Arial" w:eastAsia="Arial" w:hAnsi="Arial"/>
          <w:sz w:val="22"/>
          <w:szCs w:val="22"/>
        </w:rPr>
        <w:t xml:space="preserve">Automatic highlight — green if exceeded, amber if below 80%</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20"/>
              <w:bottom w:val="none" w:color="FFFFFF" w:sz="0"/>
              <w:right w:val="none" w:color="FFFFFF" w:sz="0"/>
            </w:tcBorders>
            <w:shd w:fill="FFFBEB" w:val="clear"/>
            <w:tcMar>
              <w:top w:type="dxa" w:w="100"/>
              <w:left w:type="dxa" w:w="200"/>
              <w:bottom w:type="dxa" w:w="100"/>
              <w:right w:type="dxa" w:w="200"/>
            </w:tcMar>
          </w:tcPr>
          <w:p>
            <w:r>
              <w:rPr>
                <w:rFonts w:ascii="Arial" w:cs="Arial" w:eastAsia="Arial" w:hAnsi="Arial"/>
                <w:b/>
                <w:bCs/>
                <w:color w:val="D97706"/>
                <w:sz w:val="21"/>
                <w:szCs w:val="21"/>
              </w:rPr>
              <w:t xml:space="preserve">Updating targets</w:t>
            </w:r>
          </w:p>
          <w:p>
            <w:r>
              <w:rPr>
                <w:rFonts w:ascii="Arial" w:cs="Arial" w:eastAsia="Arial" w:hAnsi="Arial"/>
                <w:sz w:val="20"/>
                <w:szCs w:val="20"/>
              </w:rPr>
              <w:t xml:space="preserve">Targets are set once per month. Change them at the start of each month to reflect your current plan. Click Save after entering values.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5FDE" w:val="clear"/>
            <w:tcMar>
              <w:top w:type="dxa" w:w="120"/>
              <w:left w:type="dxa" w:w="200"/>
              <w:bottom w:type="dxa" w:w="120"/>
              <w:right w:type="dxa" w:w="200"/>
            </w:tcMar>
          </w:tcPr>
          <w:p>
            <w:r>
              <w:rPr>
                <w:rFonts w:ascii="Arial" w:cs="Arial" w:eastAsia="Arial" w:hAnsi="Arial"/>
                <w:b/>
                <w:bCs/>
                <w:color w:val="FFFFFF"/>
                <w:sz w:val="28"/>
                <w:szCs w:val="28"/>
              </w:rPr>
              <w:t xml:space="preserve">4  SECTION 4 — Metrics Glossary</w:t>
            </w:r>
          </w:p>
        </w:tc>
      </w:tr>
    </w:tbl>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Every metric used across the CFO Hub is listed here with its formula, target benchmark, and a plain-English explanation.</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3960"/>
      </w:tblGrid>
      <w:tr>
        <w:trPr>
          <w:tblHeader/>
        </w:trPr>
        <w:tc>
          <w:tcPr>
            <w:tcW w:type="dxa" w:w="1800"/>
            <w:tcBorders>
              <w:top w:val="single" w:color="5B5FDE" w:sz="4"/>
              <w:left w:val="single" w:color="5B5FDE" w:sz="4"/>
              <w:bottom w:val="single" w:color="5B5FDE" w:sz="4"/>
              <w:right w:val="single" w:color="5B5FDE" w:sz="4"/>
            </w:tcBorders>
            <w:shd w:fill="5B5FDE" w:val="clear"/>
            <w:tcMar>
              <w:top w:type="dxa" w:w="90"/>
              <w:left w:type="dxa" w:w="120"/>
              <w:bottom w:type="dxa" w:w="90"/>
              <w:right w:type="dxa" w:w="120"/>
            </w:tcMar>
          </w:tcPr>
          <w:p>
            <w:r>
              <w:rPr>
                <w:rFonts w:ascii="Arial" w:cs="Arial" w:eastAsia="Arial" w:hAnsi="Arial"/>
                <w:b/>
                <w:bCs/>
                <w:color w:val="FFFFFF"/>
                <w:sz w:val="20"/>
                <w:szCs w:val="20"/>
              </w:rPr>
              <w:t xml:space="preserve">Metric</w:t>
            </w:r>
          </w:p>
        </w:tc>
        <w:tc>
          <w:tcPr>
            <w:tcW w:type="dxa" w:w="2000"/>
            <w:tcBorders>
              <w:top w:val="single" w:color="5B5FDE" w:sz="4"/>
              <w:left w:val="single" w:color="5B5FDE" w:sz="4"/>
              <w:bottom w:val="single" w:color="5B5FDE" w:sz="4"/>
              <w:right w:val="single" w:color="5B5FDE" w:sz="4"/>
            </w:tcBorders>
            <w:shd w:fill="5B5FDE" w:val="clear"/>
            <w:tcMar>
              <w:top w:type="dxa" w:w="90"/>
              <w:left w:type="dxa" w:w="120"/>
              <w:bottom w:type="dxa" w:w="90"/>
              <w:right w:type="dxa" w:w="120"/>
            </w:tcMar>
          </w:tcPr>
          <w:p>
            <w:r>
              <w:rPr>
                <w:rFonts w:ascii="Arial" w:cs="Arial" w:eastAsia="Arial" w:hAnsi="Arial"/>
                <w:b/>
                <w:bCs/>
                <w:color w:val="FFFFFF"/>
                <w:sz w:val="20"/>
                <w:szCs w:val="20"/>
              </w:rPr>
              <w:t xml:space="preserve">Formula</w:t>
            </w:r>
          </w:p>
        </w:tc>
        <w:tc>
          <w:tcPr>
            <w:tcW w:type="dxa" w:w="1600"/>
            <w:tcBorders>
              <w:top w:val="single" w:color="5B5FDE" w:sz="4"/>
              <w:left w:val="single" w:color="5B5FDE" w:sz="4"/>
              <w:bottom w:val="single" w:color="5B5FDE" w:sz="4"/>
              <w:right w:val="single" w:color="5B5FDE" w:sz="4"/>
            </w:tcBorders>
            <w:shd w:fill="5B5FDE" w:val="clear"/>
            <w:tcMar>
              <w:top w:type="dxa" w:w="90"/>
              <w:left w:type="dxa" w:w="120"/>
              <w:bottom w:type="dxa" w:w="90"/>
              <w:right w:type="dxa" w:w="120"/>
            </w:tcMar>
          </w:tcPr>
          <w:p>
            <w:r>
              <w:rPr>
                <w:rFonts w:ascii="Arial" w:cs="Arial" w:eastAsia="Arial" w:hAnsi="Arial"/>
                <w:b/>
                <w:bCs/>
                <w:color w:val="FFFFFF"/>
                <w:sz w:val="20"/>
                <w:szCs w:val="20"/>
              </w:rPr>
              <w:t xml:space="preserve">Target</w:t>
            </w:r>
          </w:p>
        </w:tc>
        <w:tc>
          <w:tcPr>
            <w:tcW w:type="dxa" w:w="3960"/>
            <w:tcBorders>
              <w:top w:val="single" w:color="5B5FDE" w:sz="4"/>
              <w:left w:val="single" w:color="5B5FDE" w:sz="4"/>
              <w:bottom w:val="single" w:color="5B5FDE" w:sz="4"/>
              <w:right w:val="single" w:color="5B5FDE" w:sz="4"/>
            </w:tcBorders>
            <w:shd w:fill="5B5FDE" w:val="clear"/>
            <w:tcMar>
              <w:top w:type="dxa" w:w="90"/>
              <w:left w:type="dxa" w:w="120"/>
              <w:bottom w:type="dxa" w:w="90"/>
              <w:right w:type="dxa" w:w="120"/>
            </w:tcMar>
          </w:tcPr>
          <w:p>
            <w:r>
              <w:rPr>
                <w:rFonts w:ascii="Arial" w:cs="Arial" w:eastAsia="Arial" w:hAnsi="Arial"/>
                <w:b/>
                <w:bCs/>
                <w:color w:val="FFFFFF"/>
                <w:sz w:val="20"/>
                <w:szCs w:val="20"/>
              </w:rPr>
              <w:t xml:space="preserve">Plain-English Meaning</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Revenue MTD</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i/>
                <w:iCs/>
                <w:color w:val="64748B"/>
                <w:sz w:val="18"/>
                <w:szCs w:val="18"/>
              </w:rPr>
              <w:t xml:space="preserve">Sum of paid orders this calendar month</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059669"/>
                <w:sz w:val="18"/>
                <w:szCs w:val="18"/>
              </w:rPr>
              <w:t xml:space="preserve">Grow MoM</w:t>
            </w:r>
          </w:p>
        </w:tc>
        <w:tc>
          <w:tcPr>
            <w:tcW w:type="dxa" w:w="3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18"/>
                <w:szCs w:val="18"/>
              </w:rPr>
              <w:t xml:space="preserve">Total money collected from customers this month before any deductions</w:t>
            </w:r>
          </w:p>
        </w:tc>
      </w:tr>
      <w:tr>
        <w:tc>
          <w:tcPr>
            <w:tcW w:type="dxa" w:w="180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b/>
                <w:bCs/>
                <w:color w:val="334155"/>
                <w:sz w:val="19"/>
                <w:szCs w:val="19"/>
              </w:rPr>
              <w:t xml:space="preserve">Gross Profit</w:t>
            </w:r>
          </w:p>
        </w:tc>
        <w:tc>
          <w:tcPr>
            <w:tcW w:type="dxa" w:w="200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i/>
                <w:iCs/>
                <w:color w:val="64748B"/>
                <w:sz w:val="18"/>
                <w:szCs w:val="18"/>
              </w:rPr>
              <w:t xml:space="preserve">Revenue − COGS</w:t>
            </w:r>
          </w:p>
        </w:tc>
        <w:tc>
          <w:tcPr>
            <w:tcW w:type="dxa" w:w="160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color w:val="059669"/>
                <w:sz w:val="18"/>
                <w:szCs w:val="18"/>
              </w:rPr>
              <w:t xml:space="preserve">40%+ margin</w:t>
            </w:r>
          </w:p>
        </w:tc>
        <w:tc>
          <w:tcPr>
            <w:tcW w:type="dxa" w:w="396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sz w:val="18"/>
                <w:szCs w:val="18"/>
              </w:rPr>
              <w:t xml:space="preserve">Money left after paying for the products you sold</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Gross Margin %</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i/>
                <w:iCs/>
                <w:color w:val="64748B"/>
                <w:sz w:val="18"/>
                <w:szCs w:val="18"/>
              </w:rPr>
              <w:t xml:space="preserve">Gross Profit ÷ Revenue × 100</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059669"/>
                <w:sz w:val="18"/>
                <w:szCs w:val="18"/>
              </w:rPr>
              <w:t xml:space="preserve">40–60%</w:t>
            </w:r>
          </w:p>
        </w:tc>
        <w:tc>
          <w:tcPr>
            <w:tcW w:type="dxa" w:w="3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18"/>
                <w:szCs w:val="18"/>
              </w:rPr>
              <w:t xml:space="preserve">How much of each dollar of revenue remains after product cost</w:t>
            </w:r>
          </w:p>
        </w:tc>
      </w:tr>
      <w:tr>
        <w:tc>
          <w:tcPr>
            <w:tcW w:type="dxa" w:w="180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b/>
                <w:bCs/>
                <w:color w:val="334155"/>
                <w:sz w:val="19"/>
                <w:szCs w:val="19"/>
              </w:rPr>
              <w:t xml:space="preserve">Net Profit</w:t>
            </w:r>
          </w:p>
        </w:tc>
        <w:tc>
          <w:tcPr>
            <w:tcW w:type="dxa" w:w="200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i/>
                <w:iCs/>
                <w:color w:val="64748B"/>
                <w:sz w:val="18"/>
                <w:szCs w:val="18"/>
              </w:rPr>
              <w:t xml:space="preserve">Gross Profit − Ad Spend − Fixed Costs</w:t>
            </w:r>
          </w:p>
        </w:tc>
        <w:tc>
          <w:tcPr>
            <w:tcW w:type="dxa" w:w="160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color w:val="059669"/>
                <w:sz w:val="18"/>
                <w:szCs w:val="18"/>
              </w:rPr>
              <w:t xml:space="preserve">10–20%+</w:t>
            </w:r>
          </w:p>
        </w:tc>
        <w:tc>
          <w:tcPr>
            <w:tcW w:type="dxa" w:w="396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sz w:val="18"/>
                <w:szCs w:val="18"/>
              </w:rPr>
              <w:t xml:space="preserve">What the business actually keeps after paying for everything</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Net Margin %</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i/>
                <w:iCs/>
                <w:color w:val="64748B"/>
                <w:sz w:val="18"/>
                <w:szCs w:val="18"/>
              </w:rPr>
              <w:t xml:space="preserve">Net Profit ÷ Revenue × 100</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059669"/>
                <w:sz w:val="18"/>
                <w:szCs w:val="18"/>
              </w:rPr>
              <w:t xml:space="preserve">10%+</w:t>
            </w:r>
          </w:p>
        </w:tc>
        <w:tc>
          <w:tcPr>
            <w:tcW w:type="dxa" w:w="3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18"/>
                <w:szCs w:val="18"/>
              </w:rPr>
              <w:t xml:space="preserve">How much of each dollar of revenue you keep as profit</w:t>
            </w:r>
          </w:p>
        </w:tc>
      </w:tr>
      <w:tr>
        <w:tc>
          <w:tcPr>
            <w:tcW w:type="dxa" w:w="180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b/>
                <w:bCs/>
                <w:color w:val="334155"/>
                <w:sz w:val="19"/>
                <w:szCs w:val="19"/>
              </w:rPr>
              <w:t xml:space="preserve">Contribution Margin</w:t>
            </w:r>
          </w:p>
        </w:tc>
        <w:tc>
          <w:tcPr>
            <w:tcW w:type="dxa" w:w="200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i/>
                <w:iCs/>
                <w:color w:val="64748B"/>
                <w:sz w:val="18"/>
                <w:szCs w:val="18"/>
              </w:rPr>
              <w:t xml:space="preserve">Gross Profit − Ad Spend</w:t>
            </w:r>
          </w:p>
        </w:tc>
        <w:tc>
          <w:tcPr>
            <w:tcW w:type="dxa" w:w="160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color w:val="059669"/>
                <w:sz w:val="18"/>
                <w:szCs w:val="18"/>
              </w:rPr>
              <w:t xml:space="preserve">25%+</w:t>
            </w:r>
          </w:p>
        </w:tc>
        <w:tc>
          <w:tcPr>
            <w:tcW w:type="dxa" w:w="396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sz w:val="18"/>
                <w:szCs w:val="18"/>
              </w:rPr>
              <w:t xml:space="preserve">Profit after product costs and ads, before fixed costs</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MER</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i/>
                <w:iCs/>
                <w:color w:val="64748B"/>
                <w:sz w:val="18"/>
                <w:szCs w:val="18"/>
              </w:rPr>
              <w:t xml:space="preserve">Revenue ÷ Total Ad Spend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059669"/>
                <w:sz w:val="18"/>
                <w:szCs w:val="18"/>
              </w:rPr>
              <w:t xml:space="preserve">4×+</w:t>
            </w:r>
          </w:p>
        </w:tc>
        <w:tc>
          <w:tcPr>
            <w:tcW w:type="dxa" w:w="3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18"/>
                <w:szCs w:val="18"/>
              </w:rPr>
              <w:t xml:space="preserve">Every $1 of advertising should generate $4+ of revenue</w:t>
            </w:r>
          </w:p>
        </w:tc>
      </w:tr>
      <w:tr>
        <w:tc>
          <w:tcPr>
            <w:tcW w:type="dxa" w:w="180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b/>
                <w:bCs/>
                <w:color w:val="334155"/>
                <w:sz w:val="19"/>
                <w:szCs w:val="19"/>
              </w:rPr>
              <w:t xml:space="preserve">AOV</w:t>
            </w:r>
          </w:p>
        </w:tc>
        <w:tc>
          <w:tcPr>
            <w:tcW w:type="dxa" w:w="200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i/>
                <w:iCs/>
                <w:color w:val="64748B"/>
                <w:sz w:val="18"/>
                <w:szCs w:val="18"/>
              </w:rPr>
              <w:t xml:space="preserve">Total Revenue ÷ Order Count</w:t>
            </w:r>
          </w:p>
        </w:tc>
        <w:tc>
          <w:tcPr>
            <w:tcW w:type="dxa" w:w="160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color w:val="059669"/>
                <w:sz w:val="18"/>
                <w:szCs w:val="18"/>
              </w:rPr>
              <w:t xml:space="preserve">Grow MoM</w:t>
            </w:r>
          </w:p>
        </w:tc>
        <w:tc>
          <w:tcPr>
            <w:tcW w:type="dxa" w:w="396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sz w:val="18"/>
                <w:szCs w:val="18"/>
              </w:rPr>
              <w:t xml:space="preserve">How much an average customer spends per order</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CAC</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i/>
                <w:iCs/>
                <w:color w:val="64748B"/>
                <w:sz w:val="18"/>
                <w:szCs w:val="18"/>
              </w:rPr>
              <w:t xml:space="preserve">Total Ad Spend ÷ New Customers (30d)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059669"/>
                <w:sz w:val="18"/>
                <w:szCs w:val="18"/>
              </w:rPr>
              <w:t xml:space="preserve">&lt; LTV ÷ 3</w:t>
            </w:r>
          </w:p>
        </w:tc>
        <w:tc>
          <w:tcPr>
            <w:tcW w:type="dxa" w:w="3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18"/>
                <w:szCs w:val="18"/>
              </w:rPr>
              <w:t xml:space="preserve">How much it costs in advertising to bring in one new customer</w:t>
            </w:r>
          </w:p>
        </w:tc>
      </w:tr>
      <w:tr>
        <w:tc>
          <w:tcPr>
            <w:tcW w:type="dxa" w:w="180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b/>
                <w:bCs/>
                <w:color w:val="334155"/>
                <w:sz w:val="19"/>
                <w:szCs w:val="19"/>
              </w:rPr>
              <w:t xml:space="preserve">LTV</w:t>
            </w:r>
          </w:p>
        </w:tc>
        <w:tc>
          <w:tcPr>
            <w:tcW w:type="dxa" w:w="200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i/>
                <w:iCs/>
                <w:color w:val="64748B"/>
                <w:sz w:val="18"/>
                <w:szCs w:val="18"/>
              </w:rPr>
              <w:t xml:space="preserve">AOV × Avg Orders/Customer × Gross Margin</w:t>
            </w:r>
          </w:p>
        </w:tc>
        <w:tc>
          <w:tcPr>
            <w:tcW w:type="dxa" w:w="160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color w:val="059669"/>
                <w:sz w:val="18"/>
                <w:szCs w:val="18"/>
              </w:rPr>
              <w:t xml:space="preserve">3× CAC+</w:t>
            </w:r>
          </w:p>
        </w:tc>
        <w:tc>
          <w:tcPr>
            <w:tcW w:type="dxa" w:w="396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sz w:val="18"/>
                <w:szCs w:val="18"/>
              </w:rPr>
              <w:t xml:space="preserve">Total profit value expected from one customer over their lifetime</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LTV:CAC</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i/>
                <w:iCs/>
                <w:color w:val="64748B"/>
                <w:sz w:val="18"/>
                <w:szCs w:val="18"/>
              </w:rPr>
              <w:t xml:space="preserve">LTV ÷ CAC</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059669"/>
                <w:sz w:val="18"/>
                <w:szCs w:val="18"/>
              </w:rPr>
              <w:t xml:space="preserve">3×+</w:t>
            </w:r>
          </w:p>
        </w:tc>
        <w:tc>
          <w:tcPr>
            <w:tcW w:type="dxa" w:w="3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18"/>
                <w:szCs w:val="18"/>
              </w:rPr>
              <w:t xml:space="preserve">For every $1 spent acquiring a customer, you should earn $3+ back</w:t>
            </w:r>
          </w:p>
        </w:tc>
      </w:tr>
      <w:tr>
        <w:tc>
          <w:tcPr>
            <w:tcW w:type="dxa" w:w="180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b/>
                <w:bCs/>
                <w:color w:val="334155"/>
                <w:sz w:val="19"/>
                <w:szCs w:val="19"/>
              </w:rPr>
              <w:t xml:space="preserve">Repeat Rate</w:t>
            </w:r>
          </w:p>
        </w:tc>
        <w:tc>
          <w:tcPr>
            <w:tcW w:type="dxa" w:w="200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i/>
                <w:iCs/>
                <w:color w:val="64748B"/>
                <w:sz w:val="18"/>
                <w:szCs w:val="18"/>
              </w:rPr>
              <w:t xml:space="preserve">Customers with 2+ orders ÷ Total Customers × 100</w:t>
            </w:r>
          </w:p>
        </w:tc>
        <w:tc>
          <w:tcPr>
            <w:tcW w:type="dxa" w:w="160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color w:val="059669"/>
                <w:sz w:val="18"/>
                <w:szCs w:val="18"/>
              </w:rPr>
              <w:t xml:space="preserve">25%+</w:t>
            </w:r>
          </w:p>
        </w:tc>
        <w:tc>
          <w:tcPr>
            <w:tcW w:type="dxa" w:w="396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sz w:val="18"/>
                <w:szCs w:val="18"/>
              </w:rPr>
              <w:t xml:space="preserve">How many customers come back to buy again — the retention metric</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Refund Rate</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i/>
                <w:iCs/>
                <w:color w:val="64748B"/>
                <w:sz w:val="18"/>
                <w:szCs w:val="18"/>
              </w:rPr>
              <w:t xml:space="preserve">Refunds ÷ (Revenue + Refunds) × 100</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059669"/>
                <w:sz w:val="18"/>
                <w:szCs w:val="18"/>
              </w:rPr>
              <w:t xml:space="preserve">&lt; 3%</w:t>
            </w:r>
          </w:p>
        </w:tc>
        <w:tc>
          <w:tcPr>
            <w:tcW w:type="dxa" w:w="3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18"/>
                <w:szCs w:val="18"/>
              </w:rPr>
              <w:t xml:space="preserve">What percentage of revenue is returned — signals product or listing issues</w:t>
            </w:r>
          </w:p>
        </w:tc>
      </w:tr>
      <w:tr>
        <w:tc>
          <w:tcPr>
            <w:tcW w:type="dxa" w:w="180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b/>
                <w:bCs/>
                <w:color w:val="334155"/>
                <w:sz w:val="19"/>
                <w:szCs w:val="19"/>
              </w:rPr>
              <w:t xml:space="preserve">Inventory Turns</w:t>
            </w:r>
          </w:p>
        </w:tc>
        <w:tc>
          <w:tcPr>
            <w:tcW w:type="dxa" w:w="200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i/>
                <w:iCs/>
                <w:color w:val="64748B"/>
                <w:sz w:val="18"/>
                <w:szCs w:val="18"/>
              </w:rPr>
              <w:t xml:space="preserve">(Monthly COGS × 12) ÷ Inventory Value</w:t>
            </w:r>
          </w:p>
        </w:tc>
        <w:tc>
          <w:tcPr>
            <w:tcW w:type="dxa" w:w="160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color w:val="059669"/>
                <w:sz w:val="18"/>
                <w:szCs w:val="18"/>
              </w:rPr>
              <w:t xml:space="preserve">6×/year+</w:t>
            </w:r>
          </w:p>
        </w:tc>
        <w:tc>
          <w:tcPr>
            <w:tcW w:type="dxa" w:w="396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sz w:val="18"/>
                <w:szCs w:val="18"/>
              </w:rPr>
              <w:t xml:space="preserve">How many times your stock turns over in a year. Higher = less cash tied up.</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DIO</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i/>
                <w:iCs/>
                <w:color w:val="64748B"/>
                <w:sz w:val="18"/>
                <w:szCs w:val="18"/>
              </w:rPr>
              <w:t xml:space="preserve">Inventory Value ÷ (COGS ÷ 30)</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059669"/>
                <w:sz w:val="18"/>
                <w:szCs w:val="18"/>
              </w:rPr>
              <w:t xml:space="preserve">&lt; 60 days</w:t>
            </w:r>
          </w:p>
        </w:tc>
        <w:tc>
          <w:tcPr>
            <w:tcW w:type="dxa" w:w="3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18"/>
                <w:szCs w:val="18"/>
              </w:rPr>
              <w:t xml:space="preserve">How many days on average a product sits in stock before being sold</w:t>
            </w:r>
          </w:p>
        </w:tc>
      </w:tr>
      <w:tr>
        <w:tc>
          <w:tcPr>
            <w:tcW w:type="dxa" w:w="180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b/>
                <w:bCs/>
                <w:color w:val="334155"/>
                <w:sz w:val="19"/>
                <w:szCs w:val="19"/>
              </w:rPr>
              <w:t xml:space="preserve">Cash Runway</w:t>
            </w:r>
          </w:p>
        </w:tc>
        <w:tc>
          <w:tcPr>
            <w:tcW w:type="dxa" w:w="200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i/>
                <w:iCs/>
                <w:color w:val="64748B"/>
                <w:sz w:val="18"/>
                <w:szCs w:val="18"/>
              </w:rPr>
              <w:t xml:space="preserve">Net Cash ÷ Monthly Burn</w:t>
            </w:r>
          </w:p>
        </w:tc>
        <w:tc>
          <w:tcPr>
            <w:tcW w:type="dxa" w:w="160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color w:val="059669"/>
                <w:sz w:val="18"/>
                <w:szCs w:val="18"/>
              </w:rPr>
              <w:t xml:space="preserve">12+ months</w:t>
            </w:r>
          </w:p>
        </w:tc>
        <w:tc>
          <w:tcPr>
            <w:tcW w:type="dxa" w:w="3960"/>
            <w:tcBorders>
              <w:top w:val="single" w:color="E2E8F0" w:sz="4"/>
              <w:left w:val="single" w:color="E2E8F0" w:sz="4"/>
              <w:bottom w:val="single" w:color="E2E8F0" w:sz="4"/>
              <w:right w:val="single" w:color="E2E8F0" w:sz="4"/>
            </w:tcBorders>
            <w:shd w:fill="ECEEFF" w:val="clear"/>
            <w:tcMar>
              <w:top w:type="dxa" w:w="80"/>
              <w:left w:type="dxa" w:w="120"/>
              <w:bottom w:type="dxa" w:w="80"/>
              <w:right w:type="dxa" w:w="120"/>
            </w:tcMar>
          </w:tcPr>
          <w:p>
            <w:r>
              <w:rPr>
                <w:rFonts w:ascii="Arial" w:cs="Arial" w:eastAsia="Arial" w:hAnsi="Arial"/>
                <w:sz w:val="18"/>
                <w:szCs w:val="18"/>
              </w:rPr>
              <w:t xml:space="preserve">How long you can operate at current spend before running out of cash</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Annual Run Rate</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i/>
                <w:iCs/>
                <w:color w:val="64748B"/>
                <w:sz w:val="18"/>
                <w:szCs w:val="18"/>
              </w:rPr>
              <w:t xml:space="preserve">(Revenue ÷ Days Elapsed) × 365</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059669"/>
                <w:sz w:val="18"/>
                <w:szCs w:val="18"/>
              </w:rPr>
              <w:t xml:space="preserve">Grow YoY</w:t>
            </w:r>
          </w:p>
        </w:tc>
        <w:tc>
          <w:tcPr>
            <w:tcW w:type="dxa" w:w="3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18"/>
                <w:szCs w:val="18"/>
              </w:rPr>
              <w:t xml:space="preserve">Your implied annual revenue if today's daily pace continued all year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5FDE" w:val="clear"/>
            <w:tcMar>
              <w:top w:type="dxa" w:w="120"/>
              <w:left w:type="dxa" w:w="200"/>
              <w:bottom w:type="dxa" w:w="120"/>
              <w:right w:type="dxa" w:w="200"/>
            </w:tcMar>
          </w:tcPr>
          <w:p>
            <w:r>
              <w:rPr>
                <w:rFonts w:ascii="Arial" w:cs="Arial" w:eastAsia="Arial" w:hAnsi="Arial"/>
                <w:b/>
                <w:bCs/>
                <w:color w:val="FFFFFF"/>
                <w:sz w:val="28"/>
                <w:szCs w:val="28"/>
              </w:rPr>
              <w:t xml:space="preserve">5  SECTION 5 — Monthly Use Checklist</w:t>
            </w:r>
          </w:p>
        </w:tc>
      </w:tr>
    </w:tbl>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Follow this checklist at the start of each month to ensure the CFO Hub gives you accurate, up-to-date financial intelligence.</w:t>
      </w:r>
    </w:p>
    <w:p>
      <w:pPr>
        <w:spacing w:after="80"/>
      </w:pPr>
      <w:r>
        <w:rPr>
          <w:rFonts w:ascii="Arial" w:cs="Arial" w:eastAsia="Arial" w:hAnsi="Arial"/>
          <w:sz w:val="22"/>
          <w:szCs w:val="22"/>
        </w:rPr>
        <w:t xml:space="preserve"/>
      </w:r>
    </w:p>
    <w:p>
      <w:pPr>
        <w:pStyle w:val="Heading2"/>
        <w:spacing w:after="120" w:before="360"/>
      </w:pPr>
      <w:r>
        <w:rPr>
          <w:rFonts w:ascii="Arial" w:cs="Arial" w:eastAsia="Arial" w:hAnsi="Arial"/>
          <w:b/>
          <w:bCs/>
          <w:color w:val="334155"/>
          <w:sz w:val="28"/>
          <w:szCs w:val="28"/>
        </w:rPr>
        <w:t xml:space="preserve">5.1  Start of month (complete within the first 3 days)</w:t>
      </w:r>
    </w:p>
    <w:p>
      <w:pPr>
        <w:pStyle w:val="ListParagraph"/>
        <w:numPr>
          <w:ilvl w:val="0"/>
          <w:numId w:val="3"/>
        </w:numPr>
        <w:spacing w:after="80"/>
      </w:pPr>
      <w:r>
        <w:rPr>
          <w:rFonts w:ascii="Arial" w:cs="Arial" w:eastAsia="Arial" w:hAnsi="Arial"/>
          <w:b/>
          <w:bCs/>
          <w:sz w:val="22"/>
          <w:szCs w:val="22"/>
        </w:rPr>
        <w:t xml:space="preserve">Trigger a Shopify sync</w:t>
      </w:r>
      <w:r>
        <w:rPr>
          <w:rFonts w:ascii="Arial" w:cs="Arial" w:eastAsia="Arial" w:hAnsi="Arial"/>
          <w:sz w:val="22"/>
          <w:szCs w:val="22"/>
        </w:rPr>
        <w:t xml:space="preserve"> — go to Shopify Store page and click Sync. This ensures last month's final orders are captured.</w:t>
      </w:r>
    </w:p>
    <w:p>
      <w:pPr>
        <w:pStyle w:val="ListParagraph"/>
        <w:numPr>
          <w:ilvl w:val="0"/>
          <w:numId w:val="3"/>
        </w:numPr>
        <w:spacing w:after="80"/>
      </w:pPr>
      <w:r>
        <w:rPr>
          <w:rFonts w:ascii="Arial" w:cs="Arial" w:eastAsia="Arial" w:hAnsi="Arial"/>
          <w:b/>
          <w:bCs/>
          <w:sz w:val="22"/>
          <w:szCs w:val="22"/>
        </w:rPr>
        <w:t xml:space="preserve">Update Bank Balance</w:t>
      </w:r>
      <w:r>
        <w:rPr>
          <w:rFonts w:ascii="Arial" w:cs="Arial" w:eastAsia="Arial" w:hAnsi="Arial"/>
          <w:sz w:val="22"/>
          <w:szCs w:val="22"/>
        </w:rPr>
        <w:t xml:space="preserve"> — log into your business bank account and enter the current balance on the Cash tab.</w:t>
      </w:r>
    </w:p>
    <w:p>
      <w:pPr>
        <w:pStyle w:val="ListParagraph"/>
        <w:numPr>
          <w:ilvl w:val="0"/>
          <w:numId w:val="3"/>
        </w:numPr>
        <w:spacing w:after="80"/>
      </w:pPr>
      <w:r>
        <w:rPr>
          <w:rFonts w:ascii="Arial" w:cs="Arial" w:eastAsia="Arial" w:hAnsi="Arial"/>
          <w:b/>
          <w:bCs/>
          <w:sz w:val="22"/>
          <w:szCs w:val="22"/>
        </w:rPr>
        <w:t xml:space="preserve">Update Accounts Payable</w:t>
      </w:r>
      <w:r>
        <w:rPr>
          <w:rFonts w:ascii="Arial" w:cs="Arial" w:eastAsia="Arial" w:hAnsi="Arial"/>
          <w:sz w:val="22"/>
          <w:szCs w:val="22"/>
        </w:rPr>
        <w:t xml:space="preserve"> — enter any outstanding supplier invoices owed this month.</w:t>
      </w:r>
    </w:p>
    <w:p>
      <w:pPr>
        <w:pStyle w:val="ListParagraph"/>
        <w:numPr>
          <w:ilvl w:val="0"/>
          <w:numId w:val="3"/>
        </w:numPr>
        <w:spacing w:after="80"/>
      </w:pPr>
      <w:r>
        <w:rPr>
          <w:rFonts w:ascii="Arial" w:cs="Arial" w:eastAsia="Arial" w:hAnsi="Arial"/>
          <w:b/>
          <w:bCs/>
          <w:sz w:val="22"/>
          <w:szCs w:val="22"/>
        </w:rPr>
        <w:t xml:space="preserve">Update Monthly Fixed Costs</w:t>
      </w:r>
      <w:r>
        <w:rPr>
          <w:rFonts w:ascii="Arial" w:cs="Arial" w:eastAsia="Arial" w:hAnsi="Arial"/>
          <w:sz w:val="22"/>
          <w:szCs w:val="22"/>
        </w:rPr>
        <w:t xml:space="preserve"> — confirm no new recurring costs have been added (new tools, staff, etc.).</w:t>
      </w:r>
    </w:p>
    <w:p>
      <w:pPr>
        <w:pStyle w:val="ListParagraph"/>
        <w:numPr>
          <w:ilvl w:val="0"/>
          <w:numId w:val="3"/>
        </w:numPr>
        <w:spacing w:after="80"/>
      </w:pPr>
      <w:r>
        <w:rPr>
          <w:rFonts w:ascii="Arial" w:cs="Arial" w:eastAsia="Arial" w:hAnsi="Arial"/>
          <w:b/>
          <w:bCs/>
          <w:sz w:val="22"/>
          <w:szCs w:val="22"/>
        </w:rPr>
        <w:t xml:space="preserve">Set Revenue and Profit Targets</w:t>
      </w:r>
      <w:r>
        <w:rPr>
          <w:rFonts w:ascii="Arial" w:cs="Arial" w:eastAsia="Arial" w:hAnsi="Arial"/>
          <w:sz w:val="22"/>
          <w:szCs w:val="22"/>
        </w:rPr>
        <w:t xml:space="preserve"> — go to the Forecasting tab and enter your goals for the new month. Click Save.</w:t>
      </w:r>
    </w:p>
    <w:p>
      <w:pPr>
        <w:pStyle w:val="ListParagraph"/>
        <w:numPr>
          <w:ilvl w:val="0"/>
          <w:numId w:val="3"/>
        </w:numPr>
        <w:spacing w:after="80"/>
      </w:pPr>
      <w:r>
        <w:rPr>
          <w:rFonts w:ascii="Arial" w:cs="Arial" w:eastAsia="Arial" w:hAnsi="Arial"/>
          <w:b/>
          <w:bCs/>
          <w:sz w:val="22"/>
          <w:szCs w:val="22"/>
        </w:rPr>
        <w:t xml:space="preserve">Review COGS setting</w:t>
      </w:r>
      <w:r>
        <w:rPr>
          <w:rFonts w:ascii="Arial" w:cs="Arial" w:eastAsia="Arial" w:hAnsi="Arial"/>
          <w:sz w:val="22"/>
          <w:szCs w:val="22"/>
        </w:rPr>
        <w:t xml:space="preserve"> — if your supplier pricing has changed, update the COGS % on the P&amp;L page.</w:t>
      </w:r>
    </w:p>
    <w:p>
      <w:pPr>
        <w:pStyle w:val="ListParagraph"/>
        <w:numPr>
          <w:ilvl w:val="0"/>
          <w:numId w:val="3"/>
        </w:numPr>
        <w:spacing w:after="120"/>
      </w:pPr>
      <w:r>
        <w:rPr>
          <w:rFonts w:ascii="Arial" w:cs="Arial" w:eastAsia="Arial" w:hAnsi="Arial"/>
          <w:b/>
          <w:bCs/>
          <w:sz w:val="22"/>
          <w:szCs w:val="22"/>
        </w:rPr>
        <w:t xml:space="preserve">Screenshot or save the prior month's P&amp;L statement</w:t>
      </w:r>
      <w:r>
        <w:rPr>
          <w:rFonts w:ascii="Arial" w:cs="Arial" w:eastAsia="Arial" w:hAnsi="Arial"/>
          <w:sz w:val="22"/>
          <w:szCs w:val="22"/>
        </w:rPr>
        <w:t xml:space="preserve"> — go to P&amp;L Analysis tab, take a screenshot of the Period P&amp;L Statement for your records.</w:t>
      </w:r>
    </w:p>
    <w:p>
      <w:pPr>
        <w:spacing w:after="80"/>
      </w:pPr>
      <w:r>
        <w:rPr>
          <w:rFonts w:ascii="Arial" w:cs="Arial" w:eastAsia="Arial" w:hAnsi="Arial"/>
          <w:sz w:val="22"/>
          <w:szCs w:val="22"/>
        </w:rPr>
        <w:t xml:space="preserve"/>
      </w:r>
    </w:p>
    <w:p>
      <w:pPr>
        <w:pStyle w:val="Heading2"/>
        <w:spacing w:after="120" w:before="360"/>
      </w:pPr>
      <w:r>
        <w:rPr>
          <w:rFonts w:ascii="Arial" w:cs="Arial" w:eastAsia="Arial" w:hAnsi="Arial"/>
          <w:b/>
          <w:bCs/>
          <w:color w:val="334155"/>
          <w:sz w:val="28"/>
          <w:szCs w:val="28"/>
        </w:rPr>
        <w:t xml:space="preserve">5.2  Weekly check (every Monday, 5 minutes)</w:t>
      </w:r>
    </w:p>
    <w:p>
      <w:pPr>
        <w:pStyle w:val="ListParagraph"/>
        <w:numPr>
          <w:ilvl w:val="0"/>
          <w:numId w:val="3"/>
        </w:numPr>
        <w:spacing w:after="80"/>
      </w:pPr>
      <w:r>
        <w:rPr>
          <w:rFonts w:ascii="Arial" w:cs="Arial" w:eastAsia="Arial" w:hAnsi="Arial"/>
          <w:b/>
          <w:bCs/>
          <w:sz w:val="22"/>
          <w:szCs w:val="22"/>
        </w:rPr>
        <w:t xml:space="preserve">Open Executive Summary</w:t>
      </w:r>
      <w:r>
        <w:rPr>
          <w:rFonts w:ascii="Arial" w:cs="Arial" w:eastAsia="Arial" w:hAnsi="Arial"/>
          <w:sz w:val="22"/>
          <w:szCs w:val="22"/>
        </w:rPr>
        <w:t xml:space="preserve"> — read the 5 KPI cards. Note any MoM trend badges in red.</w:t>
      </w:r>
    </w:p>
    <w:p>
      <w:pPr>
        <w:pStyle w:val="ListParagraph"/>
        <w:numPr>
          <w:ilvl w:val="0"/>
          <w:numId w:val="3"/>
        </w:numPr>
        <w:spacing w:after="80"/>
      </w:pPr>
      <w:r>
        <w:rPr>
          <w:rFonts w:ascii="Arial" w:cs="Arial" w:eastAsia="Arial" w:hAnsi="Arial"/>
          <w:b/>
          <w:bCs/>
          <w:sz w:val="22"/>
          <w:szCs w:val="22"/>
        </w:rPr>
        <w:t xml:space="preserve">Check traffic lights</w:t>
      </w:r>
      <w:r>
        <w:rPr>
          <w:rFonts w:ascii="Arial" w:cs="Arial" w:eastAsia="Arial" w:hAnsi="Arial"/>
          <w:sz w:val="22"/>
          <w:szCs w:val="22"/>
        </w:rPr>
        <w:t xml:space="preserve"> — any red indicators this week? Identify cause.</w:t>
      </w:r>
    </w:p>
    <w:p>
      <w:pPr>
        <w:pStyle w:val="ListParagraph"/>
        <w:numPr>
          <w:ilvl w:val="0"/>
          <w:numId w:val="3"/>
        </w:numPr>
        <w:spacing w:after="80"/>
      </w:pPr>
      <w:r>
        <w:rPr>
          <w:rFonts w:ascii="Arial" w:cs="Arial" w:eastAsia="Arial" w:hAnsi="Arial"/>
          <w:b/>
          <w:bCs/>
          <w:sz w:val="22"/>
          <w:szCs w:val="22"/>
        </w:rPr>
        <w:t xml:space="preserve">Read the auto-highlights</w:t>
      </w:r>
      <w:r>
        <w:rPr>
          <w:rFonts w:ascii="Arial" w:cs="Arial" w:eastAsia="Arial" w:hAnsi="Arial"/>
          <w:sz w:val="22"/>
          <w:szCs w:val="22"/>
        </w:rPr>
        <w:t xml:space="preserve"> — the system will call out the most important changes since last time.</w:t>
      </w:r>
    </w:p>
    <w:p>
      <w:pPr>
        <w:pStyle w:val="ListParagraph"/>
        <w:numPr>
          <w:ilvl w:val="0"/>
          <w:numId w:val="3"/>
        </w:numPr>
        <w:spacing w:after="80"/>
      </w:pPr>
      <w:r>
        <w:rPr>
          <w:rFonts w:ascii="Arial" w:cs="Arial" w:eastAsia="Arial" w:hAnsi="Arial"/>
          <w:b/>
          <w:bCs/>
          <w:sz w:val="22"/>
          <w:szCs w:val="22"/>
        </w:rPr>
        <w:t xml:space="preserve">Check EOM projection</w:t>
      </w:r>
      <w:r>
        <w:rPr>
          <w:rFonts w:ascii="Arial" w:cs="Arial" w:eastAsia="Arial" w:hAnsi="Arial"/>
          <w:sz w:val="22"/>
          <w:szCs w:val="22"/>
        </w:rPr>
        <w:t xml:space="preserve"> — are you on track to hit your revenue target? If not, what needs to change?</w:t>
      </w:r>
    </w:p>
    <w:p>
      <w:pPr>
        <w:pStyle w:val="ListParagraph"/>
        <w:numPr>
          <w:ilvl w:val="0"/>
          <w:numId w:val="3"/>
        </w:numPr>
        <w:spacing w:after="120"/>
      </w:pPr>
      <w:r>
        <w:rPr>
          <w:rFonts w:ascii="Arial" w:cs="Arial" w:eastAsia="Arial" w:hAnsi="Arial"/>
          <w:b/>
          <w:bCs/>
          <w:sz w:val="22"/>
          <w:szCs w:val="22"/>
        </w:rPr>
        <w:t xml:space="preserve">Check MER on Unit Economics tab</w:t>
      </w:r>
      <w:r>
        <w:rPr>
          <w:rFonts w:ascii="Arial" w:cs="Arial" w:eastAsia="Arial" w:hAnsi="Arial"/>
          <w:sz w:val="22"/>
          <w:szCs w:val="22"/>
        </w:rPr>
        <w:t xml:space="preserve"> — has ad efficiency improved or declined this week?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5FDE" w:val="clear"/>
            <w:tcMar>
              <w:top w:type="dxa" w:w="120"/>
              <w:left w:type="dxa" w:w="200"/>
              <w:bottom w:type="dxa" w:w="120"/>
              <w:right w:type="dxa" w:w="200"/>
            </w:tcMar>
          </w:tcPr>
          <w:p>
            <w:r>
              <w:rPr>
                <w:rFonts w:ascii="Arial" w:cs="Arial" w:eastAsia="Arial" w:hAnsi="Arial"/>
                <w:b/>
                <w:bCs/>
                <w:color w:val="FFFFFF"/>
                <w:sz w:val="28"/>
                <w:szCs w:val="28"/>
              </w:rPr>
              <w:t xml:space="preserve">6  SECTION 6 — Troubleshooting</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334155" w:sz="4"/>
              <w:left w:val="single" w:color="334155" w:sz="4"/>
              <w:bottom w:val="single" w:color="334155" w:sz="4"/>
              <w:right w:val="single" w:color="334155" w:sz="4"/>
            </w:tcBorders>
            <w:shd w:fill="334155" w:val="clear"/>
            <w:tcMar>
              <w:top w:type="dxa" w:w="100"/>
              <w:left w:type="dxa" w:w="140"/>
              <w:bottom w:type="dxa" w:w="100"/>
              <w:right w:type="dxa" w:w="140"/>
            </w:tcMar>
          </w:tcPr>
          <w:p>
            <w:r>
              <w:rPr>
                <w:rFonts w:ascii="Arial" w:cs="Arial" w:eastAsia="Arial" w:hAnsi="Arial"/>
                <w:b/>
                <w:bCs/>
                <w:color w:val="FFFFFF"/>
                <w:sz w:val="21"/>
                <w:szCs w:val="21"/>
              </w:rPr>
              <w:t xml:space="preserve">Problem</w:t>
            </w:r>
          </w:p>
        </w:tc>
        <w:tc>
          <w:tcPr>
            <w:tcW w:type="dxa" w:w="5760"/>
            <w:tcBorders>
              <w:top w:val="single" w:color="334155" w:sz="4"/>
              <w:left w:val="single" w:color="334155" w:sz="4"/>
              <w:bottom w:val="single" w:color="334155" w:sz="4"/>
              <w:right w:val="single" w:color="334155" w:sz="4"/>
            </w:tcBorders>
            <w:shd w:fill="334155" w:val="clear"/>
            <w:tcMar>
              <w:top w:type="dxa" w:w="100"/>
              <w:left w:type="dxa" w:w="140"/>
              <w:bottom w:type="dxa" w:w="100"/>
              <w:right w:type="dxa" w:w="140"/>
            </w:tcMar>
          </w:tcPr>
          <w:p>
            <w:r>
              <w:rPr>
                <w:rFonts w:ascii="Arial" w:cs="Arial" w:eastAsia="Arial" w:hAnsi="Arial"/>
                <w:b/>
                <w:bCs/>
                <w:color w:val="FFFFFF"/>
                <w:sz w:val="21"/>
                <w:szCs w:val="21"/>
              </w:rPr>
              <w:t xml:space="preserve">Solution</w:t>
            </w:r>
          </w:p>
        </w:tc>
      </w:tr>
      <w:tr>
        <w:tc>
          <w:tcPr>
            <w:tcW w:type="dxa" w:w="36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r>
              <w:rPr>
                <w:rFonts w:ascii="Arial" w:cs="Arial" w:eastAsia="Arial" w:hAnsi="Arial"/>
                <w:b/>
                <w:bCs/>
                <w:color w:val="DC2626"/>
                <w:sz w:val="20"/>
                <w:szCs w:val="20"/>
              </w:rPr>
              <w:t xml:space="preserve">Revenue shows $0 or is too low</w:t>
            </w:r>
          </w:p>
        </w:tc>
        <w:tc>
          <w:tcPr>
            <w:tcW w:type="dxa" w:w="576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r>
              <w:rPr>
                <w:rFonts w:ascii="Arial" w:cs="Arial" w:eastAsia="Arial" w:hAnsi="Arial"/>
                <w:sz w:val="20"/>
                <w:szCs w:val="20"/>
              </w:rPr>
              <w:t xml:space="preserve">Run a Shopify sync from the Shopify Store page. Revenue only appears after orders have been imported into the database.</w:t>
            </w:r>
          </w:p>
        </w:tc>
      </w:tr>
      <w:tr>
        <w:tc>
          <w:tcPr>
            <w:tcW w:type="dxa" w:w="360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r>
              <w:rPr>
                <w:rFonts w:ascii="Arial" w:cs="Arial" w:eastAsia="Arial" w:hAnsi="Arial"/>
                <w:b/>
                <w:bCs/>
                <w:color w:val="DC2626"/>
                <w:sz w:val="20"/>
                <w:szCs w:val="20"/>
              </w:rPr>
              <w:t xml:space="preserve">MER, CAC, and channel data show '—'</w:t>
            </w:r>
          </w:p>
        </w:tc>
        <w:tc>
          <w:tcPr>
            <w:tcW w:type="dxa" w:w="576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r>
              <w:rPr>
                <w:rFonts w:ascii="Arial" w:cs="Arial" w:eastAsia="Arial" w:hAnsi="Arial"/>
                <w:sz w:val="20"/>
                <w:szCs w:val="20"/>
              </w:rPr>
              <w:t xml:space="preserve">No ad platforms are connected. Go to Integrations and connect Meta Ads, Google Ads, or TikTok Ads.</w:t>
            </w:r>
          </w:p>
        </w:tc>
      </w:tr>
      <w:tr>
        <w:tc>
          <w:tcPr>
            <w:tcW w:type="dxa" w:w="36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r>
              <w:rPr>
                <w:rFonts w:ascii="Arial" w:cs="Arial" w:eastAsia="Arial" w:hAnsi="Arial"/>
                <w:b/>
                <w:bCs/>
                <w:color w:val="DC2626"/>
                <w:sz w:val="20"/>
                <w:szCs w:val="20"/>
              </w:rPr>
              <w:t xml:space="preserve">Gross Margin % looks wrong</w:t>
            </w:r>
          </w:p>
        </w:tc>
        <w:tc>
          <w:tcPr>
            <w:tcW w:type="dxa" w:w="576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r>
              <w:rPr>
                <w:rFonts w:ascii="Arial" w:cs="Arial" w:eastAsia="Arial" w:hAnsi="Arial"/>
                <w:sz w:val="20"/>
                <w:szCs w:val="20"/>
              </w:rPr>
              <w:t xml:space="preserve">Your COGS setting may be incorrect. Go to the P&amp;L page and update the COGS % or fixed amount to match your actual cost of goods.</w:t>
            </w:r>
          </w:p>
        </w:tc>
      </w:tr>
      <w:tr>
        <w:tc>
          <w:tcPr>
            <w:tcW w:type="dxa" w:w="360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r>
              <w:rPr>
                <w:rFonts w:ascii="Arial" w:cs="Arial" w:eastAsia="Arial" w:hAnsi="Arial"/>
                <w:b/>
                <w:bCs/>
                <w:color w:val="DC2626"/>
                <w:sz w:val="20"/>
                <w:szCs w:val="20"/>
              </w:rPr>
              <w:t xml:space="preserve">Cash Runway shows '—'</w:t>
            </w:r>
          </w:p>
        </w:tc>
        <w:tc>
          <w:tcPr>
            <w:tcW w:type="dxa" w:w="576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r>
              <w:rPr>
                <w:rFonts w:ascii="Arial" w:cs="Arial" w:eastAsia="Arial" w:hAnsi="Arial"/>
                <w:sz w:val="20"/>
                <w:szCs w:val="20"/>
              </w:rPr>
              <w:t xml:space="preserve">Enter your Bank Balance and Monthly Fixed Costs on the Cash &amp; Working Capital tab and click Save.</w:t>
            </w:r>
          </w:p>
        </w:tc>
      </w:tr>
      <w:tr>
        <w:tc>
          <w:tcPr>
            <w:tcW w:type="dxa" w:w="36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r>
              <w:rPr>
                <w:rFonts w:ascii="Arial" w:cs="Arial" w:eastAsia="Arial" w:hAnsi="Arial"/>
                <w:b/>
                <w:bCs/>
                <w:color w:val="DC2626"/>
                <w:sz w:val="20"/>
                <w:szCs w:val="20"/>
              </w:rPr>
              <w:t xml:space="preserve">LTV:CAC shows '—'</w:t>
            </w:r>
          </w:p>
        </w:tc>
        <w:tc>
          <w:tcPr>
            <w:tcW w:type="dxa" w:w="576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r>
              <w:rPr>
                <w:rFonts w:ascii="Arial" w:cs="Arial" w:eastAsia="Arial" w:hAnsi="Arial"/>
                <w:sz w:val="20"/>
                <w:szCs w:val="20"/>
              </w:rPr>
              <w:t xml:space="preserve">Both ad spend AND new customer data are needed. Ensure at least one ad platform is connected and a Shopify sync has run.</w:t>
            </w:r>
          </w:p>
        </w:tc>
      </w:tr>
      <w:tr>
        <w:tc>
          <w:tcPr>
            <w:tcW w:type="dxa" w:w="360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r>
              <w:rPr>
                <w:rFonts w:ascii="Arial" w:cs="Arial" w:eastAsia="Arial" w:hAnsi="Arial"/>
                <w:b/>
                <w:bCs/>
                <w:color w:val="DC2626"/>
                <w:sz w:val="20"/>
                <w:szCs w:val="20"/>
              </w:rPr>
              <w:t xml:space="preserve">Repeat rate shows 0%</w:t>
            </w:r>
          </w:p>
        </w:tc>
        <w:tc>
          <w:tcPr>
            <w:tcW w:type="dxa" w:w="576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r>
              <w:rPr>
                <w:rFonts w:ascii="Arial" w:cs="Arial" w:eastAsia="Arial" w:hAnsi="Arial"/>
                <w:sz w:val="20"/>
                <w:szCs w:val="20"/>
              </w:rPr>
              <w:t xml:space="preserve">You may not have enough customer history, or no customers have placed a second order yet. This will populate as your business grows.</w:t>
            </w:r>
          </w:p>
        </w:tc>
      </w:tr>
      <w:tr>
        <w:tc>
          <w:tcPr>
            <w:tcW w:type="dxa" w:w="36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r>
              <w:rPr>
                <w:rFonts w:ascii="Arial" w:cs="Arial" w:eastAsia="Arial" w:hAnsi="Arial"/>
                <w:b/>
                <w:bCs/>
                <w:color w:val="DC2626"/>
                <w:sz w:val="20"/>
                <w:szCs w:val="20"/>
              </w:rPr>
              <w:t xml:space="preserve">Forecasting targets not saving</w:t>
            </w:r>
          </w:p>
        </w:tc>
        <w:tc>
          <w:tcPr>
            <w:tcW w:type="dxa" w:w="576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r>
              <w:rPr>
                <w:rFonts w:ascii="Arial" w:cs="Arial" w:eastAsia="Arial" w:hAnsi="Arial"/>
                <w:sz w:val="20"/>
                <w:szCs w:val="20"/>
              </w:rPr>
              <w:t xml:space="preserve">Ensure you click the Save button after entering targets. These are stored in the browser — if you use a different browser or device, re-enter them.</w:t>
            </w:r>
          </w:p>
        </w:tc>
      </w:tr>
      <w:tr>
        <w:tc>
          <w:tcPr>
            <w:tcW w:type="dxa" w:w="360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r>
              <w:rPr>
                <w:rFonts w:ascii="Arial" w:cs="Arial" w:eastAsia="Arial" w:hAnsi="Arial"/>
                <w:b/>
                <w:bCs/>
                <w:color w:val="DC2626"/>
                <w:sz w:val="20"/>
                <w:szCs w:val="20"/>
              </w:rPr>
              <w:t xml:space="preserve">Page shows no data at all</w:t>
            </w:r>
          </w:p>
        </w:tc>
        <w:tc>
          <w:tcPr>
            <w:tcW w:type="dxa" w:w="5760"/>
            <w:tcBorders>
              <w:top w:val="single" w:color="E2E8F0" w:sz="4"/>
              <w:left w:val="single" w:color="E2E8F0" w:sz="4"/>
              <w:bottom w:val="single" w:color="E2E8F0" w:sz="4"/>
              <w:right w:val="single" w:color="E2E8F0" w:sz="4"/>
            </w:tcBorders>
            <w:shd w:fill="F1F5F9" w:val="clear"/>
            <w:tcMar>
              <w:top w:type="dxa" w:w="90"/>
              <w:left w:type="dxa" w:w="140"/>
              <w:bottom w:type="dxa" w:w="90"/>
              <w:right w:type="dxa" w:w="140"/>
            </w:tcMar>
          </w:tcPr>
          <w:p>
            <w:r>
              <w:rPr>
                <w:rFonts w:ascii="Arial" w:cs="Arial" w:eastAsia="Arial" w:hAnsi="Arial"/>
                <w:sz w:val="20"/>
                <w:szCs w:val="20"/>
              </w:rPr>
              <w:t xml:space="preserve">Log into the dashboard and navigate to Shopify Store. Confirm the store is connected (green indicator) and run a sync.</w:t>
            </w:r>
          </w:p>
        </w:tc>
      </w:tr>
      <w:tr>
        <w:tc>
          <w:tcPr>
            <w:tcW w:type="dxa" w:w="360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r>
              <w:rPr>
                <w:rFonts w:ascii="Arial" w:cs="Arial" w:eastAsia="Arial" w:hAnsi="Arial"/>
                <w:b/>
                <w:bCs/>
                <w:color w:val="DC2626"/>
                <w:sz w:val="20"/>
                <w:szCs w:val="20"/>
              </w:rPr>
              <w:t xml:space="preserve">Inventory value seems too high or too low</w:t>
            </w:r>
          </w:p>
        </w:tc>
        <w:tc>
          <w:tcPr>
            <w:tcW w:type="dxa" w:w="5760"/>
            <w:tcBorders>
              <w:top w:val="single" w:color="E2E8F0" w:sz="4"/>
              <w:left w:val="single" w:color="E2E8F0" w:sz="4"/>
              <w:bottom w:val="single" w:color="E2E8F0" w:sz="4"/>
              <w:right w:val="single" w:color="E2E8F0" w:sz="4"/>
            </w:tcBorders>
            <w:shd w:fill="FFFFFF" w:val="clear"/>
            <w:tcMar>
              <w:top w:type="dxa" w:w="90"/>
              <w:left w:type="dxa" w:w="140"/>
              <w:bottom w:type="dxa" w:w="90"/>
              <w:right w:type="dxa" w:w="140"/>
            </w:tcMar>
          </w:tcPr>
          <w:p>
            <w:r>
              <w:rPr>
                <w:rFonts w:ascii="Arial" w:cs="Arial" w:eastAsia="Arial" w:hAnsi="Arial"/>
                <w:sz w:val="20"/>
                <w:szCs w:val="20"/>
              </w:rPr>
              <w:t xml:space="preserve">The inventory value estimate uses 45% of your Shopify selling price × stock quantity as a proxy for cost. Update actual COGS % on the P&amp;L page for a more accurate margin calculation.</w:t>
            </w:r>
          </w:p>
        </w:tc>
      </w:tr>
    </w:tbl>
    <w:p>
      <w:pPr>
        <w:spacing w:after="200"/>
      </w:pPr>
      <w:r>
        <w:rPr>
          <w:rFonts w:ascii="Arial" w:cs="Arial" w:eastAsia="Arial" w:hAnsi="Arial"/>
          <w:sz w:val="22"/>
          <w:szCs w:val="22"/>
        </w:rPr>
        <w:t xml:space="preserve"/>
      </w:r>
    </w:p>
    <w:p>
      <w:pPr>
        <w:pBdr>
          <w:bottom w:val="single" w:color="E2E8F0" w:sz="4"/>
        </w:pBdr>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jc w:val="center"/>
      </w:pPr>
      <w:r>
        <w:rPr>
          <w:rFonts w:ascii="Arial" w:cs="Arial" w:eastAsia="Arial" w:hAnsi="Arial"/>
          <w:color w:val="64748B"/>
          <w:sz w:val="18"/>
          <w:szCs w:val="18"/>
        </w:rPr>
        <w:t xml:space="preserve">Harry Labs Dashboard  |  harry-labs.vercel.app  |  Internal use only  |  v1.0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r>
      <w:rPr>
        <w:rFonts w:ascii="Arial" w:cs="Arial" w:eastAsia="Arial" w:hAnsi="Arial"/>
        <w:color w:val="64748B"/>
        <w:sz w:val="18"/>
        <w:szCs w:val="18"/>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pPr>
    <w:r>
      <w:rPr>
        <w:rFonts w:ascii="Arial" w:cs="Arial" w:eastAsia="Arial" w:hAnsi="Arial"/>
        <w:color w:val="64748B"/>
        <w:sz w:val="18"/>
        <w:szCs w:val="18"/>
      </w:rPr>
      <w:t xml:space="preserve">Harry Labs Dashboard  |  CFO Financial Hub — Standard Operating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827"/>
      <w:sz w:val="34"/>
      <w:szCs w:val="34"/>
    </w:rPr>
  </w:style>
  <w:style w:type="paragraph" w:styleId="Heading2">
    <w:name w:val="Heading 2"/>
    <w:basedOn w:val="Normal"/>
    <w:next w:val="Normal"/>
    <w:qFormat/>
    <w:pPr>
      <w:spacing w:after="120" w:before="360"/>
      <w:outlineLvl w:val="1"/>
    </w:pPr>
    <w:rPr>
      <w:rFonts w:ascii="Arial" w:cs="Arial" w:eastAsia="Arial" w:hAnsi="Arial"/>
      <w:b/>
      <w:bCs/>
      <w:color w:val="334155"/>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B5FD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fat-powgik_speeb5zsd" Type="http://schemas.openxmlformats.org/officeDocument/2006/relationships/hyperlink" Target="https://harry-labs.vercel.app/cf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2026-06-18T20:48:08.319Z</dcterms:created>
  <dcterms:modified xsi:type="dcterms:W3CDTF">2026-06-18T20:48:08.320Z</dcterms:modified>
</cp:coreProperties>
</file>

<file path=docProps/custom.xml><?xml version="1.0" encoding="utf-8"?>
<Properties xmlns="http://schemas.openxmlformats.org/officeDocument/2006/custom-properties" xmlns:vt="http://schemas.openxmlformats.org/officeDocument/2006/docPropsVTypes"/>
</file>