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ci-correction-and-execution-protocol-v4"/>
    <w:p>
      <w:pPr>
        <w:pStyle w:val="Heading1"/>
      </w:pPr>
      <w:r>
        <w:t xml:space="preserve">BCI Correction and Execution Protocol V4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converts Reviewer 1’s BCI objections into an executable analysis. It also identifies which original claims are withdrawn and which outputs are permitted after the replacement run.</w:t>
      </w:r>
    </w:p>
    <w:bookmarkEnd w:id="20"/>
    <w:bookmarkStart w:id="21" w:name="withdrawn-original-analysis"/>
    <w:p>
      <w:pPr>
        <w:pStyle w:val="Heading2"/>
      </w:pPr>
      <w:r>
        <w:t xml:space="preserve">1. Withdrawn original analysis</w:t>
      </w:r>
    </w:p>
    <w:p>
      <w:pPr>
        <w:pStyle w:val="FirstParagraph"/>
      </w:pPr>
      <w:r>
        <w:t xml:space="preserve">The original BCI section is not treated as a weak baseline. It is withdrawn because four defects jointly invalidate its headline interpretation:</w:t>
      </w:r>
    </w:p>
    <w:p>
      <w:pPr>
        <w:pStyle w:val="Compact"/>
        <w:numPr>
          <w:ilvl w:val="0"/>
          <w:numId w:val="1001"/>
        </w:numPr>
      </w:pPr>
      <w:r>
        <w:t xml:space="preserve">decoder performance was far below the relevant published context;</w:t>
      </w:r>
    </w:p>
    <w:p>
      <w:pPr>
        <w:pStyle w:val="Compact"/>
        <w:numPr>
          <w:ilvl w:val="0"/>
          <w:numId w:val="1001"/>
        </w:numPr>
      </w:pPr>
      <w:r>
        <w:t xml:space="preserve">the source of the analysis window was not reproducibly established;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B_min</w:t>
      </w:r>
      <w:r>
        <w:t xml:space="preserve"> </w:t>
      </w:r>
      <w:r>
        <w:t xml:space="preserve">used the feature window rather than the full trial cycle;</w:t>
      </w:r>
    </w:p>
    <w:p>
      <w:pPr>
        <w:pStyle w:val="Compact"/>
        <w:numPr>
          <w:ilvl w:val="0"/>
          <w:numId w:val="1001"/>
        </w:numPr>
      </w:pPr>
      <w:r>
        <w:t xml:space="preserve">a pooled confusion matrix across subject-specific decoders was interpreted as though it were an operating system.</w:t>
      </w:r>
    </w:p>
    <w:p>
      <w:pPr>
        <w:pStyle w:val="FirstParagraph"/>
      </w:pPr>
      <w:r>
        <w:t xml:space="preserve">No original BCI number is carried forward.</w:t>
      </w:r>
    </w:p>
    <w:bookmarkEnd w:id="21"/>
    <w:bookmarkStart w:id="22" w:name="source-data-and-immutable-split"/>
    <w:p>
      <w:pPr>
        <w:pStyle w:val="Heading2"/>
      </w:pPr>
      <w:r>
        <w:t xml:space="preserve">2. Source data and immutable split</w:t>
      </w:r>
    </w:p>
    <w:p>
      <w:pPr>
        <w:pStyle w:val="FirstParagraph"/>
      </w:pPr>
      <w:r>
        <w:t xml:space="preserve">Dataset: MOABB</w:t>
      </w:r>
      <w:r>
        <w:t xml:space="preserve"> </w:t>
      </w:r>
      <w:r>
        <w:rPr>
          <w:rStyle w:val="VerbatimChar"/>
        </w:rPr>
        <w:t xml:space="preserve">BNCI2014_001</w:t>
      </w:r>
      <w:r>
        <w:t xml:space="preserve">, corresponding to BCI Competition IV Dataset 2a.</w:t>
      </w:r>
    </w:p>
    <w:p>
      <w:pPr>
        <w:pStyle w:val="Compact"/>
        <w:numPr>
          <w:ilvl w:val="0"/>
          <w:numId w:val="1002"/>
        </w:numPr>
      </w:pPr>
      <w:r>
        <w:t xml:space="preserve">nine subjects;</w:t>
      </w:r>
    </w:p>
    <w:p>
      <w:pPr>
        <w:pStyle w:val="Compact"/>
        <w:numPr>
          <w:ilvl w:val="0"/>
          <w:numId w:val="1002"/>
        </w:numPr>
      </w:pPr>
      <w:r>
        <w:t xml:space="preserve">four classes: left hand, right hand, feet, tongue;</w:t>
      </w:r>
    </w:p>
    <w:p>
      <w:pPr>
        <w:pStyle w:val="Compact"/>
        <w:numPr>
          <w:ilvl w:val="0"/>
          <w:numId w:val="1002"/>
        </w:numPr>
      </w:pPr>
      <w:r>
        <w:t xml:space="preserve">one training session T and one evaluation session E per subject;</w:t>
      </w:r>
    </w:p>
    <w:p>
      <w:pPr>
        <w:pStyle w:val="Compact"/>
        <w:numPr>
          <w:ilvl w:val="0"/>
          <w:numId w:val="1002"/>
        </w:numPr>
      </w:pPr>
      <w:r>
        <w:t xml:space="preserve">288 trials per session, 72 per class before exclusions;</w:t>
      </w:r>
    </w:p>
    <w:p>
      <w:pPr>
        <w:pStyle w:val="Compact"/>
        <w:numPr>
          <w:ilvl w:val="0"/>
          <w:numId w:val="1002"/>
        </w:numPr>
      </w:pPr>
      <w:r>
        <w:t xml:space="preserve">six source runs per session;</w:t>
      </w:r>
    </w:p>
    <w:p>
      <w:pPr>
        <w:pStyle w:val="Compact"/>
        <w:numPr>
          <w:ilvl w:val="0"/>
          <w:numId w:val="1002"/>
        </w:numPr>
      </w:pPr>
      <w:r>
        <w:t xml:space="preserve">22 EEG and three EOG channels at 250 Hz;</w:t>
      </w:r>
    </w:p>
    <w:p>
      <w:pPr>
        <w:pStyle w:val="Compact"/>
        <w:numPr>
          <w:ilvl w:val="0"/>
          <w:numId w:val="1002"/>
        </w:numPr>
      </w:pPr>
      <w:r>
        <w:t xml:space="preserve">cue onset at trial time 2 s; imagery extends through 6 s.</w:t>
      </w:r>
    </w:p>
    <w:p>
      <w:pPr>
        <w:pStyle w:val="FirstParagraph"/>
      </w:pPr>
      <w:r>
        <w:t xml:space="preserve">The analysis is subject-specific. T is used for every fit, hyperparameter decision, and feature-selection decision. E is evaluated once. No subject pooling is used for an operating-system estimate.</w:t>
      </w:r>
    </w:p>
    <w:bookmarkEnd w:id="22"/>
    <w:bookmarkStart w:id="23" w:name="session-and-run-verification"/>
    <w:p>
      <w:pPr>
        <w:pStyle w:val="Heading2"/>
      </w:pPr>
      <w:r>
        <w:t xml:space="preserve">3. Session and run verification</w:t>
      </w:r>
    </w:p>
    <w:p>
      <w:pPr>
        <w:pStyle w:val="FirstParagraph"/>
      </w:pPr>
      <w:r>
        <w:t xml:space="preserve">MOABB versions may expose six Raw objects or a single concatenated Raw object per session. The pipeline therefore verifies source structure from the cue stream:</w:t>
      </w:r>
    </w:p>
    <w:p>
      <w:pPr>
        <w:pStyle w:val="Compact"/>
        <w:numPr>
          <w:ilvl w:val="0"/>
          <w:numId w:val="1003"/>
        </w:numPr>
      </w:pPr>
      <w:r>
        <w:t xml:space="preserve">six Raw objects: each must contain 48 cues;</w:t>
      </w:r>
    </w:p>
    <w:p>
      <w:pPr>
        <w:pStyle w:val="Compact"/>
        <w:numPr>
          <w:ilvl w:val="0"/>
          <w:numId w:val="1003"/>
        </w:numPr>
      </w:pPr>
      <w:r>
        <w:t xml:space="preserve">one concatenated Raw: it must contain 288 cues and five between-run gaps;</w:t>
      </w:r>
    </w:p>
    <w:p>
      <w:pPr>
        <w:pStyle w:val="Compact"/>
        <w:numPr>
          <w:ilvl w:val="0"/>
          <w:numId w:val="1003"/>
        </w:numPr>
      </w:pPr>
      <w:r>
        <w:t xml:space="preserve">either representation must yield exactly 282 within-source-run inter-cue intervals.</w:t>
      </w:r>
    </w:p>
    <w:p>
      <w:pPr>
        <w:pStyle w:val="FirstParagraph"/>
      </w:pPr>
      <w:r>
        <w:t xml:space="preserve">Session names are resolved by the strings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/</w:t>
      </w:r>
      <w:r>
        <w:rPr>
          <w:rStyle w:val="VerbatimChar"/>
        </w:rPr>
        <w:t xml:space="preserve">eval</w:t>
      </w:r>
      <w:r>
        <w:t xml:space="preserve">, not by lexical sorting.</w:t>
      </w:r>
    </w:p>
    <w:bookmarkEnd w:id="23"/>
    <w:bookmarkStart w:id="24" w:name="artifact-handling-and-channels"/>
    <w:p>
      <w:pPr>
        <w:pStyle w:val="Heading2"/>
      </w:pPr>
      <w:r>
        <w:t xml:space="preserve">4. Artifact handling and channels</w:t>
      </w:r>
    </w:p>
    <w:p>
      <w:pPr>
        <w:pStyle w:val="FirstParagraph"/>
      </w:pPr>
      <w:r>
        <w:t xml:space="preserve">The pipeline obtains the source recordings from MOABB but performs preprocessing explicitly with MNE.</w:t>
      </w:r>
    </w:p>
    <w:p>
      <w:pPr>
        <w:pStyle w:val="Compact"/>
        <w:numPr>
          <w:ilvl w:val="0"/>
          <w:numId w:val="1004"/>
        </w:numPr>
      </w:pPr>
      <w:r>
        <w:t xml:space="preserve">Organizer-provided</w:t>
      </w:r>
      <w:r>
        <w:t xml:space="preserve"> </w:t>
      </w:r>
      <w:r>
        <w:rPr>
          <w:rStyle w:val="VerbatimChar"/>
        </w:rPr>
        <w:t xml:space="preserve">bad_*</w:t>
      </w:r>
      <w:r>
        <w:t xml:space="preserve"> </w:t>
      </w:r>
      <w:r>
        <w:t xml:space="preserve">annotations are rejected by</w:t>
      </w:r>
      <w:r>
        <w:t xml:space="preserve"> </w:t>
      </w:r>
      <w:r>
        <w:rPr>
          <w:rStyle w:val="VerbatimChar"/>
        </w:rPr>
        <w:t xml:space="preserve">mne.Epochs(reject_by_annotation=True)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 all-trial epoch set is also constructed with rejection disabled.</w:t>
      </w:r>
    </w:p>
    <w:p>
      <w:pPr>
        <w:pStyle w:val="Compact"/>
        <w:numPr>
          <w:ilvl w:val="0"/>
          <w:numId w:val="1004"/>
        </w:numPr>
      </w:pPr>
      <w:r>
        <w:t xml:space="preserve">All, retained, and excluded counts are written by subject, session, and true class.</w:t>
      </w:r>
    </w:p>
    <w:p>
      <w:pPr>
        <w:pStyle w:val="Compact"/>
        <w:numPr>
          <w:ilvl w:val="0"/>
          <w:numId w:val="1004"/>
        </w:numPr>
      </w:pPr>
      <w:r>
        <w:t xml:space="preserve">Exactly 22 EEG channels are selected by channel type.</w:t>
      </w:r>
    </w:p>
    <w:p>
      <w:pPr>
        <w:pStyle w:val="Compact"/>
        <w:numPr>
          <w:ilvl w:val="0"/>
          <w:numId w:val="1004"/>
        </w:numPr>
      </w:pPr>
      <w:r>
        <w:t xml:space="preserve">EOG channels never enter filtering, CSP, or classification.</w:t>
      </w:r>
    </w:p>
    <w:p>
      <w:pPr>
        <w:pStyle w:val="Compact"/>
        <w:numPr>
          <w:ilvl w:val="0"/>
          <w:numId w:val="1004"/>
        </w:numPr>
      </w:pPr>
      <w:r>
        <w:t xml:space="preserve">Channel order is asserted across runs and sessions.</w:t>
      </w:r>
    </w:p>
    <w:p>
      <w:pPr>
        <w:pStyle w:val="FirstParagraph"/>
      </w:pPr>
      <w:r>
        <w:t xml:space="preserve">Clean-trial throughput is reported together with retention. A deployment sensitivity analysis should treat rejected trials as erasure outcomes when they would consume cycle time in actual use.</w:t>
      </w:r>
    </w:p>
    <w:bookmarkEnd w:id="24"/>
    <w:bookmarkStart w:id="25" w:name="primary-fixed-window-decoder"/>
    <w:p>
      <w:pPr>
        <w:pStyle w:val="Heading2"/>
      </w:pPr>
      <w:r>
        <w:t xml:space="preserve">5. Primary fixed-window decoder</w:t>
      </w:r>
    </w:p>
    <w:p>
      <w:pPr>
        <w:pStyle w:val="FirstParagraph"/>
      </w:pPr>
      <w:r>
        <w:t xml:space="preserve">Preprocessing:</w:t>
      </w:r>
    </w:p>
    <w:p>
      <w:pPr>
        <w:pStyle w:val="Compact"/>
        <w:numPr>
          <w:ilvl w:val="0"/>
          <w:numId w:val="1005"/>
        </w:numPr>
      </w:pPr>
      <w:r>
        <w:t xml:space="preserve">epoch: 0.5–2.5 s after cue onset, or 2.5–4.5 s in absolute trial time;</w:t>
      </w:r>
    </w:p>
    <w:p>
      <w:pPr>
        <w:pStyle w:val="Compact"/>
        <w:numPr>
          <w:ilvl w:val="0"/>
          <w:numId w:val="1005"/>
        </w:numPr>
      </w:pPr>
      <w:r>
        <w:t xml:space="preserve">band-pass: 8–30 Hz;</w:t>
      </w:r>
    </w:p>
    <w:p>
      <w:pPr>
        <w:pStyle w:val="Compact"/>
        <w:numPr>
          <w:ilvl w:val="0"/>
          <w:numId w:val="1005"/>
        </w:numPr>
      </w:pPr>
      <w:r>
        <w:t xml:space="preserve">filter: MNE FIR, zero phase,</w:t>
      </w:r>
      <w:r>
        <w:t xml:space="preserve"> </w:t>
      </w:r>
      <w:r>
        <w:rPr>
          <w:rStyle w:val="VerbatimChar"/>
        </w:rPr>
        <w:t xml:space="preserve">firwin</w:t>
      </w:r>
      <w:r>
        <w:t xml:space="preserve">, automatic length and transitions;</w:t>
      </w:r>
    </w:p>
    <w:p>
      <w:pPr>
        <w:pStyle w:val="Compact"/>
        <w:numPr>
          <w:ilvl w:val="0"/>
          <w:numId w:val="1005"/>
        </w:numPr>
      </w:pPr>
      <w:r>
        <w:t xml:space="preserve">log: resolved tap count, sampling rate, transition settings, software versions, and channel list.</w:t>
      </w:r>
    </w:p>
    <w:p>
      <w:pPr>
        <w:pStyle w:val="FirstParagraph"/>
      </w:pPr>
      <w:r>
        <w:t xml:space="preserve">Classifier:</w:t>
      </w:r>
    </w:p>
    <w:p>
      <w:pPr>
        <w:pStyle w:val="Compact"/>
        <w:numPr>
          <w:ilvl w:val="0"/>
          <w:numId w:val="1006"/>
        </w:numPr>
      </w:pPr>
      <w:r>
        <w:t xml:space="preserve">one-vs-rest CSP;</w:t>
      </w:r>
    </w:p>
    <w:p>
      <w:pPr>
        <w:pStyle w:val="Compact"/>
        <w:numPr>
          <w:ilvl w:val="0"/>
          <w:numId w:val="1006"/>
        </w:numPr>
      </w:pPr>
      <w:r>
        <w:t xml:space="preserve">Ledoit–Wolf covariance regularization;</w:t>
      </w:r>
    </w:p>
    <w:p>
      <w:pPr>
        <w:pStyle w:val="Compact"/>
        <w:numPr>
          <w:ilvl w:val="0"/>
          <w:numId w:val="1006"/>
        </w:numPr>
      </w:pPr>
      <w:r>
        <w:t xml:space="preserve">shrinkage LDA;</w:t>
      </w:r>
    </w:p>
    <w:p>
      <w:pPr>
        <w:pStyle w:val="Compact"/>
        <w:numPr>
          <w:ilvl w:val="0"/>
          <w:numId w:val="1006"/>
        </w:numPr>
      </w:pPr>
      <w:r>
        <w:t xml:space="preserve">candidate CSP components per binary classifier: 4, 6, 8;</w:t>
      </w:r>
    </w:p>
    <w:p>
      <w:pPr>
        <w:pStyle w:val="Compact"/>
        <w:numPr>
          <w:ilvl w:val="0"/>
          <w:numId w:val="1006"/>
        </w:numPr>
      </w:pPr>
      <w:r>
        <w:t xml:space="preserve">selection criterion: mean Cohen’s kappa in five-fold stratified cross-validation on T;</w:t>
      </w:r>
    </w:p>
    <w:p>
      <w:pPr>
        <w:pStyle w:val="Compact"/>
        <w:numPr>
          <w:ilvl w:val="0"/>
          <w:numId w:val="1006"/>
        </w:numPr>
      </w:pPr>
      <w:r>
        <w:t xml:space="preserve">final model refit on all clean T trials and applied once to clean E trials.</w:t>
      </w:r>
    </w:p>
    <w:p>
      <w:pPr>
        <w:pStyle w:val="FirstParagraph"/>
      </w:pPr>
      <w:r>
        <w:t xml:space="preserve">The primary analysis is a fixed operating window. It is not tuned on E and is not compared as though it were identical to a maximum-over-time competition score.</w:t>
      </w:r>
    </w:p>
    <w:bookmarkEnd w:id="25"/>
    <w:bookmarkStart w:id="26" w:name="fbcsp-style-robustness-decoder"/>
    <w:p>
      <w:pPr>
        <w:pStyle w:val="Heading2"/>
      </w:pPr>
      <w:r>
        <w:t xml:space="preserve">6. FBCSP-style robustness decoder</w:t>
      </w:r>
    </w:p>
    <w:p>
      <w:pPr>
        <w:pStyle w:val="FirstParagraph"/>
      </w:pPr>
      <w:r>
        <w:t xml:space="preserve">Nine frequency bands are used: 4–8, 8–12, 12–16, 16–20, 20–24, 24–28, 28–32, 32–36, and 36–40 Hz.</w:t>
      </w:r>
    </w:p>
    <w:p>
      <w:pPr>
        <w:pStyle w:val="BodyText"/>
      </w:pPr>
      <w:r>
        <w:t xml:space="preserve">Within every T-session cross-validation fold:</w:t>
      </w:r>
    </w:p>
    <w:p>
      <w:pPr>
        <w:pStyle w:val="Compact"/>
        <w:numPr>
          <w:ilvl w:val="0"/>
          <w:numId w:val="1007"/>
        </w:numPr>
      </w:pPr>
      <w:r>
        <w:t xml:space="preserve">fit binary one-vs-rest CSP for every class and band;</w:t>
      </w:r>
    </w:p>
    <w:p>
      <w:pPr>
        <w:pStyle w:val="Compact"/>
        <w:numPr>
          <w:ilvl w:val="0"/>
          <w:numId w:val="1007"/>
        </w:numPr>
      </w:pPr>
      <w:r>
        <w:t xml:space="preserve">retain four CSP components per class-band model;</w:t>
      </w:r>
    </w:p>
    <w:p>
      <w:pPr>
        <w:pStyle w:val="Compact"/>
        <w:numPr>
          <w:ilvl w:val="0"/>
          <w:numId w:val="1007"/>
        </w:numPr>
      </w:pPr>
      <w:r>
        <w:t xml:space="preserve">concatenate the resulting features;</w:t>
      </w:r>
    </w:p>
    <w:p>
      <w:pPr>
        <w:pStyle w:val="Compact"/>
        <w:numPr>
          <w:ilvl w:val="0"/>
          <w:numId w:val="1007"/>
        </w:numPr>
      </w:pPr>
      <w:r>
        <w:t xml:space="preserve">select 16, 32, 64, or 96 features by mutual information on the fold’s training data only;</w:t>
      </w:r>
    </w:p>
    <w:p>
      <w:pPr>
        <w:pStyle w:val="Compact"/>
        <w:numPr>
          <w:ilvl w:val="0"/>
          <w:numId w:val="1007"/>
        </w:numPr>
      </w:pPr>
      <w:r>
        <w:t xml:space="preserve">fit shrinkage LDA;</w:t>
      </w:r>
    </w:p>
    <w:p>
      <w:pPr>
        <w:pStyle w:val="Compact"/>
        <w:numPr>
          <w:ilvl w:val="0"/>
          <w:numId w:val="1007"/>
        </w:numPr>
      </w:pPr>
      <w:r>
        <w:t xml:space="preserve">score kappa on the fold’s held-out T data.</w:t>
      </w:r>
    </w:p>
    <w:p>
      <w:pPr>
        <w:pStyle w:val="FirstParagraph"/>
      </w:pPr>
      <w:r>
        <w:t xml:space="preserve">The selected feature count is refit on all T data and E is evaluated once. This is called</w:t>
      </w:r>
      <w:r>
        <w:t xml:space="preserve"> </w:t>
      </w:r>
      <w:r>
        <w:rPr>
          <w:b/>
          <w:bCs/>
        </w:rPr>
        <w:t xml:space="preserve">FBCSP-style</w:t>
      </w:r>
      <w:r>
        <w:t xml:space="preserve"> </w:t>
      </w:r>
      <w:r>
        <w:t xml:space="preserve">because it does not reproduce every feature-selection and temporal-evaluation detail of Ang et al. (2012).</w:t>
      </w:r>
    </w:p>
    <w:bookmarkEnd w:id="26"/>
    <w:bookmarkStart w:id="27" w:name="full-cycle-duration"/>
    <w:p>
      <w:pPr>
        <w:pStyle w:val="Heading2"/>
      </w:pPr>
      <w:r>
        <w:t xml:space="preserve">7. Full-cycle duration</w:t>
      </w:r>
    </w:p>
    <w:p>
      <w:pPr>
        <w:pStyle w:val="FirstParagraph"/>
      </w:pPr>
      <w:r>
        <w:t xml:space="preserve">For each subject,</w:t>
      </w:r>
      <w:r>
        <w:t xml:space="preserve"> </w:t>
      </w:r>
      <w:r>
        <w:rPr>
          <w:rStyle w:val="VerbatimChar"/>
        </w:rPr>
        <w:t xml:space="preserve">tau_bar</w:t>
      </w:r>
      <w:r>
        <w:t xml:space="preserve"> </w:t>
      </w:r>
      <w:r>
        <w:t xml:space="preserve">is the mean of all 282 within-source-run inter-cue intervals in E. Intervals crossing run boundaries are excluded. The 2-s feature epoch and the original 3-s analysis window are never used as the throughput denominator.</w:t>
      </w:r>
    </w:p>
    <w:p>
      <w:pPr>
        <w:pStyle w:val="BodyText"/>
      </w:pPr>
      <w:r>
        <w:rPr>
          <w:rStyle w:val="VerbatimChar"/>
        </w:rPr>
        <w:t xml:space="preserve">B_min = I_MM / tau_bar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tau_bar</w:t>
      </w:r>
      <w:r>
        <w:t xml:space="preserve"> </w:t>
      </w:r>
      <w:r>
        <w:t xml:space="preserve">in minutes.</w:t>
      </w:r>
    </w:p>
    <w:p>
      <w:pPr>
        <w:pStyle w:val="BodyText"/>
      </w:pPr>
      <w:r>
        <w:t xml:space="preserve">The conventional Wolpaw ITR is calculated with the same cycle time and reported only for comparison, with its uniform-class and symmetric-error assumptions stated.</w:t>
      </w:r>
    </w:p>
    <w:bookmarkEnd w:id="27"/>
    <w:bookmarkStart w:id="28" w:name="mi-estimation-and-inference"/>
    <w:p>
      <w:pPr>
        <w:pStyle w:val="Heading2"/>
      </w:pPr>
      <w:r>
        <w:t xml:space="preserve">8. MI estimation and inference</w:t>
      </w:r>
    </w:p>
    <w:p>
      <w:pPr>
        <w:pStyle w:val="FirstParagraph"/>
      </w:pPr>
      <w:r>
        <w:t xml:space="preserve">For every subject and decoder, save:</w:t>
      </w:r>
    </w:p>
    <w:p>
      <w:pPr>
        <w:pStyle w:val="Compact"/>
        <w:numPr>
          <w:ilvl w:val="0"/>
          <w:numId w:val="1008"/>
        </w:numPr>
      </w:pPr>
      <w:r>
        <w:t xml:space="preserve">complete 4×4 confusion matrix;</w:t>
      </w:r>
    </w:p>
    <w:p>
      <w:pPr>
        <w:pStyle w:val="Compact"/>
        <w:numPr>
          <w:ilvl w:val="0"/>
          <w:numId w:val="1008"/>
        </w:numPr>
      </w:pPr>
      <w:r>
        <w:t xml:space="preserve">plug-in MI;</w:t>
      </w:r>
    </w:p>
    <w:p>
      <w:pPr>
        <w:pStyle w:val="Compact"/>
        <w:numPr>
          <w:ilvl w:val="0"/>
          <w:numId w:val="1008"/>
        </w:numPr>
      </w:pPr>
      <w:r>
        <w:t xml:space="preserve">occupied supports</w:t>
      </w:r>
      <w:r>
        <w:t xml:space="preserve"> </w:t>
      </w:r>
      <w:r>
        <w:rPr>
          <w:rStyle w:val="VerbatimChar"/>
        </w:rPr>
        <w:t xml:space="preserve">K_Y</w:t>
      </w:r>
      <w:r>
        <w:t xml:space="preserve">,</w:t>
      </w:r>
      <w:r>
        <w:t xml:space="preserve"> </w:t>
      </w:r>
      <w:r>
        <w:rPr>
          <w:rStyle w:val="VerbatimChar"/>
        </w:rPr>
        <w:t xml:space="preserve">K_Z</w:t>
      </w:r>
      <w:r>
        <w:t xml:space="preserve">,</w:t>
      </w:r>
      <w:r>
        <w:t xml:space="preserve"> </w:t>
      </w:r>
      <w:r>
        <w:rPr>
          <w:rStyle w:val="VerbatimChar"/>
        </w:rPr>
        <w:t xml:space="preserve">K_YZ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first-order correction</w:t>
      </w:r>
      <w:r>
        <w:t xml:space="preserve"> </w:t>
      </w:r>
      <w:r>
        <w:rPr>
          <w:rStyle w:val="VerbatimChar"/>
        </w:rPr>
        <w:t xml:space="preserve">(K_YZ-K_Y-K_Z+1)/(2N ln 2)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corrected MI without truncation;</w:t>
      </w:r>
    </w:p>
    <w:p>
      <w:pPr>
        <w:pStyle w:val="Compact"/>
        <w:numPr>
          <w:ilvl w:val="0"/>
          <w:numId w:val="1008"/>
        </w:numPr>
      </w:pPr>
      <w:r>
        <w:t xml:space="preserve">class-stratified 10,000-resample interval;</w:t>
      </w:r>
    </w:p>
    <w:p>
      <w:pPr>
        <w:pStyle w:val="Compact"/>
        <w:numPr>
          <w:ilvl w:val="0"/>
          <w:numId w:val="1008"/>
        </w:numPr>
      </w:pPr>
      <w:r>
        <w:t xml:space="preserve">5,000-permutation independence p-value using</w:t>
      </w:r>
      <w:r>
        <w:t xml:space="preserve"> </w:t>
      </w:r>
      <w:r>
        <w:rPr>
          <w:rStyle w:val="VerbatimChar"/>
        </w:rPr>
        <w:t xml:space="preserve">(b+1)/(B+1)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Holm-adjusted p-value across nine subjects, separately for each decoder;</w:t>
      </w:r>
    </w:p>
    <w:p>
      <w:pPr>
        <w:pStyle w:val="Compact"/>
        <w:numPr>
          <w:ilvl w:val="0"/>
          <w:numId w:val="1008"/>
        </w:numPr>
      </w:pPr>
      <w:r>
        <w:t xml:space="preserve">accuracy and kappa with bootstrap intervals;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B_min</w:t>
      </w:r>
      <w:r>
        <w:t xml:space="preserve">, conventional ITR, class precision/recall/F1, and</w:t>
      </w:r>
      <w:r>
        <w:t xml:space="preserve"> </w:t>
      </w:r>
      <w:r>
        <w:rPr>
          <w:rStyle w:val="VerbatimChar"/>
        </w:rPr>
        <w:t xml:space="preserve">V_eff(.40-.90,30)</w:t>
      </w:r>
      <w:r>
        <w:t xml:space="preserve">.</w:t>
      </w:r>
    </w:p>
    <w:p>
      <w:pPr>
        <w:pStyle w:val="FirstParagraph"/>
      </w:pPr>
      <w:r>
        <w:t xml:space="preserve">A subject is described as carrying measurable information only under the preregistered confirmatory criterion. Point estimates near zero are not compared without intervals and adjusted p-values.</w:t>
      </w:r>
    </w:p>
    <w:bookmarkEnd w:id="28"/>
    <w:bookmarkStart w:id="29" w:name="figures-and-tables"/>
    <w:p>
      <w:pPr>
        <w:pStyle w:val="Heading2"/>
      </w:pPr>
      <w:r>
        <w:t xml:space="preserve">9. Figures and tables</w:t>
      </w:r>
    </w:p>
    <w:p>
      <w:pPr>
        <w:pStyle w:val="Compact"/>
        <w:numPr>
          <w:ilvl w:val="0"/>
          <w:numId w:val="1009"/>
        </w:numPr>
      </w:pPr>
      <w:r>
        <w:t xml:space="preserve">Table 3a: primary fixed-window subject-level results.</w:t>
      </w:r>
    </w:p>
    <w:p>
      <w:pPr>
        <w:pStyle w:val="Compact"/>
        <w:numPr>
          <w:ilvl w:val="0"/>
          <w:numId w:val="1009"/>
        </w:numPr>
      </w:pPr>
      <w:r>
        <w:t xml:space="preserve">Table 3b: primary</w:t>
      </w:r>
      <w:r>
        <w:t xml:space="preserve"> </w:t>
      </w:r>
      <w:r>
        <w:rPr>
          <w:rStyle w:val="VerbatimChar"/>
        </w:rPr>
        <w:t xml:space="preserve">V_eff</w:t>
      </w:r>
      <w:r>
        <w:t xml:space="preserve"> </w:t>
      </w:r>
      <w:r>
        <w:t xml:space="preserve">threshold sensitivity.</w:t>
      </w:r>
    </w:p>
    <w:p>
      <w:pPr>
        <w:pStyle w:val="Compact"/>
        <w:numPr>
          <w:ilvl w:val="0"/>
          <w:numId w:val="1009"/>
        </w:numPr>
      </w:pPr>
      <w:r>
        <w:t xml:space="preserve">Supplementary Table S8: both decoders, exclusions, correction amounts, software versions, and reference-only micro-average.</w:t>
      </w:r>
    </w:p>
    <w:p>
      <w:pPr>
        <w:pStyle w:val="Compact"/>
        <w:numPr>
          <w:ilvl w:val="0"/>
          <w:numId w:val="1009"/>
        </w:numPr>
      </w:pPr>
      <w:r>
        <w:t xml:space="preserve">Figure 2: subject accuracy versus full-cycle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with intervals, plus the threshold curve.</w:t>
      </w:r>
    </w:p>
    <w:p>
      <w:pPr>
        <w:pStyle w:val="Compact"/>
        <w:numPr>
          <w:ilvl w:val="0"/>
          <w:numId w:val="1009"/>
        </w:numPr>
      </w:pPr>
      <w:r>
        <w:t xml:space="preserve">Figure 4: all nine primary row-normalized confusion matrices.</w:t>
      </w:r>
    </w:p>
    <w:p>
      <w:pPr>
        <w:pStyle w:val="Compact"/>
        <w:numPr>
          <w:ilvl w:val="0"/>
          <w:numId w:val="1009"/>
        </w:numPr>
      </w:pPr>
      <w:r>
        <w:t xml:space="preserve">Supplementary figure: all nine FBCSP-style matrices.</w:t>
      </w:r>
    </w:p>
    <w:p>
      <w:pPr>
        <w:pStyle w:val="FirstParagraph"/>
      </w:pPr>
      <w:r>
        <w:t xml:space="preserve">No fold range is reported when the minimum corrected information rate is non-positive or statistically indistinguishable from zero.</w:t>
      </w:r>
    </w:p>
    <w:bookmarkEnd w:id="29"/>
    <w:bookmarkStart w:id="30" w:name="commands"/>
    <w:p>
      <w:pPr>
        <w:pStyle w:val="Heading2"/>
      </w:pPr>
      <w:r>
        <w:t xml:space="preserve">10. Commands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.venv-bci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.venv-bci/bin/activate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requirements-bci.txt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bci_pipeline.py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--subjects</w:t>
      </w:r>
      <w:r>
        <w:rPr>
          <w:rStyle w:val="NormalTok"/>
        </w:rPr>
        <w:t xml:space="preserve"> 1-9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--decoders</w:t>
      </w:r>
      <w:r>
        <w:rPr>
          <w:rStyle w:val="NormalTok"/>
        </w:rPr>
        <w:t xml:space="preserve"> primary fbcsp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--data-path</w:t>
      </w:r>
      <w:r>
        <w:rPr>
          <w:rStyle w:val="NormalTok"/>
        </w:rPr>
        <w:t xml:space="preserve"> /absolute/path/to/MNE-data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results/bci_real_application_v4.json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--n-bootstrap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--n-permutations</w:t>
      </w:r>
      <w:r>
        <w:rPr>
          <w:rStyle w:val="NormalTok"/>
        </w:rPr>
        <w:t xml:space="preserve"> 5000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validate_bci_output.py results/bci_real_application_v4.json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populate_bci_manuscript.py results/bci_real_application_v4.json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make_figures.py bci</w:t>
      </w:r>
    </w:p>
    <w:bookmarkEnd w:id="30"/>
    <w:bookmarkStart w:id="31" w:name="final-acceptance-decision"/>
    <w:p>
      <w:pPr>
        <w:pStyle w:val="Heading2"/>
      </w:pPr>
      <w:r>
        <w:t xml:space="preserve">11. Final acceptance decision</w:t>
      </w:r>
    </w:p>
    <w:p>
      <w:pPr>
        <w:pStyle w:val="FirstParagraph"/>
      </w:pPr>
      <w:r>
        <w:t xml:space="preserve">Do not submit the BCI results when any of the following occurs:</w:t>
      </w:r>
    </w:p>
    <w:p>
      <w:pPr>
        <w:pStyle w:val="Compact"/>
        <w:numPr>
          <w:ilvl w:val="0"/>
          <w:numId w:val="1010"/>
        </w:numPr>
      </w:pPr>
      <w:r>
        <w:t xml:space="preserve">session/run/channel/timing assertion failure;</w:t>
      </w:r>
    </w:p>
    <w:p>
      <w:pPr>
        <w:pStyle w:val="Compact"/>
        <w:numPr>
          <w:ilvl w:val="0"/>
          <w:numId w:val="1010"/>
        </w:numPr>
      </w:pPr>
      <w:r>
        <w:t xml:space="preserve">unexpected artifact count or class imbalance without explanation;</w:t>
      </w:r>
    </w:p>
    <w:p>
      <w:pPr>
        <w:pStyle w:val="Compact"/>
        <w:numPr>
          <w:ilvl w:val="0"/>
          <w:numId w:val="1010"/>
        </w:numPr>
      </w:pPr>
      <w:r>
        <w:t xml:space="preserve">any E-label use in tuning;</w:t>
      </w:r>
    </w:p>
    <w:p>
      <w:pPr>
        <w:pStyle w:val="Compact"/>
        <w:numPr>
          <w:ilvl w:val="0"/>
          <w:numId w:val="1010"/>
        </w:numPr>
      </w:pPr>
      <w:r>
        <w:t xml:space="preserve">primary performance remaining near the withdrawn kappa of .29 without a resolved cause;</w:t>
      </w:r>
    </w:p>
    <w:p>
      <w:pPr>
        <w:pStyle w:val="Compact"/>
        <w:numPr>
          <w:ilvl w:val="0"/>
          <w:numId w:val="1010"/>
        </w:numPr>
      </w:pPr>
      <w:r>
        <w:t xml:space="preserve">unexplained divergence between the primary and FBCSP-style confusion structure;</w:t>
      </w:r>
    </w:p>
    <w:p>
      <w:pPr>
        <w:pStyle w:val="Compact"/>
        <w:numPr>
          <w:ilvl w:val="0"/>
          <w:numId w:val="1010"/>
        </w:numPr>
      </w:pPr>
      <w:r>
        <w:t xml:space="preserve">unpopulated manuscript tokens;</w:t>
      </w:r>
    </w:p>
    <w:p>
      <w:pPr>
        <w:pStyle w:val="Compact"/>
        <w:numPr>
          <w:ilvl w:val="0"/>
          <w:numId w:val="1010"/>
        </w:numPr>
      </w:pPr>
      <w:r>
        <w:t xml:space="preserve">a figure or table not reproducible from the final JSON and prediction CSVs.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2026-09-04T23:31:46Z</dcterms:created>
  <dcterms:modified xsi:type="dcterms:W3CDTF">2026-09-04T23:31:46Z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