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4b95fdc70c2f8c72f49edb71ab596d00299172"/>
    <w:p>
      <w:pPr>
        <w:pStyle w:val="Heading1"/>
      </w:pPr>
      <w:r>
        <w:t xml:space="preserve">BCI Competition IV-2a execution, validation, and manuscript population</w:t>
      </w:r>
    </w:p>
    <w:p>
      <w:pPr>
        <w:pStyle w:val="FirstParagraph"/>
      </w:pPr>
      <w:r>
        <w:t xml:space="preserve">Section 6 is not a prose placeholder to be filled by hand. It is populated only from a completed</w:t>
      </w:r>
      <w:r>
        <w:t xml:space="preserve"> </w:t>
      </w:r>
      <w:r>
        <w:rPr>
          <w:rStyle w:val="VerbatimChar"/>
        </w:rPr>
        <w:t xml:space="preserve">results/bci_real_application_v4.json</w:t>
      </w:r>
      <w:r>
        <w:t xml:space="preserve"> </w:t>
      </w:r>
      <w:r>
        <w:t xml:space="preserve">that passes</w:t>
      </w:r>
      <w:r>
        <w:t xml:space="preserve"> </w:t>
      </w:r>
      <w:r>
        <w:rPr>
          <w:rStyle w:val="VerbatimChar"/>
        </w:rPr>
        <w:t xml:space="preserve">validate_bci_output.py</w:t>
      </w:r>
      <w:r>
        <w:t xml:space="preserve">.</w:t>
      </w:r>
    </w:p>
    <w:bookmarkStart w:id="20" w:name="pinned-environment"/>
    <w:p>
      <w:pPr>
        <w:pStyle w:val="Heading2"/>
      </w:pPr>
      <w:r>
        <w:t xml:space="preserve">1. Pinned environment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.venv-bci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.venv-bci/bin/activate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requirements-bci.txt</w:t>
      </w:r>
    </w:p>
    <w:p>
      <w:pPr>
        <w:pStyle w:val="FirstParagraph"/>
      </w:pPr>
      <w:r>
        <w:t xml:space="preserve">Record: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results/bci_python_version.txt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results/bci_environment_lock.txt</w:t>
      </w:r>
    </w:p>
    <w:p>
      <w:pPr>
        <w:pStyle w:val="FirstParagraph"/>
      </w:pPr>
      <w:r>
        <w:t xml:space="preserve">The script supports MOABB representations with either six Raw objects per session or one concatenated Raw object. It does not depend on an</w:t>
      </w:r>
      <w:r>
        <w:t xml:space="preserve"> </w:t>
      </w:r>
      <w:r>
        <w:rPr>
          <w:rStyle w:val="VerbatimChar"/>
        </w:rPr>
        <w:t xml:space="preserve">artifact_handling</w:t>
      </w:r>
      <w:r>
        <w:t xml:space="preserve"> </w:t>
      </w:r>
      <w:r>
        <w:t xml:space="preserve">constructor argument. Organizer-provided</w:t>
      </w:r>
      <w:r>
        <w:t xml:space="preserve"> </w:t>
      </w:r>
      <w:r>
        <w:rPr>
          <w:rStyle w:val="VerbatimChar"/>
        </w:rPr>
        <w:t xml:space="preserve">bad_*</w:t>
      </w:r>
      <w:r>
        <w:t xml:space="preserve"> </w:t>
      </w:r>
      <w:r>
        <w:t xml:space="preserve">annotations are rejected explicitly through MNE Epochs.</w:t>
      </w:r>
    </w:p>
    <w:bookmarkEnd w:id="20"/>
    <w:bookmarkStart w:id="21" w:name="full-run"/>
    <w:p>
      <w:pPr>
        <w:pStyle w:val="Heading2"/>
      </w:pPr>
      <w:r>
        <w:t xml:space="preserve">2. Full run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bci_pipeline.py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--subjects</w:t>
      </w:r>
      <w:r>
        <w:rPr>
          <w:rStyle w:val="NormalTok"/>
        </w:rPr>
        <w:t xml:space="preserve"> 1-9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--decoders</w:t>
      </w:r>
      <w:r>
        <w:rPr>
          <w:rStyle w:val="NormalTok"/>
        </w:rPr>
        <w:t xml:space="preserve"> primary fbcsp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--data-path</w:t>
      </w:r>
      <w:r>
        <w:rPr>
          <w:rStyle w:val="NormalTok"/>
        </w:rPr>
        <w:t xml:space="preserve"> /absolute/path/to/MNE-data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results/bci_real_application_v4.json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--n-bootstrap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--n-permutations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The first run downloads the public dataset. Preserve the console log, dataset cache, prediction CSVs, environment lock, and JSON.</w:t>
      </w:r>
    </w:p>
    <w:bookmarkEnd w:id="21"/>
    <w:bookmarkStart w:id="22" w:name="non-negotiable-runtime-gates"/>
    <w:p>
      <w:pPr>
        <w:pStyle w:val="Heading2"/>
      </w:pPr>
      <w:r>
        <w:t xml:space="preserve">3. Non-negotiable runtime gates</w:t>
      </w:r>
    </w:p>
    <w:p>
      <w:pPr>
        <w:pStyle w:val="FirstParagraph"/>
      </w:pPr>
      <w:r>
        <w:t xml:space="preserve">The run aborts when any gate fails.</w:t>
      </w:r>
    </w:p>
    <w:p>
      <w:pPr>
        <w:pStyle w:val="Compact"/>
        <w:numPr>
          <w:ilvl w:val="0"/>
          <w:numId w:val="1001"/>
        </w:numPr>
      </w:pPr>
      <w:r>
        <w:t xml:space="preserve">All nine subjects complete.</w:t>
      </w:r>
    </w:p>
    <w:p>
      <w:pPr>
        <w:pStyle w:val="Compact"/>
        <w:numPr>
          <w:ilvl w:val="0"/>
          <w:numId w:val="1001"/>
        </w:numPr>
      </w:pPr>
      <w:r>
        <w:t xml:space="preserve">Session labels resolve semantically to one training session and one evaluation/test session.</w:t>
      </w:r>
    </w:p>
    <w:p>
      <w:pPr>
        <w:pStyle w:val="Compact"/>
        <w:numPr>
          <w:ilvl w:val="0"/>
          <w:numId w:val="1001"/>
        </w:numPr>
      </w:pPr>
      <w:r>
        <w:t xml:space="preserve">Each session contains 288 cue events.</w:t>
      </w:r>
    </w:p>
    <w:p>
      <w:pPr>
        <w:pStyle w:val="Compact"/>
        <w:numPr>
          <w:ilvl w:val="0"/>
          <w:numId w:val="1001"/>
        </w:numPr>
      </w:pPr>
      <w:r>
        <w:t xml:space="preserve">Six source runs are verified either as six 48-cue Raw objects or as one 288-cue Raw with five between-run gaps.</w:t>
      </w:r>
    </w:p>
    <w:p>
      <w:pPr>
        <w:pStyle w:val="Compact"/>
        <w:numPr>
          <w:ilvl w:val="0"/>
          <w:numId w:val="1001"/>
        </w:numPr>
      </w:pPr>
      <w:r>
        <w:t xml:space="preserve">Each subject contributes exactly 282 within-source-run inter-cue intervals to the cycle-time estimate.</w:t>
      </w:r>
    </w:p>
    <w:p>
      <w:pPr>
        <w:pStyle w:val="Compact"/>
        <w:numPr>
          <w:ilvl w:val="0"/>
          <w:numId w:val="1001"/>
        </w:numPr>
      </w:pPr>
      <w:r>
        <w:t xml:space="preserve">Exactly 22 EEG channels enter every filter/CSP fit; EOG never enters the feature matrix.</w:t>
      </w:r>
    </w:p>
    <w:p>
      <w:pPr>
        <w:pStyle w:val="Compact"/>
        <w:numPr>
          <w:ilvl w:val="0"/>
          <w:numId w:val="1001"/>
        </w:numPr>
      </w:pPr>
      <w:r>
        <w:t xml:space="preserve">Organizer</w:t>
      </w:r>
      <w:r>
        <w:t xml:space="preserve"> </w:t>
      </w:r>
      <w:r>
        <w:rPr>
          <w:rStyle w:val="VerbatimChar"/>
        </w:rPr>
        <w:t xml:space="preserve">bad_*</w:t>
      </w:r>
      <w:r>
        <w:t xml:space="preserve"> </w:t>
      </w:r>
      <w:r>
        <w:t xml:space="preserve">annotations are rejected; all, clean, and excluded counts are reported by session and true class.</w:t>
      </w:r>
    </w:p>
    <w:p>
      <w:pPr>
        <w:pStyle w:val="Compact"/>
        <w:numPr>
          <w:ilvl w:val="0"/>
          <w:numId w:val="1001"/>
        </w:numPr>
      </w:pPr>
      <w:r>
        <w:t xml:space="preserve">The primary epoch is fixed at 0.5-2.5 s after cue onset. E labels are never used to choose it.</w:t>
      </w:r>
    </w:p>
    <w:p>
      <w:pPr>
        <w:pStyle w:val="Compact"/>
        <w:numPr>
          <w:ilvl w:val="0"/>
          <w:numId w:val="1001"/>
        </w:numPr>
      </w:pPr>
      <w:r>
        <w:t xml:space="preserve">Filter method, phase, design, transition settings, resolved tap count, sampling rate, package versions, and channel order are written to JSON.</w:t>
      </w:r>
    </w:p>
    <w:p>
      <w:pPr>
        <w:pStyle w:val="Compact"/>
        <w:numPr>
          <w:ilvl w:val="0"/>
          <w:numId w:val="1001"/>
        </w:numPr>
      </w:pPr>
      <w:r>
        <w:t xml:space="preserve">Primary CSP component count is selected only inside five-fold T-session cross-validation.</w:t>
      </w:r>
    </w:p>
    <w:p>
      <w:pPr>
        <w:pStyle w:val="Compact"/>
        <w:numPr>
          <w:ilvl w:val="0"/>
          <w:numId w:val="1001"/>
        </w:numPr>
      </w:pPr>
      <w:r>
        <w:t xml:space="preserve">FBCSP-style CSP fitting and feature-count selection occur inside T-session folds; E is evaluated once.</w:t>
      </w:r>
    </w:p>
    <w:p>
      <w:pPr>
        <w:pStyle w:val="Compact"/>
        <w:numPr>
          <w:ilvl w:val="0"/>
          <w:numId w:val="1001"/>
        </w:numPr>
      </w:pPr>
      <w:r>
        <w:t xml:space="preserve">Corrected MI uses observed joint support and is not truncated at zero.</w:t>
      </w:r>
    </w:p>
    <w:p>
      <w:pPr>
        <w:pStyle w:val="Compact"/>
        <w:numPr>
          <w:ilvl w:val="0"/>
          <w:numId w:val="1001"/>
        </w:numPr>
      </w:pPr>
      <w:r>
        <w:t xml:space="preserve">MI and B_min intervals use class-stratified bootstrap resampling.</w:t>
      </w:r>
    </w:p>
    <w:p>
      <w:pPr>
        <w:pStyle w:val="Compact"/>
        <w:numPr>
          <w:ilvl w:val="0"/>
          <w:numId w:val="1001"/>
        </w:numPr>
      </w:pPr>
      <w:r>
        <w:t xml:space="preserve">Independence p-values use</w:t>
      </w:r>
      <w:r>
        <w:t xml:space="preserve"> </w:t>
      </w:r>
      <w:r>
        <w:rPr>
          <w:rStyle w:val="VerbatimChar"/>
        </w:rPr>
        <w:t xml:space="preserve">(b+1)/(B+1)</w:t>
      </w:r>
      <w:r>
        <w:t xml:space="preserve">; Holm adjustment is applied across nine subjects separately for each decoder.</w:t>
      </w:r>
    </w:p>
    <w:p>
      <w:pPr>
        <w:pStyle w:val="Compact"/>
        <w:numPr>
          <w:ilvl w:val="0"/>
          <w:numId w:val="1001"/>
        </w:numPr>
      </w:pPr>
      <w:r>
        <w:t xml:space="preserve">Every decoder result includes a 4x4 confusion matrix, per-class precision/recall/F1, full V_eff curve, kappa, ITR, and correction amount.</w:t>
      </w:r>
    </w:p>
    <w:p>
      <w:pPr>
        <w:pStyle w:val="FirstParagraph"/>
      </w:pPr>
      <w:r>
        <w:t xml:space="preserve">Validate after execution: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validate_bci_output.py results/bci_real_application_v4.json</w:t>
      </w:r>
    </w:p>
    <w:bookmarkEnd w:id="22"/>
    <w:bookmarkStart w:id="23" w:name="decoder-interpretation"/>
    <w:p>
      <w:pPr>
        <w:pStyle w:val="Heading2"/>
      </w:pPr>
      <w:r>
        <w:t xml:space="preserve">4. Decoder interpretation</w:t>
      </w:r>
    </w:p>
    <w:p>
      <w:pPr>
        <w:pStyle w:val="FirstParagraph"/>
      </w:pPr>
      <w:r>
        <w:t xml:space="preserve">The primary fixed-window OVR-CSP decoder is compared contextually with Ang et al. (2012): mean evaluation kappa .503 for OVR-CSP and .569 for OVR-FBCSP. Those values are not exact targets because Ang et al. used time-resolved competition evaluation and maximum-over-time scoring.</w:t>
      </w:r>
    </w:p>
    <w:p>
      <w:pPr>
        <w:pStyle w:val="BodyText"/>
      </w:pPr>
      <w:r>
        <w:t xml:space="preserve">If primary mean kappa remains near the withdrawn value of .29, do not populate Section 6. Debug, in order:</w:t>
      </w:r>
    </w:p>
    <w:p>
      <w:pPr>
        <w:pStyle w:val="Compact"/>
        <w:numPr>
          <w:ilvl w:val="0"/>
          <w:numId w:val="1002"/>
        </w:numPr>
      </w:pPr>
      <w:r>
        <w:t xml:space="preserve">semantic T/E resolution;</w:t>
      </w:r>
    </w:p>
    <w:p>
      <w:pPr>
        <w:pStyle w:val="Compact"/>
        <w:numPr>
          <w:ilvl w:val="0"/>
          <w:numId w:val="1002"/>
        </w:numPr>
      </w:pPr>
      <w:r>
        <w:t xml:space="preserve">cue-relative timing;</w:t>
      </w:r>
    </w:p>
    <w:p>
      <w:pPr>
        <w:pStyle w:val="Compact"/>
        <w:numPr>
          <w:ilvl w:val="0"/>
          <w:numId w:val="1002"/>
        </w:numPr>
      </w:pPr>
      <w:r>
        <w:t xml:space="preserve">all/clean artifact counts and class balance;</w:t>
      </w:r>
    </w:p>
    <w:p>
      <w:pPr>
        <w:pStyle w:val="Compact"/>
        <w:numPr>
          <w:ilvl w:val="0"/>
          <w:numId w:val="1002"/>
        </w:numPr>
      </w:pPr>
      <w:r>
        <w:t xml:space="preserve">EEG/EOG channel picks;</w:t>
      </w:r>
    </w:p>
    <w:p>
      <w:pPr>
        <w:pStyle w:val="Compact"/>
        <w:numPr>
          <w:ilvl w:val="0"/>
          <w:numId w:val="1002"/>
        </w:numPr>
      </w:pPr>
      <w:r>
        <w:t xml:space="preserve">filter specification and epoch identity across bands;</w:t>
      </w:r>
    </w:p>
    <w:p>
      <w:pPr>
        <w:pStyle w:val="Compact"/>
        <w:numPr>
          <w:ilvl w:val="0"/>
          <w:numId w:val="1002"/>
        </w:numPr>
      </w:pPr>
      <w:r>
        <w:t xml:space="preserve">CSP component selection and covariance regularization;</w:t>
      </w:r>
    </w:p>
    <w:p>
      <w:pPr>
        <w:pStyle w:val="Compact"/>
        <w:numPr>
          <w:ilvl w:val="0"/>
          <w:numId w:val="1002"/>
        </w:numPr>
      </w:pPr>
      <w:r>
        <w:t xml:space="preserve">per-subject confusion matrices;</w:t>
      </w:r>
    </w:p>
    <w:p>
      <w:pPr>
        <w:pStyle w:val="Compact"/>
        <w:numPr>
          <w:ilvl w:val="0"/>
          <w:numId w:val="1002"/>
        </w:numPr>
      </w:pPr>
      <w:r>
        <w:t xml:space="preserve">agreement or disagreement with the FBCSP-style robustness analysis.</w:t>
      </w:r>
    </w:p>
    <w:p>
      <w:pPr>
        <w:pStyle w:val="FirstParagraph"/>
      </w:pPr>
      <w:r>
        <w:t xml:space="preserve">The robustness decoder is called</w:t>
      </w:r>
      <w:r>
        <w:t xml:space="preserve"> </w:t>
      </w:r>
      <w:r>
        <w:rPr>
          <w:b/>
          <w:bCs/>
        </w:rPr>
        <w:t xml:space="preserve">FBCSP-style</w:t>
      </w:r>
      <w:r>
        <w:t xml:space="preserve"> </w:t>
      </w:r>
      <w:r>
        <w:t xml:space="preserve">unless every detail of Ang et al.’s feature-selection and temporal evaluation procedure is reproduced. It exists to test decoder dependence, not to manufacture a higher score.</w:t>
      </w:r>
    </w:p>
    <w:bookmarkEnd w:id="23"/>
    <w:bookmarkStart w:id="24" w:name="X3a95a4fafe89220621e957486c58ddc960f1650"/>
    <w:p>
      <w:pPr>
        <w:pStyle w:val="Heading2"/>
      </w:pPr>
      <w:r>
        <w:t xml:space="preserve">5. Artifact-conditioned versus operational throughput</w:t>
      </w:r>
    </w:p>
    <w:p>
      <w:pPr>
        <w:pStyle w:val="FirstParagraph"/>
      </w:pPr>
      <w:r>
        <w:t xml:space="preserve">The primary table reports clean-trial performance because the competition provides artifact annotations. Also report retention by subject and class. If rejected trials would consume time or yield no command in deployment, add a sensitivity analysis treating them as erasure outcomes rather than deleting them. Do not silently equate clean-trial throughput with deployment throughput.</w:t>
      </w:r>
    </w:p>
    <w:bookmarkEnd w:id="24"/>
    <w:bookmarkStart w:id="25" w:name="manuscript-population"/>
    <w:p>
      <w:pPr>
        <w:pStyle w:val="Heading2"/>
      </w:pPr>
      <w:r>
        <w:t xml:space="preserve">6. Manuscript population</w:t>
      </w:r>
    </w:p>
    <w:p>
      <w:pPr>
        <w:pStyle w:val="FirstParagraph"/>
      </w:pPr>
      <w:r>
        <w:t xml:space="preserve">Populate all table tokens and validated summary prose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populate_bci_manuscript.py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results/bci_real_application_v4.json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manuscript/The_Accuracy_Illusion_v4.md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manuscript/The_Accuracy_Illusion_v4_BCI_populated.md</w:t>
      </w:r>
    </w:p>
    <w:p>
      <w:pPr>
        <w:pStyle w:val="FirstParagraph"/>
      </w:pPr>
      <w:r>
        <w:t xml:space="preserve">Then regenerate figures: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make_figures.py bci</w:t>
      </w:r>
    </w:p>
    <w:p>
      <w:pPr>
        <w:pStyle w:val="FirstParagraph"/>
      </w:pPr>
      <w:r>
        <w:t xml:space="preserve">Before resubmission, verify that no</w:t>
      </w:r>
      <w:r>
        <w:t xml:space="preserve"> </w:t>
      </w:r>
      <w:r>
        <w:rPr>
          <w:rStyle w:val="VerbatimChar"/>
        </w:rPr>
        <w:t xml:space="preserve">BCI_PRIMARY_*_START/END</w:t>
      </w:r>
      <w:r>
        <w:t xml:space="preserve"> </w:t>
      </w:r>
      <w:r>
        <w:t xml:space="preserve">table markers remain.</w:t>
      </w:r>
    </w:p>
    <w:bookmarkEnd w:id="25"/>
    <w:bookmarkStart w:id="26" w:name="reporting-rules"/>
    <w:p>
      <w:pPr>
        <w:pStyle w:val="Heading2"/>
      </w:pPr>
      <w:r>
        <w:t xml:space="preserve">7. Reporting rules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03"/>
        </w:numPr>
      </w:pPr>
      <w:r>
        <w:t xml:space="preserve">report a pooled confusion matrix as an operating subject-specific BCI;</w:t>
      </w:r>
    </w:p>
    <w:p>
      <w:pPr>
        <w:pStyle w:val="Compact"/>
        <w:numPr>
          <w:ilvl w:val="0"/>
          <w:numId w:val="1003"/>
        </w:numPr>
      </w:pPr>
      <w:r>
        <w:t xml:space="preserve">call an intent</w:t>
      </w:r>
      <w:r>
        <w:t xml:space="preserve"> </w:t>
      </w:r>
      <w:r>
        <w:t xml:space="preserve">“</w:t>
      </w:r>
      <w:r>
        <w:t xml:space="preserve">usable</w:t>
      </w:r>
      <w:r>
        <w:t xml:space="preserve">”</w:t>
      </w:r>
      <w:r>
        <w:t xml:space="preserve"> </w:t>
      </w:r>
      <w:r>
        <w:t xml:space="preserve">solely because it crosses a reference F1 threshold;</w:t>
      </w:r>
    </w:p>
    <w:p>
      <w:pPr>
        <w:pStyle w:val="Compact"/>
        <w:numPr>
          <w:ilvl w:val="0"/>
          <w:numId w:val="1003"/>
        </w:numPr>
      </w:pPr>
      <w:r>
        <w:t xml:space="preserve">report a fold range when the smallest corrected B_min is non-positive or statistically indistinguishable from zero;</w:t>
      </w:r>
    </w:p>
    <w:p>
      <w:pPr>
        <w:pStyle w:val="Compact"/>
        <w:numPr>
          <w:ilvl w:val="0"/>
          <w:numId w:val="1003"/>
        </w:numPr>
      </w:pPr>
      <w:r>
        <w:t xml:space="preserve">compare low-information subjects from point estimates alone;</w:t>
      </w:r>
    </w:p>
    <w:p>
      <w:pPr>
        <w:pStyle w:val="Compact"/>
        <w:numPr>
          <w:ilvl w:val="0"/>
          <w:numId w:val="1003"/>
        </w:numPr>
      </w:pPr>
      <w:r>
        <w:t xml:space="preserve">describe a class-confusion pattern before inspecting all subject-level matrices;</w:t>
      </w:r>
    </w:p>
    <w:p>
      <w:pPr>
        <w:pStyle w:val="Compact"/>
        <w:numPr>
          <w:ilvl w:val="0"/>
          <w:numId w:val="1003"/>
        </w:numPr>
      </w:pPr>
      <w:r>
        <w:t xml:space="preserve">compare fixed-window kappa as though it were identical to maximum-over-time competition kappa;</w:t>
      </w:r>
    </w:p>
    <w:p>
      <w:pPr>
        <w:pStyle w:val="Compact"/>
        <w:numPr>
          <w:ilvl w:val="0"/>
          <w:numId w:val="1003"/>
        </w:numPr>
      </w:pPr>
      <w:r>
        <w:t xml:space="preserve">report the FBCSP-style decoder as an exact Ang et al. reproduction.</w:t>
      </w:r>
    </w:p>
    <w:p>
      <w:pPr>
        <w:pStyle w:val="FirstParagraph"/>
      </w:pPr>
      <w:r>
        <w:t xml:space="preserve">Table 3a contains the primary decoder. Table 3b contains threshold sensitivity. Supplementary Table S8 contains both decoders, artifact counts, support corrections, software versions, and the reference-only micro-average. Figure 2 shows subject-level accuracy against full-cycle B_min plus threshold sensitivity. Figure 4 shows all nine primary confusion matrices; the FBCSP-style matrices belong in the supplement.</w:t>
      </w:r>
    </w:p>
    <w:bookmarkEnd w:id="26"/>
    <w:bookmarkStart w:id="27" w:name="publication-gate"/>
    <w:p>
      <w:pPr>
        <w:pStyle w:val="Heading2"/>
      </w:pPr>
      <w:r>
        <w:t xml:space="preserve">8. Publication gate</w:t>
      </w:r>
    </w:p>
    <w:p>
      <w:pPr>
        <w:pStyle w:val="FirstParagraph"/>
      </w:pPr>
      <w:r>
        <w:t xml:space="preserve">The Section 6 results are publication-ready only when: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validate_bci_output.py</w:t>
      </w:r>
      <w:r>
        <w:t xml:space="preserve"> </w:t>
      </w:r>
      <w:r>
        <w:t xml:space="preserve">passes;</w:t>
      </w:r>
    </w:p>
    <w:p>
      <w:pPr>
        <w:pStyle w:val="Compact"/>
        <w:numPr>
          <w:ilvl w:val="0"/>
          <w:numId w:val="1004"/>
        </w:numPr>
      </w:pPr>
      <w:r>
        <w:t xml:space="preserve">prediction CSVs recreate every confusion matrix;</w:t>
      </w:r>
    </w:p>
    <w:p>
      <w:pPr>
        <w:pStyle w:val="Compact"/>
        <w:numPr>
          <w:ilvl w:val="0"/>
          <w:numId w:val="1004"/>
        </w:numPr>
      </w:pPr>
      <w:r>
        <w:t xml:space="preserve">figures recreate from the final JSON;</w:t>
      </w:r>
    </w:p>
    <w:p>
      <w:pPr>
        <w:pStyle w:val="Compact"/>
        <w:numPr>
          <w:ilvl w:val="0"/>
          <w:numId w:val="1004"/>
        </w:numPr>
      </w:pPr>
      <w:r>
        <w:t xml:space="preserve">the populated manuscript contains no token or withdrawn value;</w:t>
      </w:r>
    </w:p>
    <w:p>
      <w:pPr>
        <w:pStyle w:val="Compact"/>
        <w:numPr>
          <w:ilvl w:val="0"/>
          <w:numId w:val="1004"/>
        </w:numPr>
      </w:pPr>
      <w:r>
        <w:t xml:space="preserve">the response letter reports actual values rather than future tense;</w:t>
      </w:r>
    </w:p>
    <w:p>
      <w:pPr>
        <w:pStyle w:val="Compact"/>
        <w:numPr>
          <w:ilvl w:val="0"/>
          <w:numId w:val="1004"/>
        </w:numPr>
      </w:pPr>
      <w:r>
        <w:t xml:space="preserve">the archived package contains the JSON, prediction CSVs, log, environment lock, and code commit hash.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2026-09-04T23:39:24Z</dcterms:created>
  <dcterms:modified xsi:type="dcterms:W3CDTF">2026-09-04T23:39:24Z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