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vision-audit-v4"/>
    <w:p>
      <w:pPr>
        <w:pStyle w:val="Heading1"/>
      </w:pPr>
      <w:r>
        <w:t xml:space="preserve">Revision Audit V4</w:t>
      </w:r>
    </w:p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Simulation manuscript:</w:t>
      </w:r>
      <w:r>
        <w:t xml:space="preserve"> </w:t>
      </w:r>
      <w:r>
        <w:t xml:space="preserve">complete and regenerated.</w:t>
      </w:r>
    </w:p>
    <w:p>
      <w:pPr>
        <w:pStyle w:val="BodyText"/>
      </w:pPr>
      <w:r>
        <w:rPr>
          <w:b/>
          <w:bCs/>
        </w:rPr>
        <w:t xml:space="preserve">BCI empirical insertion:</w:t>
      </w:r>
      <w:r>
        <w:t xml:space="preserve"> </w:t>
      </w:r>
      <w:r>
        <w:t xml:space="preserve">execution-gated. The original BCI results are withdrawn. No replacement BCI value is asserted in the current manuscript. Section 6 is populated only from a validated</w:t>
      </w:r>
      <w:r>
        <w:t xml:space="preserve"> </w:t>
      </w:r>
      <w:r>
        <w:rPr>
          <w:rStyle w:val="VerbatimChar"/>
        </w:rPr>
        <w:t xml:space="preserve">results/bci_real_application_v4.json</w:t>
      </w:r>
      <w:r>
        <w:t xml:space="preserve">.</w:t>
      </w:r>
    </w:p>
    <w:bookmarkEnd w:id="20"/>
    <w:bookmarkStart w:id="21" w:name="simulation-architecture"/>
    <w:p>
      <w:pPr>
        <w:pStyle w:val="Heading2"/>
      </w:pPr>
      <w:r>
        <w:t xml:space="preserve">1. Simulation architecture</w:t>
      </w:r>
    </w:p>
    <w:p>
      <w:pPr>
        <w:pStyle w:val="Compact"/>
        <w:numPr>
          <w:ilvl w:val="0"/>
          <w:numId w:val="1001"/>
        </w:numPr>
      </w:pPr>
      <w:r>
        <w:t xml:space="preserve">Removed the inert grammar-partition factor from</w:t>
      </w:r>
      <w:r>
        <w:t xml:space="preserve"> </w:t>
      </w:r>
      <w:r>
        <w:rPr>
          <w:rStyle w:val="VerbatimChar"/>
        </w:rPr>
        <w:t xml:space="preserve">SimConfig</w:t>
      </w:r>
      <w:r>
        <w:t xml:space="preserve">, the grid, and all result cells.</w:t>
      </w:r>
    </w:p>
    <w:p>
      <w:pPr>
        <w:pStyle w:val="Compact"/>
        <w:numPr>
          <w:ilvl w:val="0"/>
          <w:numId w:val="1001"/>
        </w:numPr>
      </w:pPr>
      <w:r>
        <w:t xml:space="preserve">The engine now states its actual abstraction: Bernoulli correctness on training-labelled and held-out-labelled trials, without combination identities.</w:t>
      </w:r>
    </w:p>
    <w:p>
      <w:pPr>
        <w:pStyle w:val="Compact"/>
        <w:numPr>
          <w:ilvl w:val="0"/>
          <w:numId w:val="1001"/>
        </w:numPr>
      </w:pPr>
      <w:r>
        <w:t xml:space="preserve">The real-study protocol may assume an 80/20 grammar partition; that value is not represented as a simulation parameter.</w:t>
      </w:r>
    </w:p>
    <w:p>
      <w:pPr>
        <w:pStyle w:val="Compact"/>
        <w:numPr>
          <w:ilvl w:val="0"/>
          <w:numId w:val="1001"/>
        </w:numPr>
      </w:pPr>
      <w:r>
        <w:t xml:space="preserve">The 480-cell grid varies only</w:t>
      </w:r>
      <w:r>
        <w:t xml:space="preserve"> </w:t>
      </w:r>
      <w:r>
        <w:rPr>
          <w:rStyle w:val="VerbatimChar"/>
        </w:rPr>
        <w:t xml:space="preserve">|Z|</w:t>
      </w:r>
      <w:r>
        <w:t xml:space="preserve">, base correctness</w:t>
      </w:r>
      <w:r>
        <w:t xml:space="preserve"> </w:t>
      </w:r>
      <w:r>
        <w:rPr>
          <w:rStyle w:val="VerbatimChar"/>
        </w:rPr>
        <w:t xml:space="preserve">p</w:t>
      </w:r>
      <w:r>
        <w:t xml:space="preserve">, Zipf exponent, and total trial count.</w:t>
      </w:r>
    </w:p>
    <w:p>
      <w:pPr>
        <w:pStyle w:val="Compact"/>
        <w:numPr>
          <w:ilvl w:val="0"/>
          <w:numId w:val="1001"/>
        </w:numPr>
      </w:pPr>
      <w:r>
        <w:t xml:space="preserve">Fixed</w:t>
      </w:r>
      <w:r>
        <w:t xml:space="preserve"> </w:t>
      </w:r>
      <w:r>
        <w:rPr>
          <w:rStyle w:val="VerbatimChar"/>
        </w:rPr>
        <w:t xml:space="preserve">n_base_override</w:t>
      </w:r>
      <w:r>
        <w:t xml:space="preserve"> </w:t>
      </w:r>
      <w:r>
        <w:t xml:space="preserve">allocation so the uncertainty count is computed from the realized base count.</w:t>
      </w:r>
    </w:p>
    <w:p>
      <w:pPr>
        <w:pStyle w:val="Compact"/>
        <w:numPr>
          <w:ilvl w:val="0"/>
          <w:numId w:val="1001"/>
        </w:numPr>
      </w:pPr>
      <w:r>
        <w:t xml:space="preserve">Specialized trials never enter the base confusion matrix.</w:t>
      </w:r>
    </w:p>
    <w:p>
      <w:pPr>
        <w:pStyle w:val="Compact"/>
        <w:numPr>
          <w:ilvl w:val="0"/>
          <w:numId w:val="1001"/>
        </w:numPr>
      </w:pPr>
      <w:r>
        <w:t xml:space="preserve">Memorizer and Compositional paired runs use common random numbers, producing exact equality of every realized base metric.</w:t>
      </w:r>
    </w:p>
    <w:bookmarkEnd w:id="21"/>
    <w:bookmarkStart w:id="22" w:name="final-simulation-results"/>
    <w:p>
      <w:pPr>
        <w:pStyle w:val="Heading2"/>
      </w:pPr>
      <w:r>
        <w:t xml:space="preserve">2. Final simulation results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|Z|=12</w:t>
      </w:r>
      <w:r>
        <w:t xml:space="preserve">,</w:t>
      </w:r>
      <w:r>
        <w:t xml:space="preserve"> </w:t>
      </w:r>
      <w:r>
        <w:rPr>
          <w:rStyle w:val="VerbatimChar"/>
        </w:rPr>
        <w:t xml:space="preserve">N=1000</w:t>
      </w:r>
      <w:r>
        <w:t xml:space="preserve">, 400 runs:</w:t>
      </w:r>
    </w:p>
    <w:p>
      <w:pPr>
        <w:pStyle w:val="Compact"/>
        <w:numPr>
          <w:ilvl w:val="0"/>
          <w:numId w:val="1002"/>
        </w:numPr>
      </w:pPr>
      <w:r>
        <w:t xml:space="preserve">Memorizer and Compositional base accuracy:</w:t>
      </w:r>
      <w:r>
        <w:t xml:space="preserve"> </w:t>
      </w:r>
      <w:r>
        <w:rPr>
          <w:rStyle w:val="VerbatimChar"/>
        </w:rPr>
        <w:t xml:space="preserve">.849935</w:t>
      </w:r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2"/>
        </w:numPr>
      </w:pPr>
      <w:r>
        <w:t xml:space="preserve">Corrected MI:</w:t>
      </w:r>
      <w:r>
        <w:t xml:space="preserve"> </w:t>
      </w:r>
      <w:r>
        <w:rPr>
          <w:rStyle w:val="VerbatimChar"/>
        </w:rPr>
        <w:t xml:space="preserve">2.572421</w:t>
      </w:r>
      <w:r>
        <w:t xml:space="preserve"> </w:t>
      </w:r>
      <w:r>
        <w:t xml:space="preserve">bits for both.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B_min</w:t>
      </w:r>
      <w:r>
        <w:t xml:space="preserve">:</w:t>
      </w:r>
      <w:r>
        <w:t xml:space="preserve"> </w:t>
      </w:r>
      <w:r>
        <w:rPr>
          <w:rStyle w:val="VerbatimChar"/>
        </w:rPr>
        <w:t xml:space="preserve">4.747720</w:t>
      </w:r>
      <w:r>
        <w:t xml:space="preserve"> </w:t>
      </w:r>
      <w:r>
        <w:t xml:space="preserve">bits/min for both.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V_eff(.60)</w:t>
      </w:r>
      <w:r>
        <w:t xml:space="preserve">:</w:t>
      </w:r>
      <w:r>
        <w:t xml:space="preserve"> </w:t>
      </w:r>
      <w:r>
        <w:rPr>
          <w:rStyle w:val="VerbatimChar"/>
        </w:rPr>
        <w:t xml:space="preserve">11.7875</w:t>
      </w:r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V_eff(.80)</w:t>
      </w:r>
      <w:r>
        <w:t xml:space="preserve">:</w:t>
      </w:r>
      <w:r>
        <w:t xml:space="preserve"> </w:t>
      </w:r>
      <w:r>
        <w:rPr>
          <w:rStyle w:val="VerbatimChar"/>
        </w:rPr>
        <w:t xml:space="preserve">10.435</w:t>
      </w:r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C_2</w:t>
      </w:r>
      <w:r>
        <w:t xml:space="preserve">:</w:t>
      </w:r>
      <w:r>
        <w:t xml:space="preserve"> </w:t>
      </w:r>
      <w:r>
        <w:rPr>
          <w:rStyle w:val="VerbatimChar"/>
        </w:rPr>
        <w:t xml:space="preserve">.082227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.855563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:</w:t>
      </w:r>
      <w:r>
        <w:t xml:space="preserve"> </w:t>
      </w:r>
      <w:r>
        <w:rPr>
          <w:rStyle w:val="VerbatimChar"/>
        </w:rPr>
        <w:t xml:space="preserve">.161225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.349750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.217178</w:t>
      </w:r>
      <w:r>
        <w:t xml:space="preserve">.</w:t>
      </w:r>
    </w:p>
    <w:p>
      <w:pPr>
        <w:pStyle w:val="FirstParagraph"/>
      </w:pPr>
      <w:r>
        <w:t xml:space="preserve">Matched-base sweep:</w:t>
      </w:r>
    </w:p>
    <w:p>
      <w:pPr>
        <w:pStyle w:val="Compact"/>
        <w:numPr>
          <w:ilvl w:val="0"/>
          <w:numId w:val="1003"/>
        </w:numPr>
      </w:pPr>
      <w:r>
        <w:t xml:space="preserve">Aggregate-accuracy gaps:</w:t>
      </w:r>
      <w:r>
        <w:t xml:space="preserve"> </w:t>
      </w:r>
      <w:r>
        <w:rPr>
          <w:rStyle w:val="VerbatimChar"/>
        </w:rPr>
        <w:t xml:space="preserve">4.7–9.9</w:t>
      </w:r>
      <w:r>
        <w:t xml:space="preserve"> </w:t>
      </w:r>
      <w:r>
        <w:t xml:space="preserve">percentage points.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C_2</w:t>
      </w:r>
      <w:r>
        <w:t xml:space="preserve"> </w:t>
      </w:r>
      <w:r>
        <w:t xml:space="preserve">gaps:</w:t>
      </w:r>
      <w:r>
        <w:t xml:space="preserve"> </w:t>
      </w:r>
      <w:r>
        <w:rPr>
          <w:rStyle w:val="VerbatimChar"/>
        </w:rPr>
        <w:t xml:space="preserve">41.6–86.4</w:t>
      </w:r>
      <w:r>
        <w:t xml:space="preserve"> </w:t>
      </w:r>
      <w:r>
        <w:t xml:space="preserve">points.</w:t>
      </w:r>
    </w:p>
    <w:p>
      <w:pPr>
        <w:pStyle w:val="Compact"/>
        <w:numPr>
          <w:ilvl w:val="0"/>
          <w:numId w:val="1003"/>
        </w:numPr>
      </w:pPr>
      <w:r>
        <w:t xml:space="preserve">Base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 </w:t>
      </w:r>
      <w:r>
        <w:t xml:space="preserve">gap: exactly zero at every level.</w:t>
      </w:r>
    </w:p>
    <w:p>
      <w:pPr>
        <w:pStyle w:val="FirstParagraph"/>
      </w:pPr>
      <w:r>
        <w:t xml:space="preserve">Grid:</w:t>
      </w:r>
    </w:p>
    <w:p>
      <w:pPr>
        <w:pStyle w:val="Compact"/>
        <w:numPr>
          <w:ilvl w:val="0"/>
          <w:numId w:val="1004"/>
        </w:numPr>
      </w:pPr>
      <w:r>
        <w:t xml:space="preserve">480 cells, 100 paired runs per cell.</w:t>
      </w:r>
    </w:p>
    <w:p>
      <w:pPr>
        <w:pStyle w:val="Compact"/>
        <w:numPr>
          <w:ilvl w:val="0"/>
          <w:numId w:val="1004"/>
        </w:numPr>
      </w:pPr>
      <w:r>
        <w:t xml:space="preserve">Minimum</w:t>
      </w:r>
      <w:r>
        <w:t xml:space="preserve"> </w:t>
      </w:r>
      <w:r>
        <w:rPr>
          <w:rStyle w:val="VerbatimChar"/>
        </w:rPr>
        <w:t xml:space="preserve">C_2</w:t>
      </w:r>
      <w:r>
        <w:t xml:space="preserve"> </w:t>
      </w:r>
      <w:r>
        <w:t xml:space="preserve">Cohen’s</w:t>
      </w:r>
      <w:r>
        <w:t xml:space="preserve"> </w:t>
      </w:r>
      <w:r>
        <w:rPr>
          <w:rStyle w:val="VerbatimChar"/>
        </w:rPr>
        <w:t xml:space="preserve">d</w:t>
      </w:r>
      <w:r>
        <w:t xml:space="preserve">:</w:t>
      </w:r>
      <w:r>
        <w:t xml:space="preserve"> </w:t>
      </w:r>
      <w:r>
        <w:rPr>
          <w:rStyle w:val="VerbatimChar"/>
        </w:rPr>
        <w:t xml:space="preserve">1.799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N=100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2.724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N&gt;=200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Median</w:t>
      </w:r>
      <w:r>
        <w:t xml:space="preserve"> </w:t>
      </w:r>
      <w:r>
        <w:rPr>
          <w:rStyle w:val="VerbatimChar"/>
        </w:rPr>
        <w:t xml:space="preserve">C_2 d</w:t>
      </w:r>
      <w:r>
        <w:t xml:space="preserve">:</w:t>
      </w:r>
      <w:r>
        <w:t xml:space="preserve"> </w:t>
      </w:r>
      <w:r>
        <w:rPr>
          <w:rStyle w:val="VerbatimChar"/>
        </w:rPr>
        <w:t xml:space="preserve">11.476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Minimum</w:t>
      </w:r>
      <w:r>
        <w:t xml:space="preserve"> </w:t>
      </w:r>
      <w:r>
        <w:rPr>
          <w:rStyle w:val="VerbatimChar"/>
        </w:rPr>
        <w:t xml:space="preserve">R d</w:t>
      </w:r>
      <w:r>
        <w:t xml:space="preserve">:</w:t>
      </w:r>
      <w:r>
        <w:t xml:space="preserve"> </w:t>
      </w:r>
      <w:r>
        <w:rPr>
          <w:rStyle w:val="VerbatimChar"/>
        </w:rPr>
        <w:t xml:space="preserve">.528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N=100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1.321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N&gt;=500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Maximum paired base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 </w:t>
      </w:r>
      <w:r>
        <w:t xml:space="preserve">difference: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Finite-run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 </w:t>
      </w:r>
      <w:r>
        <w:t xml:space="preserve">monotonicity: 79/80 series; manuscript does not claim perfect empirical monotonicity.</w:t>
      </w:r>
    </w:p>
    <w:bookmarkEnd w:id="22"/>
    <w:bookmarkStart w:id="23" w:name="power-and-inference"/>
    <w:p>
      <w:pPr>
        <w:pStyle w:val="Heading2"/>
      </w:pPr>
      <w:r>
        <w:t xml:space="preserve">3. Power and inference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C_2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</w:t>
      </w:r>
      <w:r>
        <w:t xml:space="preserve">: two-sided Fisher exact tests.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B_min</w:t>
      </w:r>
      <w:r>
        <w:t xml:space="preserve">: two-sided system-label permutation conditional on the pooled joint table.</w:t>
      </w:r>
    </w:p>
    <w:p>
      <w:pPr>
        <w:pStyle w:val="Compact"/>
        <w:numPr>
          <w:ilvl w:val="0"/>
          <w:numId w:val="1005"/>
        </w:numPr>
      </w:pPr>
      <w:r>
        <w:t xml:space="preserve">1,000 Monte Carlo replications per cell.</w:t>
      </w:r>
    </w:p>
    <w:p>
      <w:pPr>
        <w:pStyle w:val="Compact"/>
        <w:numPr>
          <w:ilvl w:val="0"/>
          <w:numId w:val="1005"/>
        </w:numPr>
      </w:pPr>
      <w:r>
        <w:t xml:space="preserve">1,000 system-label permutations per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 </w:t>
      </w:r>
      <w:r>
        <w:t xml:space="preserve">replication.</w:t>
      </w:r>
    </w:p>
    <w:p>
      <w:pPr>
        <w:pStyle w:val="Compact"/>
        <w:numPr>
          <w:ilvl w:val="0"/>
          <w:numId w:val="1005"/>
        </w:numPr>
      </w:pPr>
      <w:r>
        <w:t xml:space="preserve">Wilson 95% Monte Carlo intervals reported.</w:t>
      </w:r>
    </w:p>
    <w:p>
      <w:pPr>
        <w:pStyle w:val="Compact"/>
        <w:numPr>
          <w:ilvl w:val="0"/>
          <w:numId w:val="1005"/>
        </w:numPr>
      </w:pPr>
      <w:r>
        <w:t xml:space="preserve">Empirical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 </w:t>
      </w:r>
      <w:r>
        <w:t xml:space="preserve">size:</w:t>
      </w:r>
      <w:r>
        <w:t xml:space="preserve"> </w:t>
      </w:r>
      <w:r>
        <w:rPr>
          <w:rStyle w:val="VerbatimChar"/>
        </w:rPr>
        <w:t xml:space="preserve">.039–.057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Delta p=.05</w:t>
      </w:r>
      <w:r>
        <w:t xml:space="preserve">: power</w:t>
      </w:r>
      <w:r>
        <w:t xml:space="preserve"> </w:t>
      </w:r>
      <w:r>
        <w:rPr>
          <w:rStyle w:val="VerbatimChar"/>
        </w:rPr>
        <w:t xml:space="preserve">.665</w:t>
      </w:r>
      <w:r>
        <w:t xml:space="preserve"> </w:t>
      </w:r>
      <w:r>
        <w:t xml:space="preserve">at 500,</w:t>
      </w:r>
      <w:r>
        <w:t xml:space="preserve"> </w:t>
      </w:r>
      <w:r>
        <w:rPr>
          <w:rStyle w:val="VerbatimChar"/>
        </w:rPr>
        <w:t xml:space="preserve">.823</w:t>
      </w:r>
      <w:r>
        <w:t xml:space="preserve"> </w:t>
      </w:r>
      <w:r>
        <w:t xml:space="preserve">at 750,</w:t>
      </w:r>
      <w:r>
        <w:t xml:space="preserve"> </w:t>
      </w:r>
      <w:r>
        <w:rPr>
          <w:rStyle w:val="VerbatimChar"/>
        </w:rPr>
        <w:t xml:space="preserve">.929</w:t>
      </w:r>
      <w:r>
        <w:t xml:space="preserve"> </w:t>
      </w:r>
      <w:r>
        <w:t xml:space="preserve">at 1,000 base trials/system.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Delta p=.03</w:t>
      </w:r>
      <w:r>
        <w:t xml:space="preserve">: power</w:t>
      </w:r>
      <w:r>
        <w:t xml:space="preserve"> </w:t>
      </w:r>
      <w:r>
        <w:rPr>
          <w:rStyle w:val="VerbatimChar"/>
        </w:rPr>
        <w:t xml:space="preserve">.798</w:t>
      </w:r>
      <w:r>
        <w:t xml:space="preserve"> </w:t>
      </w:r>
      <w:r>
        <w:t xml:space="preserve">at 2,000.</w:t>
      </w:r>
    </w:p>
    <w:p>
      <w:pPr>
        <w:pStyle w:val="Compact"/>
        <w:numPr>
          <w:ilvl w:val="0"/>
          <w:numId w:val="1005"/>
        </w:numPr>
      </w:pPr>
      <w:r>
        <w:t xml:space="preserve">Population</w:t>
      </w:r>
      <w:r>
        <w:t xml:space="preserve"> </w:t>
      </w:r>
      <w:r>
        <w:rPr>
          <w:rStyle w:val="VerbatimChar"/>
        </w:rPr>
        <w:t xml:space="preserve">Delta B_min</w:t>
      </w:r>
      <w:r>
        <w:t xml:space="preserve"> </w:t>
      </w:r>
      <w:r>
        <w:t xml:space="preserve">at a .5-min cycle:</w:t>
      </w:r>
      <w:r>
        <w:t xml:space="preserve"> </w:t>
      </w:r>
      <w:r>
        <w:rPr>
          <w:rStyle w:val="VerbatimChar"/>
        </w:rPr>
        <w:t xml:space="preserve">.120</w:t>
      </w:r>
      <w:r>
        <w:t xml:space="preserve">,</w:t>
      </w:r>
      <w:r>
        <w:t xml:space="preserve"> </w:t>
      </w:r>
      <w:r>
        <w:rPr>
          <w:rStyle w:val="VerbatimChar"/>
        </w:rPr>
        <w:t xml:space="preserve">.369</w:t>
      </w:r>
      <w:r>
        <w:t xml:space="preserve">,</w:t>
      </w:r>
      <w:r>
        <w:t xml:space="preserve"> </w:t>
      </w:r>
      <w:r>
        <w:rPr>
          <w:rStyle w:val="VerbatimChar"/>
        </w:rPr>
        <w:t xml:space="preserve">.628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1.339</w:t>
      </w:r>
      <w:r>
        <w:t xml:space="preserve"> </w:t>
      </w:r>
      <w:r>
        <w:t xml:space="preserve">bits/min for</w:t>
      </w:r>
      <w:r>
        <w:t xml:space="preserve"> </w:t>
      </w:r>
      <w:r>
        <w:rPr>
          <w:rStyle w:val="VerbatimChar"/>
        </w:rPr>
        <w:t xml:space="preserve">Delta p=.01,.03,.05,.10</w:t>
      </w:r>
      <w:r>
        <w:t xml:space="preserve">.</w:t>
      </w:r>
    </w:p>
    <w:bookmarkEnd w:id="23"/>
    <w:bookmarkStart w:id="24" w:name="formal-corrections"/>
    <w:p>
      <w:pPr>
        <w:pStyle w:val="Heading2"/>
      </w:pPr>
      <w:r>
        <w:t xml:space="preserve">4. Formal corrections</w:t>
      </w:r>
    </w:p>
    <w:p>
      <w:pPr>
        <w:pStyle w:val="Compact"/>
        <w:numPr>
          <w:ilvl w:val="0"/>
          <w:numId w:val="1006"/>
        </w:numPr>
      </w:pPr>
      <w:r>
        <w:t xml:space="preserve">Observed-support Miller–Madow correction used everywhere; no zero truncation.</w:t>
      </w:r>
    </w:p>
    <w:p>
      <w:pPr>
        <w:pStyle w:val="Compact"/>
        <w:numPr>
          <w:ilvl w:val="0"/>
          <w:numId w:val="1006"/>
        </w:numPr>
      </w:pPr>
      <w:r>
        <w:t xml:space="preserve">Equal-MI construction uses beta first-block diagonal</w:t>
      </w:r>
      <w:r>
        <w:t xml:space="preserve"> </w:t>
      </w:r>
      <w:r>
        <w:rPr>
          <w:rStyle w:val="VerbatimChar"/>
        </w:rPr>
        <w:t xml:space="preserve">.81</w:t>
      </w:r>
      <w:r>
        <w:t xml:space="preserve">, avoiding threshold equality;</w:t>
      </w:r>
      <w:r>
        <w:t xml:space="preserve"> </w:t>
      </w:r>
      <w:r>
        <w:rPr>
          <w:rStyle w:val="VerbatimChar"/>
        </w:rPr>
        <w:t xml:space="preserve">q=.5467007423005</w:t>
      </w:r>
      <w:r>
        <w:t xml:space="preserve">, MI</w:t>
      </w:r>
      <w:r>
        <w:t xml:space="preserve"> </w:t>
      </w:r>
      <w:r>
        <w:rPr>
          <w:rStyle w:val="VerbatimChar"/>
        </w:rPr>
        <w:t xml:space="preserve">1.1524153202</w:t>
      </w:r>
      <w:r>
        <w:t xml:space="preserve"> </w:t>
      </w:r>
      <w:r>
        <w:t xml:space="preserve">for both matrices, and</w:t>
      </w:r>
      <w:r>
        <w:t xml:space="preserve"> </w:t>
      </w:r>
      <w:r>
        <w:rPr>
          <w:rStyle w:val="VerbatimChar"/>
        </w:rPr>
        <w:t xml:space="preserve">V_eff(.80)=4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C_k</w:t>
      </w:r>
      <w:r>
        <w:t xml:space="preserve"> </w:t>
      </w:r>
      <w:r>
        <w:t xml:space="preserve">is behavioral held-out generalization, not proof of an internal grammar.</w:t>
      </w:r>
    </w:p>
    <w:p>
      <w:pPr>
        <w:pStyle w:val="Compact"/>
        <w:numPr>
          <w:ilvl w:val="0"/>
          <w:numId w:val="1006"/>
        </w:numPr>
      </w:pPr>
      <w:r>
        <w:t xml:space="preserve">Repair null is protocol-specific;</w:t>
      </w:r>
      <w:r>
        <w:t xml:space="preserve"> </w:t>
      </w:r>
      <w:r>
        <w:rPr>
          <w:rStyle w:val="VerbatimChar"/>
        </w:rPr>
        <w:t xml:space="preserve">1-(1-1/K)^n</w:t>
      </w:r>
      <w:r>
        <w:t xml:space="preserve"> </w:t>
      </w:r>
      <w:r>
        <w:t xml:space="preserve">is only the independent-uniform simulation null.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is uncertainty selectivity, not calibration, and is accompanied by coverage and error-stratum counts.</w:t>
      </w:r>
    </w:p>
    <w:p>
      <w:pPr>
        <w:pStyle w:val="Compact"/>
        <w:numPr>
          <w:ilvl w:val="0"/>
          <w:numId w:val="1006"/>
        </w:numPr>
      </w:pPr>
      <w:r>
        <w:t xml:space="preserve">Functional-independence propositions hold under fixed ontology, duration distribution, alpha, and beta.</w:t>
      </w:r>
    </w:p>
    <w:p>
      <w:pPr>
        <w:pStyle w:val="Compact"/>
        <w:numPr>
          <w:ilvl w:val="0"/>
          <w:numId w:val="1006"/>
        </w:numPr>
      </w:pPr>
      <w:r>
        <w:t xml:space="preserve">Synthetic covariance is reported as generator-specific, not as general empirical dimensionality.</w:t>
      </w:r>
    </w:p>
    <w:p>
      <w:pPr>
        <w:pStyle w:val="Compact"/>
        <w:numPr>
          <w:ilvl w:val="0"/>
          <w:numId w:val="1006"/>
        </w:numPr>
      </w:pPr>
      <w:r>
        <w:t xml:space="preserve">MI is described as a non-injective scalar functional of a joint distribution.</w:t>
      </w:r>
    </w:p>
    <w:p>
      <w:pPr>
        <w:pStyle w:val="Compact"/>
        <w:numPr>
          <w:ilvl w:val="0"/>
          <w:numId w:val="1006"/>
        </w:numPr>
      </w:pPr>
      <w:r>
        <w:t xml:space="preserve">Perfect decoding reaches</w:t>
      </w:r>
      <w:r>
        <w:t xml:space="preserve"> </w:t>
      </w:r>
      <w:r>
        <w:rPr>
          <w:rStyle w:val="VerbatimChar"/>
        </w:rPr>
        <w:t xml:space="preserve">log2|Z|</w:t>
      </w:r>
      <w:r>
        <w:t xml:space="preserve"> </w:t>
      </w:r>
      <w:r>
        <w:t xml:space="preserve">only under a uniform intent distribution.</w:t>
      </w:r>
    </w:p>
    <w:p>
      <w:pPr>
        <w:pStyle w:val="Compact"/>
        <w:numPr>
          <w:ilvl w:val="0"/>
          <w:numId w:val="1006"/>
        </w:numPr>
      </w:pPr>
      <w:r>
        <w:t xml:space="preserve">Noise proof uses</w:t>
      </w:r>
      <w:r>
        <w:t xml:space="preserve"> </w:t>
      </w:r>
      <w:r>
        <w:rPr>
          <w:rStyle w:val="VerbatimChar"/>
        </w:rPr>
        <w:t xml:space="preserve">P_Y(y)/|Z|</w:t>
      </w:r>
      <w:r>
        <w:t xml:space="preserve">, not a uniform joint distribution.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I/log2|Z|</w:t>
      </w:r>
      <w:r>
        <w:t xml:space="preserve"> </w:t>
      </w:r>
      <w:r>
        <w:t xml:space="preserve">is a normalized maximum-entropy fraction, not Shannon channel capacity.</w:t>
      </w:r>
    </w:p>
    <w:p>
      <w:pPr>
        <w:pStyle w:val="Compact"/>
        <w:numPr>
          <w:ilvl w:val="0"/>
          <w:numId w:val="1006"/>
        </w:numPr>
      </w:pPr>
      <w:r>
        <w:t xml:space="preserve">No universal measurement-error division by</w:t>
      </w:r>
      <w:r>
        <w:t xml:space="preserve"> </w:t>
      </w:r>
      <w:r>
        <w:rPr>
          <w:rStyle w:val="VerbatimChar"/>
        </w:rPr>
        <w:t xml:space="preserve">(1-epsilon)^2</w:t>
      </w:r>
      <w:r>
        <w:t xml:space="preserve"> </w:t>
      </w:r>
      <w:r>
        <w:t xml:space="preserve">is asserted.</w:t>
      </w:r>
    </w:p>
    <w:bookmarkEnd w:id="24"/>
    <w:bookmarkStart w:id="25" w:name="bci-replacement-analysis"/>
    <w:p>
      <w:pPr>
        <w:pStyle w:val="Heading2"/>
      </w:pPr>
      <w:r>
        <w:t xml:space="preserve">5. BCI replacement analysis</w:t>
      </w:r>
    </w:p>
    <w:p>
      <w:pPr>
        <w:pStyle w:val="FirstParagraph"/>
      </w:pPr>
      <w:r>
        <w:rPr>
          <w:rStyle w:val="VerbatimChar"/>
        </w:rPr>
        <w:t xml:space="preserve">bci_pipeline.py</w:t>
      </w:r>
      <w:r>
        <w:t xml:space="preserve"> </w:t>
      </w:r>
      <w:r>
        <w:t xml:space="preserve">now:</w:t>
      </w:r>
    </w:p>
    <w:p>
      <w:pPr>
        <w:pStyle w:val="Compact"/>
        <w:numPr>
          <w:ilvl w:val="0"/>
          <w:numId w:val="1007"/>
        </w:numPr>
      </w:pPr>
      <w:r>
        <w:t xml:space="preserve">resolves T/E by semantic labels;</w:t>
      </w:r>
    </w:p>
    <w:p>
      <w:pPr>
        <w:pStyle w:val="Compact"/>
        <w:numPr>
          <w:ilvl w:val="0"/>
          <w:numId w:val="1007"/>
        </w:numPr>
      </w:pPr>
      <w:r>
        <w:t xml:space="preserve">supports either six source-run objects or one concatenated object per session;</w:t>
      </w:r>
    </w:p>
    <w:p>
      <w:pPr>
        <w:pStyle w:val="Compact"/>
        <w:numPr>
          <w:ilvl w:val="0"/>
          <w:numId w:val="1007"/>
        </w:numPr>
      </w:pPr>
      <w:r>
        <w:t xml:space="preserve">verifies 288 cues/session, six source runs, and 282 within-run E-session intervals;</w:t>
      </w:r>
    </w:p>
    <w:p>
      <w:pPr>
        <w:pStyle w:val="Compact"/>
        <w:numPr>
          <w:ilvl w:val="0"/>
          <w:numId w:val="1007"/>
        </w:numPr>
      </w:pPr>
      <w:r>
        <w:t xml:space="preserve">performs explicit MNE FIR filtering and logs the resolved specification;</w:t>
      </w:r>
    </w:p>
    <w:p>
      <w:pPr>
        <w:pStyle w:val="Compact"/>
        <w:numPr>
          <w:ilvl w:val="0"/>
          <w:numId w:val="1007"/>
        </w:numPr>
      </w:pPr>
      <w:r>
        <w:t xml:space="preserve">rejects organizer</w:t>
      </w:r>
      <w:r>
        <w:t xml:space="preserve"> </w:t>
      </w:r>
      <w:r>
        <w:rPr>
          <w:rStyle w:val="VerbatimChar"/>
        </w:rPr>
        <w:t xml:space="preserve">bad_*</w:t>
      </w:r>
      <w:r>
        <w:t xml:space="preserve"> </w:t>
      </w:r>
      <w:r>
        <w:t xml:space="preserve">annotations explicitly;</w:t>
      </w:r>
    </w:p>
    <w:p>
      <w:pPr>
        <w:pStyle w:val="Compact"/>
        <w:numPr>
          <w:ilvl w:val="0"/>
          <w:numId w:val="1007"/>
        </w:numPr>
      </w:pPr>
      <w:r>
        <w:t xml:space="preserve">uses exactly 22 EEG channels and excludes EOG;</w:t>
      </w:r>
    </w:p>
    <w:p>
      <w:pPr>
        <w:pStyle w:val="Compact"/>
        <w:numPr>
          <w:ilvl w:val="0"/>
          <w:numId w:val="1007"/>
        </w:numPr>
      </w:pPr>
      <w:r>
        <w:t xml:space="preserve">fixes the primary epoch at .5–2.5 s post-cue;</w:t>
      </w:r>
    </w:p>
    <w:p>
      <w:pPr>
        <w:pStyle w:val="Compact"/>
        <w:numPr>
          <w:ilvl w:val="0"/>
          <w:numId w:val="1007"/>
        </w:numPr>
      </w:pPr>
      <w:r>
        <w:t xml:space="preserve">selects primary CSP components within T only;</w:t>
      </w:r>
    </w:p>
    <w:p>
      <w:pPr>
        <w:pStyle w:val="Compact"/>
        <w:numPr>
          <w:ilvl w:val="0"/>
          <w:numId w:val="1007"/>
        </w:numPr>
      </w:pPr>
      <w:r>
        <w:t xml:space="preserve">evaluates E once;</w:t>
      </w:r>
    </w:p>
    <w:p>
      <w:pPr>
        <w:pStyle w:val="Compact"/>
        <w:numPr>
          <w:ilvl w:val="0"/>
          <w:numId w:val="1007"/>
        </w:numPr>
      </w:pPr>
      <w:r>
        <w:t xml:space="preserve">fits an FBCSP-style robustness decoder with CSP and feature selection inside T folds;</w:t>
      </w:r>
    </w:p>
    <w:p>
      <w:pPr>
        <w:pStyle w:val="Compact"/>
        <w:numPr>
          <w:ilvl w:val="0"/>
          <w:numId w:val="1007"/>
        </w:numPr>
      </w:pPr>
      <w:r>
        <w:t xml:space="preserve">reports subject-specific accuracy, kappa, MI components,</w:t>
      </w:r>
      <w:r>
        <w:t xml:space="preserve"> </w:t>
      </w:r>
      <w:r>
        <w:rPr>
          <w:rStyle w:val="VerbatimChar"/>
        </w:rPr>
        <w:t xml:space="preserve">B_min</w:t>
      </w:r>
      <w:r>
        <w:t xml:space="preserve">, ITR, per-class F1,</w:t>
      </w:r>
      <w:r>
        <w:t xml:space="preserve"> </w:t>
      </w:r>
      <w:r>
        <w:rPr>
          <w:rStyle w:val="VerbatimChar"/>
        </w:rPr>
        <w:t xml:space="preserve">V_eff</w:t>
      </w:r>
      <w:r>
        <w:t xml:space="preserve">, intervals, permutation p-values, Holm adjustment, exclusions, predictions, and matrices;</w:t>
      </w:r>
    </w:p>
    <w:p>
      <w:pPr>
        <w:pStyle w:val="Compact"/>
        <w:numPr>
          <w:ilvl w:val="0"/>
          <w:numId w:val="1007"/>
        </w:numPr>
      </w:pPr>
      <w:r>
        <w:t xml:space="preserve">measures full-cycle duration from all 282 within-source-run cue intervals;</w:t>
      </w:r>
    </w:p>
    <w:p>
      <w:pPr>
        <w:pStyle w:val="Compact"/>
        <w:numPr>
          <w:ilvl w:val="0"/>
          <w:numId w:val="1007"/>
        </w:numPr>
      </w:pPr>
      <w:r>
        <w:t xml:space="preserve">never reports a pooled matrix as an operating BCI.</w:t>
      </w:r>
    </w:p>
    <w:p>
      <w:pPr>
        <w:pStyle w:val="FirstParagraph"/>
      </w:pPr>
      <w:r>
        <w:t xml:space="preserve">Execution is governed by</w:t>
      </w:r>
      <w:r>
        <w:t xml:space="preserve"> </w:t>
      </w:r>
      <w:r>
        <w:rPr>
          <w:rStyle w:val="VerbatimChar"/>
        </w:rPr>
        <w:t xml:space="preserve">BCI_RUNBOOK.md</w:t>
      </w:r>
      <w:r>
        <w:t xml:space="preserve">, checked by</w:t>
      </w:r>
      <w:r>
        <w:t xml:space="preserve"> </w:t>
      </w:r>
      <w:r>
        <w:rPr>
          <w:rStyle w:val="VerbatimChar"/>
        </w:rPr>
        <w:t xml:space="preserve">validate_bci_output.py</w:t>
      </w:r>
      <w:r>
        <w:t xml:space="preserve">, and inserted by</w:t>
      </w:r>
      <w:r>
        <w:t xml:space="preserve"> </w:t>
      </w:r>
      <w:r>
        <w:rPr>
          <w:rStyle w:val="VerbatimChar"/>
        </w:rPr>
        <w:t xml:space="preserve">populate_bci_manuscript.py</w:t>
      </w:r>
      <w:r>
        <w:t xml:space="preserve">.</w:t>
      </w:r>
    </w:p>
    <w:bookmarkEnd w:id="25"/>
    <w:bookmarkStart w:id="26" w:name="supplementary-and-package-integrity"/>
    <w:p>
      <w:pPr>
        <w:pStyle w:val="Heading2"/>
      </w:pPr>
      <w:r>
        <w:t xml:space="preserve">6. Supplementary and package integrity</w:t>
      </w:r>
    </w:p>
    <w:p>
      <w:pPr>
        <w:pStyle w:val="Compact"/>
        <w:numPr>
          <w:ilvl w:val="0"/>
          <w:numId w:val="1008"/>
        </w:numPr>
      </w:pPr>
      <w:r>
        <w:t xml:space="preserve">Data S2 is present and machine-generated.</w:t>
      </w:r>
    </w:p>
    <w:p>
      <w:pPr>
        <w:pStyle w:val="Compact"/>
        <w:numPr>
          <w:ilvl w:val="0"/>
          <w:numId w:val="1008"/>
        </w:numPr>
      </w:pPr>
      <w:r>
        <w:t xml:space="preserve">Protocol S4 is present and uses metric-specific trial planning.</w:t>
      </w:r>
    </w:p>
    <w:p>
      <w:pPr>
        <w:pStyle w:val="Compact"/>
        <w:numPr>
          <w:ilvl w:val="0"/>
          <w:numId w:val="1008"/>
        </w:numPr>
      </w:pPr>
      <w:r>
        <w:t xml:space="preserve">Figure 5 uses per-system trial counts, an empirical-size row, a color-vision-safe scale, and an .80 contour.</w:t>
      </w:r>
    </w:p>
    <w:p>
      <w:pPr>
        <w:pStyle w:val="Compact"/>
        <w:numPr>
          <w:ilvl w:val="0"/>
          <w:numId w:val="1008"/>
        </w:numPr>
      </w:pPr>
      <w:r>
        <w:t xml:space="preserve">Core tests pass.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python reproduce_all.py --quick</w:t>
      </w:r>
      <w:r>
        <w:t xml:space="preserve"> </w:t>
      </w:r>
      <w:r>
        <w:t xml:space="preserve">requires no cached grid/power result.</w:t>
      </w:r>
    </w:p>
    <w:p>
      <w:pPr>
        <w:pStyle w:val="Compact"/>
        <w:numPr>
          <w:ilvl w:val="0"/>
          <w:numId w:val="1008"/>
        </w:numPr>
      </w:pPr>
      <w:r>
        <w:t xml:space="preserve">Full reproduction writes a SHA-256 manifest.</w:t>
      </w:r>
    </w:p>
    <w:bookmarkEnd w:id="26"/>
    <w:bookmarkStart w:id="27" w:name="remaining-publication-gate"/>
    <w:p>
      <w:pPr>
        <w:pStyle w:val="Heading2"/>
      </w:pPr>
      <w:r>
        <w:t xml:space="preserve">7. Remaining publication gate</w:t>
      </w:r>
    </w:p>
    <w:p>
      <w:pPr>
        <w:pStyle w:val="FirstParagraph"/>
      </w:pPr>
      <w:r>
        <w:t xml:space="preserve">Before resubmission:</w:t>
      </w:r>
    </w:p>
    <w:p>
      <w:pPr>
        <w:pStyle w:val="Compact"/>
        <w:numPr>
          <w:ilvl w:val="0"/>
          <w:numId w:val="1009"/>
        </w:numPr>
      </w:pPr>
      <w:r>
        <w:t xml:space="preserve">Run both BCI decoders on all nine subjects in the pinned environment.</w:t>
      </w:r>
    </w:p>
    <w:p>
      <w:pPr>
        <w:pStyle w:val="Compact"/>
        <w:numPr>
          <w:ilvl w:val="0"/>
          <w:numId w:val="1009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validate_bci_output.py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Populate the manuscript mechanically.</w:t>
      </w:r>
    </w:p>
    <w:p>
      <w:pPr>
        <w:pStyle w:val="Compact"/>
        <w:numPr>
          <w:ilvl w:val="0"/>
          <w:numId w:val="1009"/>
        </w:numPr>
      </w:pPr>
      <w:r>
        <w:t xml:space="preserve">Generate Figures 2, 4, and the supplementary FBCSP-style confusion figure.</w:t>
      </w:r>
    </w:p>
    <w:p>
      <w:pPr>
        <w:pStyle w:val="Compact"/>
        <w:numPr>
          <w:ilvl w:val="0"/>
          <w:numId w:val="1009"/>
        </w:numPr>
      </w:pPr>
      <w:r>
        <w:t xml:space="preserve">Replace future-tense BCI language in the response letter with actual results.</w:t>
      </w:r>
    </w:p>
    <w:p>
      <w:pPr>
        <w:pStyle w:val="Compact"/>
        <w:numPr>
          <w:ilvl w:val="0"/>
          <w:numId w:val="1009"/>
        </w:numPr>
      </w:pPr>
      <w:r>
        <w:t xml:space="preserve">Archive JSON, prediction CSVs, console log, environment lock, and code commit.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2026-09-04T23:31:46Z</dcterms:created>
  <dcterms:modified xsi:type="dcterms:W3CDTF">2026-09-04T23:31:46Z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