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9114c2d67a6d245f7d10646d2b0d1fb49de9ffa"/>
    <w:p>
      <w:pPr>
        <w:pStyle w:val="Heading1"/>
      </w:pPr>
      <w:r>
        <w:t xml:space="preserve">The Accuracy Illusion: Measuring What Accuracy Cannot in Communicative Behavior</w:t>
      </w:r>
    </w:p>
    <w:p>
      <w:pPr>
        <w:pStyle w:val="FirstParagraph"/>
      </w:pPr>
      <w:r>
        <w:rPr>
          <w:b/>
          <w:bCs/>
        </w:rPr>
        <w:t xml:space="preserve">Harrison D. Fletcher</w:t>
      </w:r>
      <w:r>
        <w:t xml:space="preserve"> </w:t>
      </w:r>
      <w:r>
        <w:t xml:space="preserve">Independent Researcher, Santa Rosa, California</w:t>
      </w:r>
      <w:r>
        <w:t xml:space="preserve"> </w:t>
      </w:r>
      <w:r>
        <w:t xml:space="preserve">Corresponding author: harrisondfletcher@gmail.com</w:t>
      </w:r>
    </w:p>
    <w:p>
      <w:pPr>
        <w:pStyle w:val="BodyText"/>
      </w:pPr>
      <w:r>
        <w:t xml:space="preserve">Revised manuscript for</w:t>
      </w:r>
      <w:r>
        <w:t xml:space="preserve"> </w:t>
      </w:r>
      <w:r>
        <w:rPr>
          <w:i/>
          <w:iCs/>
        </w:rPr>
        <w:t xml:space="preserve">Behavior Research Methods</w:t>
      </w:r>
      <w:r>
        <w:t xml:space="preserve">. Version 4, September 2026.</w:t>
      </w:r>
    </w:p>
    <w:p>
      <w:pPr>
        <w:pStyle w:val="BodyText"/>
      </w:pPr>
      <w:r>
        <w:rPr>
          <w:b/>
          <w:bCs/>
        </w:rPr>
        <w:t xml:space="preserve">Data and code availability.</w:t>
      </w:r>
      <w:r>
        <w:t xml:space="preserve"> </w:t>
      </w:r>
      <w:r>
        <w:t xml:space="preserve">Every simulation result, table, and simulation figure in this manuscript is regenerated by</w:t>
      </w:r>
      <w:r>
        <w:t xml:space="preserve"> </w:t>
      </w:r>
      <w:r>
        <w:rPr>
          <w:rStyle w:val="VerbatimChar"/>
        </w:rPr>
        <w:t xml:space="preserve">python reproduce_all.py</w:t>
      </w:r>
      <w:r>
        <w:t xml:space="preserve"> </w:t>
      </w:r>
      <w:r>
        <w:t xml:space="preserve">in Supplementary Code S1 from deterministic seeds (seed 42). The public-data BCI application is implemented separately in</w:t>
      </w:r>
      <w:r>
        <w:t xml:space="preserve"> </w:t>
      </w:r>
      <w:r>
        <w:rPr>
          <w:rStyle w:val="VerbatimChar"/>
        </w:rPr>
        <w:t xml:space="preserve">bci_pipeline.py</w:t>
      </w:r>
      <w:r>
        <w:t xml:space="preserve">, with its pinned environment, runtime assertions, output schema, and manuscript insertion rules documented in</w:t>
      </w:r>
      <w:r>
        <w:t xml:space="preserve"> </w:t>
      </w:r>
      <w:r>
        <w:rPr>
          <w:rStyle w:val="VerbatimChar"/>
        </w:rPr>
        <w:t xml:space="preserve">BCI_RUNBOOK.md</w:t>
      </w:r>
      <w:r>
        <w:t xml:space="preserve">. Repository: https://github.com/harrisondfletcher/accuracy-illusion</w:t>
      </w:r>
    </w:p>
    <w:p>
      <w:pPr>
        <w:pStyle w:val="BlockText"/>
      </w:pPr>
      <w:r>
        <w:rPr>
          <w:b/>
          <w:bCs/>
        </w:rPr>
        <w:t xml:space="preserve">Execution status of Section 6.</w:t>
      </w:r>
      <w:r>
        <w:t xml:space="preserve"> </w:t>
      </w:r>
      <w:r>
        <w:t xml:space="preserve">The original BCI results are withdrawn. Section 6 is an execution-gated reporting shell: its BCI table markers are replaced only from a completed</w:t>
      </w:r>
      <w:r>
        <w:t xml:space="preserve"> </w:t>
      </w:r>
      <w:r>
        <w:rPr>
          <w:rStyle w:val="VerbatimChar"/>
        </w:rPr>
        <w:t xml:space="preserve">results/bci_real_application_v4.json</w:t>
      </w:r>
      <w:r>
        <w:t xml:space="preserve"> </w:t>
      </w:r>
      <w:r>
        <w:t xml:space="preserve">that passes</w:t>
      </w:r>
      <w:r>
        <w:t xml:space="preserve"> </w:t>
      </w:r>
      <w:r>
        <w:rPr>
          <w:rStyle w:val="VerbatimChar"/>
        </w:rPr>
        <w:t xml:space="preserve">validate_bci_output.py</w:t>
      </w:r>
      <w:r>
        <w:t xml:space="preserve">. No BCI estimate is asserted in this draft. All simulation-based values are final and reproducible.</w:t>
      </w:r>
    </w:p>
    <w:bookmarkStart w:id="20" w:name="abstract"/>
    <w:p>
      <w:pPr>
        <w:pStyle w:val="Heading2"/>
      </w:pPr>
      <w:r>
        <w:t xml:space="preserve">Abstract</w:t>
      </w:r>
    </w:p>
    <w:p>
      <w:pPr>
        <w:pStyle w:val="FirstParagraph"/>
      </w:pPr>
      <w:r>
        <w:t xml:space="preserve">Behavioral studies measuring communicative capacity across animal communication, augmentative and alternative communication, brain-computer interfaces, and prelinguistic development lack a standardized framework for distinguishing information transfer from memorization, repair, and selective abstention. This article introduces five measures organized in four protocol channels: effective information rate, defined as observed-support bias-corrected mutual information divided by full episode duration; effective vocabulary size, a thresholded count of intents meeting preregistered F1 and support criteria; compositional depth, behavioral accuracy on combinations withheld under a preregistered grammar; repair efficiency following induced misunderstanding; and uncertainty selectivity, the difference between abstention rates on erroneous and correct forced commitments. Holding ontology, duration distribution, and decision thresholds fixed, no measure is a function of the other four. In simulations, Memorizer and Compositional agents share exactly the same realized base channel under common random numbers, yet differ by 42-86 percentage points on compositional depth while aggregate accuracy differs by only 5-10 points. A 480-cell grid varies ontology size, base accuracy, class imbalance, and trial count; compositional separation has minimum Cohen’s d = 2.72 for N &gt;= 200, and paired base-channel information-rate differences are exactly zero. Metric-specific power analyses use 1,000 replications with empirical-size checks; resolving a .10 compositional-depth difference requires about 400 held-out trials per system, while a base-accuracy difference of .05 reaches .82 power at 750 base trials per system under the confirmatory system-label permutation test. The uncertainty measure is reported jointly with abstention coverage and error-stratum counts. A fully specified, subject-specific BCI Competition IV-2a application is supplied as an execution-gated validation with a fixed-window OVR-CSP primary decoder and an FBCSP-style robustness decoder; prior BCI results are withdrawn. Code, synthetic data, tests, and an adversarial protocol are supplied.</w:t>
      </w:r>
    </w:p>
    <w:p>
      <w:pPr>
        <w:pStyle w:val="BodyText"/>
      </w:pPr>
      <w:r>
        <w:rPr>
          <w:b/>
          <w:bCs/>
        </w:rPr>
        <w:t xml:space="preserve">Keywords:</w:t>
      </w:r>
      <w:r>
        <w:t xml:space="preserve"> </w:t>
      </w:r>
      <w:r>
        <w:t xml:space="preserve">mutual information; communicative throughput; compositionality; measurement framework; adversarial evaluation; metric validation; behavioral methods; information theory</w:t>
      </w:r>
    </w:p>
    <w:bookmarkEnd w:id="20"/>
    <w:bookmarkStart w:id="21" w:name="introduction"/>
    <w:p>
      <w:pPr>
        <w:pStyle w:val="Heading2"/>
      </w:pPr>
      <w:r>
        <w:t xml:space="preserve">1. Introduction</w:t>
      </w:r>
    </w:p>
    <w:p>
      <w:pPr>
        <w:pStyle w:val="FirstParagraph"/>
      </w:pPr>
      <w:r>
        <w:t xml:space="preserve">In any domain where one agent must communicate intent to another through a constrained signal channel, researchers face a common measurement problem. The communicating agent — a non-human animal pressing buttons on a soundboard, a locked-in patient using a brain–computer interface, a prelinguistic infant producing gestures, a human speaker using an augmentative communication device — generates signals that must be decoded into intended meanings. The question</w:t>
      </w:r>
      <w:r>
        <w:t xml:space="preserve"> </w:t>
      </w:r>
      <w:r>
        <w:t xml:space="preserve">“</w:t>
      </w:r>
      <w:r>
        <w:t xml:space="preserve">how effectively does this agent communicate?</w:t>
      </w:r>
      <w:r>
        <w:t xml:space="preserve">”</w:t>
      </w:r>
      <w:r>
        <w:t xml:space="preserve"> </w:t>
      </w:r>
      <w:r>
        <w:t xml:space="preserve">requires a metric. In practice, the dominant metric is accuracy on paradigm-specific forced-choice tasks. This is insufficient for three reasons, a limitation recognized in signal detection theory (Green &amp; Swets, 1966) and in systematic analyses of classification metrics (Sokolova &amp; Lapalme, 2009).</w:t>
      </w:r>
    </w:p>
    <w:p>
      <w:pPr>
        <w:pStyle w:val="BodyText"/>
      </w:pPr>
      <w:r>
        <w:t xml:space="preserve">First, accuracy conflates vocabulary size with communicative structure. An agent that correctly retrieves 10 of 12 named objects (accuracy 83%) and an agent that correctly executes 10 of 12 novel two-element command sequences (accuracy 83%) receive identical scores. The second demonstrates compositional structure that the first does not. No standard metric distinguishes these cases.</w:t>
      </w:r>
    </w:p>
    <w:p>
      <w:pPr>
        <w:pStyle w:val="BodyText"/>
      </w:pPr>
      <w:r>
        <w:t xml:space="preserve">Second, accuracy provides no information about communicative robustness. An agent that performs well on standard trials but abandons communication after any error, and an agent that modifies its signal and recovers, both receive accuracy scores computed only from initial responses. The second demonstrates communicative repair — a capacity that is diagnostically and practically important — that accuracy does not capture.</w:t>
      </w:r>
    </w:p>
    <w:p>
      <w:pPr>
        <w:pStyle w:val="BodyText"/>
      </w:pPr>
      <w:r>
        <w:t xml:space="preserve">Third, accuracy is sensitive to class imbalance. In paradigms where some intents are tested more frequently than others, or where agents overuse a dominant response, accuracy can be inflated. Mutual information addresses this. But mutual information alone does not capture compositionality, repair, or selective uncertainty signaling.</w:t>
      </w:r>
    </w:p>
    <w:p>
      <w:pPr>
        <w:pStyle w:val="BodyText"/>
      </w:pPr>
      <w:r>
        <w:t xml:space="preserve">We propose a metric suite comprising five measures grounded in information theory and adversarial experimental design. We define each formally, prove its properties, prove that no measure is a function of the others, state the design element each requires, validate the framework through simulation of programmed and continuously parameterized agents, report metric-specific power with empirical size checks, and provide a complete adversarial protocol with open-source evaluation code. The framework is domain-general in its definitions; Section 2.7 makes explicit what each measure requires of an experimental design.</w:t>
      </w:r>
    </w:p>
    <w:p>
      <w:pPr>
        <w:pStyle w:val="BodyText"/>
      </w:pPr>
      <w:r>
        <w:t xml:space="preserve">To be explicit about scope: the metrics detect statistical structure in the mapping between agent emissions and ground-truth intents. They measure behavioral throughput. They do not measure, infer, or claim to detect internal semantic representations, conceptual understanding, or subjective experience. The framework asks: given that this agent produces signals and those signals are decoded, how much information is transferred, how compositionally structured is the transfer, how robust is it to disruption, and how selective is the agent’s own uncertainty signaling? These are behavioral questions with information-theoretic answers.</w:t>
      </w:r>
    </w:p>
    <w:bookmarkEnd w:id="21"/>
    <w:bookmarkStart w:id="29" w:name="formal-definitions"/>
    <w:p>
      <w:pPr>
        <w:pStyle w:val="Heading2"/>
      </w:pPr>
      <w:r>
        <w:t xml:space="preserve">2. Formal Definitions</w:t>
      </w:r>
    </w:p>
    <w:bookmarkStart w:id="22" w:name="primitives"/>
    <w:p>
      <w:pPr>
        <w:pStyle w:val="Heading3"/>
      </w:pPr>
      <w:r>
        <w:t xml:space="preserve">2.1 Primitives</w:t>
      </w:r>
    </w:p>
    <w:p>
      <w:pPr>
        <w:pStyle w:val="FirstParagraph"/>
      </w:pPr>
      <w:r>
        <w:t xml:space="preserve">We define a communication system as a tuple (Σ, Z, E, d, Y).</w:t>
      </w:r>
    </w:p>
    <w:p>
      <w:pPr>
        <w:pStyle w:val="BodyText"/>
      </w:pPr>
      <w:r>
        <w:rPr>
          <w:b/>
          <w:bCs/>
        </w:rPr>
        <w:t xml:space="preserve">Σ (emission alphabet).</w:t>
      </w:r>
      <w:r>
        <w:t xml:space="preserve"> </w:t>
      </w:r>
      <w:r>
        <w:t xml:space="preserve">The finite set of discriminable tokens the agent can produce within the paradigm. |Σ| is fixed per study and declared in advance.</w:t>
      </w:r>
    </w:p>
    <w:p>
      <w:pPr>
        <w:pStyle w:val="BodyText"/>
      </w:pPr>
      <w:r>
        <w:rPr>
          <w:b/>
          <w:bCs/>
        </w:rPr>
        <w:t xml:space="preserve">Z (intent space).</w:t>
      </w:r>
      <w:r>
        <w:t xml:space="preserve"> </w:t>
      </w:r>
      <w:r>
        <w:t xml:space="preserve">The finite set of communicative intents defined by the experimental ontology. |Z| is fixed per study and pre-registered. Abstention is represented as a decoder outcome ∅ (Section 2.6), not as an element of Z.</w:t>
      </w:r>
    </w:p>
    <w:p>
      <w:pPr>
        <w:pStyle w:val="BodyText"/>
      </w:pPr>
      <w:r>
        <w:rPr>
          <w:b/>
          <w:bCs/>
        </w:rPr>
        <w:t xml:space="preserve">E (episode).</w:t>
      </w:r>
      <w:r>
        <w:t xml:space="preserve"> </w:t>
      </w:r>
      <w:r>
        <w:t xml:space="preserve">A bounded interaction window with measured duration τ(e) in minutes. In an externally paced design, τ(e) is onset to the next onset. In a self-paced design, it is onset to verified resolution or a pre-registered timeout. The decoder’s feature-extraction window is never substituted for the full operational cycle.</w:t>
      </w:r>
    </w:p>
    <w:p>
      <w:pPr>
        <w:pStyle w:val="BodyText"/>
      </w:pPr>
      <w:r>
        <w:rPr>
          <w:b/>
          <w:bCs/>
        </w:rPr>
        <w:t xml:space="preserve">d (decoder).</w:t>
      </w:r>
      <w:r>
        <w:t xml:space="preserve"> </w:t>
      </w:r>
      <w:r>
        <w:t xml:space="preserve">A function mapping observed emissions to intent estimates. In deterministic paradigms, d is a fixed mapping. In probabilistic paradigms, d produces p(z | x) over Z plus an abstain outcome ∅, with a decision rule d(x) ∈ Z ∪ {∅} specified in advance.</w:t>
      </w:r>
    </w:p>
    <w:p>
      <w:pPr>
        <w:pStyle w:val="BodyText"/>
      </w:pPr>
      <w:r>
        <w:rPr>
          <w:b/>
          <w:bCs/>
        </w:rPr>
        <w:t xml:space="preserve">Y (ground truth).</w:t>
      </w:r>
      <w:r>
        <w:t xml:space="preserve"> </w:t>
      </w:r>
      <w:r>
        <w:t xml:space="preserve">The true intent for each episode, established by controlled experimental condition, independent sensor verification, or blinded human judges with pre-registered coding criteria and reported inter-rater reliability (κ ≥ 0.80). Ground truth is never determined by the decoder, by the handler, or by post-hoc narrative interpretation.</w:t>
      </w:r>
    </w:p>
    <w:bookmarkEnd w:id="22"/>
    <w:bookmarkStart w:id="23" w:name="Xc82fc85151de1f315d4b33e477543a2e3b75c03"/>
    <w:p>
      <w:pPr>
        <w:pStyle w:val="Heading3"/>
      </w:pPr>
      <w:r>
        <w:t xml:space="preserve">2.2 Metric 1: Effective Information Rate (B_min)</w:t>
      </w:r>
    </w:p>
    <w:p>
      <w:pPr>
        <w:pStyle w:val="FirstParagraph"/>
      </w:pPr>
      <w:r>
        <w:t xml:space="preserve">For N base-channel episodes with ground-truth labels Y = {y₁, …, y_N} and decoded intents Ẑ = {ẑ₁, …, ẑ_N}, compute the empirical joint distribution P(Y, Ẑ) from the confusion matrix, the marginals P(Y) and P(Ẑ), and mutual information:</w:t>
      </w:r>
    </w:p>
    <w:p>
      <w:pPr>
        <w:pStyle w:val="BodyText"/>
      </w:pPr>
      <w:r>
        <w:t xml:space="preserve">I(Y; Ẑ) = Σ_{y,ẑ} P(y, ẑ) log₂ [P(y, ẑ) / (P(y) P(ẑ))] (1)</w:t>
      </w:r>
    </w:p>
    <w:p>
      <w:pPr>
        <w:pStyle w:val="BodyText"/>
      </w:pPr>
      <w:r>
        <w:t xml:space="preserve">The plug-in estimator is biased upward in finite samples; all reported values are bias-corrected by Eq. 7 (Section 7) and are not truncated at zero. The effective information rate normalizes by mean episode duration:</w:t>
      </w:r>
    </w:p>
    <w:p>
      <w:pPr>
        <w:pStyle w:val="BodyText"/>
      </w:pPr>
      <w:r>
        <w:t xml:space="preserve">B_min = I(Y; Ẑ) / Ē[τ(e)] (2)</w:t>
      </w:r>
    </w:p>
    <w:p>
      <w:pPr>
        <w:pStyle w:val="BodyText"/>
      </w:pPr>
      <w:r>
        <w:t xml:space="preserve">Mutual information measures statistical dependence between ground truth and decoded intent — how much knowledge of the decoded signal reduces uncertainty about the ground truth, in bits. It does not measure semantic richness, conceptual depth, or open-ended linguistic competence. Report B_min with a bootstrap 95% confidence interval (10,000 episode-level resamples, bias correction applied inside each resample) and, for confirmatory inference, the permutation procedure appropriate to the design (Section 7).</w:t>
      </w:r>
    </w:p>
    <w:bookmarkEnd w:id="23"/>
    <w:bookmarkStart w:id="24" w:name="X0048f147d66524d4be41e605ed7821656e03135"/>
    <w:p>
      <w:pPr>
        <w:pStyle w:val="Heading3"/>
      </w:pPr>
      <w:r>
        <w:t xml:space="preserve">2.3 Metric 2: Effective Vocabulary Size V_eff(α, β)</w:t>
      </w:r>
    </w:p>
    <w:p>
      <w:pPr>
        <w:pStyle w:val="FirstParagraph"/>
      </w:pPr>
      <w:r>
        <w:t xml:space="preserve">For each intent z ∈ Z, compute the F1 score from precision and recall in the base-channel confusion matrix. Define a pre-registered minimum trial count β (β = 30 is used as a reference in the simulations) and an application-specific F1 threshold α (α = 0.80 is a reference threshold, not a universal usability standard).</w:t>
      </w:r>
    </w:p>
    <w:p>
      <w:pPr>
        <w:pStyle w:val="BodyText"/>
      </w:pPr>
      <w:r>
        <w:t xml:space="preserve">V_eff(α, β) = |{ z ∈ Z : F1(z) ≥ α and n(z) ≥ β }| (3)</w:t>
      </w:r>
    </w:p>
    <w:p>
      <w:pPr>
        <w:pStyle w:val="BodyText"/>
      </w:pPr>
      <w:r>
        <w:t xml:space="preserve">The reliability required of a command is application-specific. Report V_eff at α ∈ {0.60, 0.70, 0.80, 0.90}, together with the pre-registered application threshold, as a discrimination curve rather than as a single cutoff. Describe intents as meeting the pre-specified F1 criterion rather than as usable. Under controlled equal allocation, β|Z| is a hard lower bound on base trials; under random or imbalanced sampling, additional trials are required to ensure that every intent reaches β.</w:t>
      </w:r>
    </w:p>
    <w:bookmarkEnd w:id="24"/>
    <w:bookmarkStart w:id="25" w:name="metric-3-compositional-depth-c_k"/>
    <w:p>
      <w:pPr>
        <w:pStyle w:val="Heading3"/>
      </w:pPr>
      <w:r>
        <w:t xml:space="preserve">2.4 Metric 3: Compositional Depth C_k</w:t>
      </w:r>
    </w:p>
    <w:p>
      <w:pPr>
        <w:pStyle w:val="FirstParagraph"/>
      </w:pPr>
      <w:r>
        <w:t xml:space="preserve">Define a compositional grammar G as a set of k-slot templates. Partition the valid combinations into a pre-registered training set T and a held-out set U = G  T, balanced so that each individual element appears in both.</w:t>
      </w:r>
    </w:p>
    <w:p>
      <w:pPr>
        <w:pStyle w:val="BodyText"/>
      </w:pPr>
      <w:r>
        <w:t xml:space="preserve">C_k = P(correct response | combination ∈ U) (4)</w:t>
      </w:r>
    </w:p>
    <w:p>
      <w:pPr>
        <w:pStyle w:val="BodyText"/>
      </w:pPr>
      <w:r>
        <w:t xml:space="preserve">“</w:t>
      </w:r>
      <w:r>
        <w:t xml:space="preserve">Correct response</w:t>
      </w:r>
      <w:r>
        <w:t xml:space="preserve">”</w:t>
      </w:r>
      <w:r>
        <w:t xml:space="preserve"> </w:t>
      </w:r>
      <w:r>
        <w:t xml:space="preserve">means the agent executes the appropriate behavior for the novel combination, judged by a blinded evaluator against pre-registered criteria. Chance baseline = 1/|responses|. Report with an exact binomial (Clopper–Pearson) interval and the number of held-out trials n_U.</w:t>
      </w:r>
    </w:p>
    <w:p>
      <w:pPr>
        <w:pStyle w:val="BodyText"/>
      </w:pPr>
      <w:r>
        <w:t xml:space="preserve">C_k measures behavioral generalization to combinations withheld under a pre-registered grammar. Above-chance performance is consistent with productive compositional generalization but does not identify the internal mechanism producing it. The logic follows the systematicity requirement of Fodor and Pylyshyn (1988) as operationalized in SCAN (Lake &amp; Baroni, 2018), COGS (Kim &amp; Linzen, 2020), and the PCFG suite of Keysers et al. (2020); in the taxonomy of Hupkes et al. (2020), C_k is the productivity dimension. Values are comparable across studies only when grammar structure, hold-out construction, response space, and item difficulty are commensurate.</w:t>
      </w:r>
    </w:p>
    <w:bookmarkEnd w:id="25"/>
    <w:bookmarkStart w:id="26" w:name="metric-4-repair-efficiency-r"/>
    <w:p>
      <w:pPr>
        <w:pStyle w:val="Heading3"/>
      </w:pPr>
      <w:r>
        <w:t xml:space="preserve">2.5 Metric 4: Repair Efficiency R</w:t>
      </w:r>
    </w:p>
    <w:p>
      <w:pPr>
        <w:pStyle w:val="FirstParagraph"/>
      </w:pPr>
      <w:r>
        <w:t xml:space="preserve">On a pre-registered proportion of trials (recommended 20%), the system induces misunderstanding by deliberately providing an incorrect response. The agent’s behavior in the subsequent window (n turns, recommended n = 2) is classified as Repeat, Modify, Escalate, or Abandon.</w:t>
      </w:r>
    </w:p>
    <w:p>
      <w:pPr>
        <w:pStyle w:val="BodyText"/>
      </w:pPr>
      <w:r>
        <w:t xml:space="preserve">R = P(correct intent communicated within n turns | misunderstanding induced) (5)</w:t>
      </w:r>
    </w:p>
    <w:p>
      <w:pPr>
        <w:pStyle w:val="BodyText"/>
      </w:pPr>
      <w:r>
        <w:t xml:space="preserve">Under the independent-uniform repair null used in the simulations, recovery within n attempts is 1 − (1 − 1/|Z|)ⁿ (0.160 for |Z| = 12, n = 2). This is not a universal chance baseline: empirical studies must derive their null from the pre-registered receiver/decoder error process and repair policy. Report the outcome distribution as secondary data with inter-rater reliability κ ≥ 0.75.</w:t>
      </w:r>
    </w:p>
    <w:bookmarkEnd w:id="26"/>
    <w:bookmarkStart w:id="27" w:name="metric-5-uncertainty-selectivity-u"/>
    <w:p>
      <w:pPr>
        <w:pStyle w:val="Heading3"/>
      </w:pPr>
      <w:r>
        <w:t xml:space="preserve">2.6 Metric 5: Uncertainty Selectivity U</w:t>
      </w:r>
    </w:p>
    <w:p>
      <w:pPr>
        <w:pStyle w:val="FirstParagraph"/>
      </w:pPr>
      <w:r>
        <w:t xml:space="preserve">In forced-choice tasks, include an UNKNOWN/abstain option. For each uncertainty trial i, define the abstention indicator a_i ∈ {0, 1}. Whether or not the agent abstains, the protocol then elicits a forced commitment before revealing the outcome, and the error indicator e_i ∈ {0, 1} records whether that forced commitment was incorrect. Both a_i and e_i are observed on every uncertainty trial. Define</w:t>
      </w:r>
    </w:p>
    <w:p>
      <w:pPr>
        <w:pStyle w:val="BodyText"/>
      </w:pPr>
      <w:r>
        <w:t xml:space="preserve">U = P(a = 1 | e = 1) − P(a = 1 | e = 0) (6)</w:t>
      </w:r>
    </w:p>
    <w:p>
      <w:pPr>
        <w:pStyle w:val="BodyText"/>
      </w:pPr>
      <w:r>
        <w:t xml:space="preserve">U is Youden’s J for abstention as a detector of forced-commitment error and, for a binary abstention decision, equals 2·AUROC − 1 (Chow, 1970; El-Yaniv &amp; Wiener, 2010). U ∈ [−1, 1]. U = 0 when abstention is independent of error, including the case of an agent that never abstains, provided both strata e = 1 and e = 0 are observed; if either stratum is empty, U is not estimable and is reported as such. U &gt; 0 indicates selective abstention; U &lt; 0 indicates anti-selective abstention.</w:t>
      </w:r>
    </w:p>
    <w:p>
      <w:pPr>
        <w:pStyle w:val="BodyText"/>
      </w:pPr>
      <w:r>
        <w:t xml:space="preserve">U measures discrimination, not probabilistic calibration: an agent can rank its uncertainty well while reporting poorly calibrated probabilities. The forced commitment must concern the same unchanged stimulus, follow after a fixed short delay, and occur without added task-relevant information. Report U with a Newcombe hybrid-score interval or a stratified bootstrap, together with abstention rate, commitment coverage, n_{e=1}, and n_{e=0}. If a graded confidence score is available, report the risk–coverage curve and its area (AURC) as the primary measure, with U at the operating point as the summary; proper scoring rules (DeGroot &amp; Fienberg, 1983; Guo et al., 2017) then measure calibration separately (Supplementary Code</w:t>
      </w:r>
      <w:r>
        <w:t xml:space="preserve"> </w:t>
      </w:r>
      <w:r>
        <w:rPr>
          <w:rStyle w:val="VerbatimChar"/>
        </w:rPr>
        <w:t xml:space="preserve">metrics_u.py</w:t>
      </w:r>
      <w:r>
        <w:t xml:space="preserve">).</w:t>
      </w:r>
    </w:p>
    <w:bookmarkEnd w:id="27"/>
    <w:bookmarkStart w:id="28" w:name="X4e3a5f41966280d1ec3fc6196fdc85ec026ef0b"/>
    <w:p>
      <w:pPr>
        <w:pStyle w:val="Heading3"/>
      </w:pPr>
      <w:r>
        <w:t xml:space="preserve">2.7 Measurement channels and design requirements</w:t>
      </w:r>
    </w:p>
    <w:p>
      <w:pPr>
        <w:pStyle w:val="FirstParagraph"/>
      </w:pPr>
      <w:r>
        <w:t xml:space="preserve">The five measures are computed from four disjoint sets of trials, which we call protocol channels:</w:t>
      </w:r>
    </w:p>
    <w:p>
      <w:pPr>
        <w:pStyle w:val="Compact"/>
        <w:numPr>
          <w:ilvl w:val="0"/>
          <w:numId w:val="1001"/>
        </w:numPr>
      </w:pPr>
      <w:r>
        <w:t xml:space="preserve">base single-intent trials → B_min and V_eff (one confusion matrix)</w:t>
      </w:r>
    </w:p>
    <w:p>
      <w:pPr>
        <w:pStyle w:val="Compact"/>
        <w:numPr>
          <w:ilvl w:val="0"/>
          <w:numId w:val="1001"/>
        </w:numPr>
      </w:pPr>
      <w:r>
        <w:t xml:space="preserve">held-out compositional trials → C_k</w:t>
      </w:r>
    </w:p>
    <w:p>
      <w:pPr>
        <w:pStyle w:val="Compact"/>
        <w:numPr>
          <w:ilvl w:val="0"/>
          <w:numId w:val="1001"/>
        </w:numPr>
      </w:pPr>
      <w:r>
        <w:t xml:space="preserve">induced-error trials → R</w:t>
      </w:r>
    </w:p>
    <w:p>
      <w:pPr>
        <w:pStyle w:val="Compact"/>
        <w:numPr>
          <w:ilvl w:val="0"/>
          <w:numId w:val="1001"/>
        </w:numPr>
      </w:pPr>
      <w:r>
        <w:t xml:space="preserve">uncertainty trials → U</w:t>
      </w:r>
    </w:p>
    <w:p>
      <w:pPr>
        <w:pStyle w:val="FirstParagraph"/>
      </w:pPr>
      <w:r>
        <w:t xml:space="preserve">Compositional, repair, and uncertainty trials never enter the base confusion matrix. Table 0 lists the design element each channel requires. A paradigm lacking an element cannot compute the corresponding measure, and the framework’s first output on any dataset is which rows are satisfied. Trial budgets for a target power are given in Section 5.7; they are metric- and effect-size-specific and are not repeated here.</w:t>
      </w:r>
    </w:p>
    <w:p>
      <w:pPr>
        <w:pStyle w:val="BodyText"/>
      </w:pPr>
      <w:r>
        <w:rPr>
          <w:b/>
          <w:bCs/>
        </w:rPr>
        <w:t xml:space="preserve">Table 0.</w:t>
      </w:r>
      <w:r>
        <w:t xml:space="preserve"> </w:t>
      </w:r>
      <w:r>
        <w:t xml:space="preserve">Design requirements by measure.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Measure</w:t>
            </w:r>
          </w:p>
        </w:tc>
        <w:tc>
          <w:tcPr/>
          <w:p>
            <w:pPr>
              <w:pStyle w:val="Compact"/>
              <w:jc w:val="left"/>
            </w:pPr>
            <w:r>
              <w:t xml:space="preserve">Ground truth required</w:t>
            </w:r>
          </w:p>
        </w:tc>
        <w:tc>
          <w:tcPr/>
          <w:p>
            <w:pPr>
              <w:pStyle w:val="Compact"/>
              <w:jc w:val="left"/>
            </w:pPr>
            <w:r>
              <w:t xml:space="preserve">Trial structure</w:t>
            </w:r>
          </w:p>
        </w:tc>
        <w:tc>
          <w:tcPr/>
          <w:p>
            <w:pPr>
              <w:pStyle w:val="Compact"/>
              <w:jc w:val="left"/>
            </w:pPr>
            <w:r>
              <w:t xml:space="preserve">Additional design element</w:t>
            </w:r>
          </w:p>
        </w:tc>
      </w:tr>
      <w:tr>
        <w:tc>
          <w:tcPr/>
          <w:p>
            <w:pPr>
              <w:pStyle w:val="Compact"/>
              <w:jc w:val="left"/>
            </w:pPr>
            <w:r>
              <w:t xml:space="preserve">B_min</w:t>
            </w:r>
          </w:p>
        </w:tc>
        <w:tc>
          <w:tcPr/>
          <w:p>
            <w:pPr>
              <w:pStyle w:val="Compact"/>
              <w:jc w:val="left"/>
            </w:pPr>
            <w:r>
              <w:t xml:space="preserve">Per-episode intent label</w:t>
            </w:r>
          </w:p>
        </w:tc>
        <w:tc>
          <w:tcPr/>
          <w:p>
            <w:pPr>
              <w:pStyle w:val="Compact"/>
              <w:jc w:val="left"/>
            </w:pPr>
            <w:r>
              <w:t xml:space="preserve">Bounded episodes with timestamped full cycle</w:t>
            </w:r>
          </w:p>
        </w:tc>
        <w:tc>
          <w:tcPr/>
          <w:p>
            <w:pPr>
              <w:pStyle w:val="Compact"/>
              <w:jc w:val="left"/>
            </w:pPr>
            <w:r>
              <w:t xml:space="preserve">None</w:t>
            </w:r>
          </w:p>
        </w:tc>
      </w:tr>
      <w:tr>
        <w:tc>
          <w:tcPr/>
          <w:p>
            <w:pPr>
              <w:pStyle w:val="Compact"/>
              <w:jc w:val="left"/>
            </w:pPr>
            <w:r>
              <w:t xml:space="preserve">V_eff</w:t>
            </w:r>
          </w:p>
        </w:tc>
        <w:tc>
          <w:tcPr/>
          <w:p>
            <w:pPr>
              <w:pStyle w:val="Compact"/>
              <w:jc w:val="left"/>
            </w:pPr>
            <w:r>
              <w:t xml:space="preserve">Per-episode intent label</w:t>
            </w:r>
          </w:p>
        </w:tc>
        <w:tc>
          <w:tcPr/>
          <w:p>
            <w:pPr>
              <w:pStyle w:val="Compact"/>
              <w:jc w:val="left"/>
            </w:pPr>
            <w:r>
              <w:t xml:space="preserve">≥ β trials per intent in the base channel</w:t>
            </w:r>
          </w:p>
        </w:tc>
        <w:tc>
          <w:tcPr/>
          <w:p>
            <w:pPr>
              <w:pStyle w:val="Compact"/>
              <w:jc w:val="left"/>
            </w:pPr>
            <w:r>
              <w:t xml:space="preserve">None</w:t>
            </w:r>
          </w:p>
        </w:tc>
      </w:tr>
      <w:tr>
        <w:tc>
          <w:tcPr/>
          <w:p>
            <w:pPr>
              <w:pStyle w:val="Compact"/>
              <w:jc w:val="left"/>
            </w:pPr>
            <w:r>
              <w:t xml:space="preserve">C_k</w:t>
            </w:r>
          </w:p>
        </w:tc>
        <w:tc>
          <w:tcPr/>
          <w:p>
            <w:pPr>
              <w:pStyle w:val="Compact"/>
              <w:jc w:val="left"/>
            </w:pPr>
            <w:r>
              <w:t xml:space="preserve">Correctness of the response to each combination</w:t>
            </w:r>
          </w:p>
        </w:tc>
        <w:tc>
          <w:tcPr/>
          <w:p>
            <w:pPr>
              <w:pStyle w:val="Compact"/>
              <w:jc w:val="left"/>
            </w:pPr>
            <w:r>
              <w:t xml:space="preserve">Pre-registered k-slot grammar with training / held-out partition</w:t>
            </w:r>
          </w:p>
        </w:tc>
        <w:tc>
          <w:tcPr/>
          <w:p>
            <w:pPr>
              <w:pStyle w:val="Compact"/>
              <w:jc w:val="left"/>
            </w:pPr>
            <w:r>
              <w:t xml:space="preserve">Held-out combinations withheld from training; blinded scoring</w:t>
            </w:r>
          </w:p>
        </w:tc>
      </w:tr>
      <w:tr>
        <w:tc>
          <w:tcPr/>
          <w:p>
            <w:pPr>
              <w:pStyle w:val="Compact"/>
              <w:jc w:val="left"/>
            </w:pPr>
            <w:r>
              <w:t xml:space="preserve">R</w:t>
            </w:r>
          </w:p>
        </w:tc>
        <w:tc>
          <w:tcPr/>
          <w:p>
            <w:pPr>
              <w:pStyle w:val="Compact"/>
              <w:jc w:val="left"/>
            </w:pPr>
            <w:r>
              <w:t xml:space="preserve">Correct intent known on each induced-error trial</w:t>
            </w:r>
          </w:p>
        </w:tc>
        <w:tc>
          <w:tcPr/>
          <w:p>
            <w:pPr>
              <w:pStyle w:val="Compact"/>
              <w:jc w:val="left"/>
            </w:pPr>
            <w:r>
              <w:t xml:space="preserve">Interactive, multi-turn</w:t>
            </w:r>
          </w:p>
        </w:tc>
        <w:tc>
          <w:tcPr/>
          <w:p>
            <w:pPr>
              <w:pStyle w:val="Compact"/>
              <w:jc w:val="left"/>
            </w:pPr>
            <w:r>
              <w:t xml:space="preserve">Pseudo-random induced misunderstanding; blinded repair coding (κ ≥ 0.75)</w:t>
            </w:r>
          </w:p>
        </w:tc>
      </w:tr>
      <w:tr>
        <w:tc>
          <w:tcPr/>
          <w:p>
            <w:pPr>
              <w:pStyle w:val="Compact"/>
              <w:jc w:val="left"/>
            </w:pPr>
            <w:r>
              <w:t xml:space="preserve">U</w:t>
            </w:r>
          </w:p>
        </w:tc>
        <w:tc>
          <w:tcPr/>
          <w:p>
            <w:pPr>
              <w:pStyle w:val="Compact"/>
              <w:jc w:val="left"/>
            </w:pPr>
            <w:r>
              <w:t xml:space="preserve">Forced-commitment error e_i on every uncertainty trial</w:t>
            </w:r>
          </w:p>
        </w:tc>
        <w:tc>
          <w:tcPr/>
          <w:p>
            <w:pPr>
              <w:pStyle w:val="Compact"/>
              <w:jc w:val="left"/>
            </w:pPr>
            <w:r>
              <w:t xml:space="preserve">Forced choice with abstain option, followed by forced commitment before feedback</w:t>
            </w:r>
          </w:p>
        </w:tc>
        <w:tc>
          <w:tcPr/>
          <w:p>
            <w:pPr>
              <w:pStyle w:val="Compact"/>
              <w:jc w:val="left"/>
            </w:pPr>
            <w:r>
              <w:t xml:space="preserve">Enough error trials to populate both strata</w:t>
            </w:r>
          </w:p>
        </w:tc>
      </w:tr>
    </w:tbl>
    <w:bookmarkEnd w:id="28"/>
    <w:bookmarkEnd w:id="29"/>
    <w:bookmarkStart w:id="35" w:name="X6c20214652a0eaef6c54f82129f318cadb7bf77"/>
    <w:p>
      <w:pPr>
        <w:pStyle w:val="Heading2"/>
      </w:pPr>
      <w:r>
        <w:t xml:space="preserve">3. Why Accuracy and Mutual Information Alone Are Insufficient</w:t>
      </w:r>
    </w:p>
    <w:p>
      <w:pPr>
        <w:pStyle w:val="FirstParagraph"/>
      </w:pPr>
      <w:r>
        <w:t xml:space="preserve">A reviewer may ask: mutual information already exists; what does this suite add? We answer in three steps. Sections 3.1–3.3 exhibit agent profiles that separate the measures pairwise. Section 3.4 states precisely what we mean by</w:t>
      </w:r>
      <w:r>
        <w:t xml:space="preserve"> </w:t>
      </w:r>
      <w:r>
        <w:t xml:space="preserve">“</w:t>
      </w:r>
      <w:r>
        <w:t xml:space="preserve">irreducible</w:t>
      </w:r>
      <w:r>
        <w:t xml:space="preserve">”</w:t>
      </w:r>
      <w:r>
        <w:t xml:space="preserve"> </w:t>
      </w:r>
      <w:r>
        <w:t xml:space="preserve">and proves it. Section 3.5 reports what the measures look like across a continuously parameterized population, which is a different question.</w:t>
      </w:r>
    </w:p>
    <w:bookmarkStart w:id="30" w:name="X819dc3e333680f3cd6c1a583c81d0c0262693d2"/>
    <w:p>
      <w:pPr>
        <w:pStyle w:val="Heading3"/>
      </w:pPr>
      <w:r>
        <w:t xml:space="preserve">3.1 Counterexample 1: High MI, Zero Compositionality</w:t>
      </w:r>
    </w:p>
    <w:p>
      <w:pPr>
        <w:pStyle w:val="FirstParagraph"/>
      </w:pPr>
      <w:r>
        <w:t xml:space="preserve">An agent with |Z| = 12 responds correctly on single-intent trials with probability 0.90 and otherwise emits a uniformly chosen incorrect intent. On the base channel, accuracy is 0.90 and bias-corrected I(Y; Ẑ) ≈ 2.9 bits (upper bound log₂ 12 = 3.58). V_eff(0.80) is near |Z|. On a 2-slot grammar the agent has memorized the training combinations and responds at chance (1/12) on held-out combinations. MI is high, accuracy is high, V_eff is high; C₂ is at chance. The programmed behavior implements lookup-table success on trained combinations without productive held-out generalization. Simulated values: Table S2.</w:t>
      </w:r>
    </w:p>
    <w:bookmarkEnd w:id="30"/>
    <w:bookmarkStart w:id="31" w:name="X9689204c80dd0fed5ba7a22027256d158e3bbc0"/>
    <w:p>
      <w:pPr>
        <w:pStyle w:val="Heading3"/>
      </w:pPr>
      <w:r>
        <w:t xml:space="preserve">3.2 Counterexample 2: High MI and High C₂, Zero Repair</w:t>
      </w:r>
    </w:p>
    <w:p>
      <w:pPr>
        <w:pStyle w:val="FirstParagraph"/>
      </w:pPr>
      <w:r>
        <w:t xml:space="preserve">Extend the agent to generalize on held-out combinations (C₂ = 0.85). After an induced misunderstanding it always repeats the original signal identically. Under the simulation’s independent-uniform receiver-error null, recovery within two attempts is 1 − (11/12)² = 0.16. MI is high, C₂ is high, and R is at its specified null.</w:t>
      </w:r>
    </w:p>
    <w:bookmarkEnd w:id="31"/>
    <w:bookmarkStart w:id="32" w:name="Xdf5ce8f6eb067cbdb9ff299c1eb524f9ffe97f2"/>
    <w:p>
      <w:pPr>
        <w:pStyle w:val="Heading3"/>
      </w:pPr>
      <w:r>
        <w:t xml:space="preserve">3.3 Counterexample 3: High MI, High C₂, High R, Zero Uncertainty Selectivity</w:t>
      </w:r>
    </w:p>
    <w:p>
      <w:pPr>
        <w:pStyle w:val="FirstParagraph"/>
      </w:pPr>
      <w:r>
        <w:t xml:space="preserve">Extend the agent to modify its signal after induced error and recover (R ≈ 0.35). On uncertainty trials it never abstains. Because P(a = 1 | e) = 0 for both strata, U = 0 by Eq. 6: the agent exhibits no selective abstention, and U records this as zero rather than as undefined.</w:t>
      </w:r>
    </w:p>
    <w:bookmarkEnd w:id="32"/>
    <w:bookmarkStart w:id="33" w:name="what-irreducible-means"/>
    <w:p>
      <w:pPr>
        <w:pStyle w:val="Heading3"/>
      </w:pPr>
      <w:r>
        <w:t xml:space="preserve">3.4 What</w:t>
      </w:r>
      <w:r>
        <w:t xml:space="preserve"> </w:t>
      </w:r>
      <w:r>
        <w:t xml:space="preserve">“</w:t>
      </w:r>
      <w:r>
        <w:t xml:space="preserve">irreducible</w:t>
      </w:r>
      <w:r>
        <w:t xml:space="preserve">”</w:t>
      </w:r>
      <w:r>
        <w:t xml:space="preserve"> </w:t>
      </w:r>
      <w:r>
        <w:t xml:space="preserve">means</w:t>
      </w:r>
    </w:p>
    <w:p>
      <w:pPr>
        <w:pStyle w:val="FirstParagraph"/>
      </w:pPr>
      <w:r>
        <w:t xml:space="preserve">We use</w:t>
      </w:r>
      <w:r>
        <w:t xml:space="preserve"> </w:t>
      </w:r>
      <w:r>
        <w:rPr>
          <w:i/>
          <w:iCs/>
        </w:rPr>
        <w:t xml:space="preserve">irreducible</w:t>
      </w:r>
      <w:r>
        <w:t xml:space="preserve"> </w:t>
      </w:r>
      <w:r>
        <w:t xml:space="preserve">in one precise sense: no measure in the suite is a function of the other four. This is stronger than pairwise non-implication, which the counterexamples exhibit, and is proved below. It is distinct from two claims we do not make: that the measures are statistically uncorrelated under realistic agent populations (Section 3.5 shows they are not), and that all five must be computed in every application (Table 0 specifies which are computable given a design).</w:t>
      </w:r>
    </w:p>
    <w:p>
      <w:pPr>
        <w:pStyle w:val="BodyText"/>
      </w:pPr>
      <w:r>
        <w:rPr>
          <w:b/>
          <w:bCs/>
        </w:rPr>
        <w:t xml:space="preserve">Proposition 3 (MI does not determine C_k).</w:t>
      </w:r>
      <w:r>
        <w:t xml:space="preserve"> </w:t>
      </w:r>
      <w:r>
        <w:t xml:space="preserve">Fix the ontology and episode-duration distribution. For any base-channel joint distribution P(Y, Ẑ) and any c ∈ [0, 1], there exists an agent whose base confusion matrix is P and whose compositional depth is C_k = c.</w:t>
      </w:r>
    </w:p>
    <w:p>
      <w:pPr>
        <w:pStyle w:val="BodyText"/>
      </w:pPr>
      <w:r>
        <w:rPr>
          <w:i/>
          <w:iCs/>
        </w:rPr>
        <w:t xml:space="preserve">Proof.</w:t>
      </w:r>
      <w:r>
        <w:t xml:space="preserve"> </w:t>
      </w:r>
      <w:r>
        <w:t xml:space="preserve">Under the protocol of Section 2.7, base and held-out trials are disjoint. Define an agent that reproduces P on base trials and responds correctly with probability c on held-out combinations. With the duration distribution fixed, its MI and B_min are fixed by P; its C_k is c. </w:t>
      </w:r>
      <w:r>
        <w:rPr>
          <w:i/>
          <w:iCs/>
        </w:rPr>
        <w:t xml:space="preserve">End of proof.</w:t>
      </w:r>
    </w:p>
    <w:p>
      <w:pPr>
        <w:pStyle w:val="BodyText"/>
      </w:pPr>
      <w:r>
        <w:rPr>
          <w:b/>
          <w:bCs/>
        </w:rPr>
        <w:t xml:space="preserve">Proposition 4 (functional independence).</w:t>
      </w:r>
      <w:r>
        <w:t xml:space="preserve"> </w:t>
      </w:r>
      <w:r>
        <w:t xml:space="preserve">Fix ontology Z, episode-duration distribution, and the V_eff thresholds α and β. For each measure M ∈ {B_min, V_eff, C_k, R, U}, there exist two agents that agree on the other four measures and differ on M. Hence no measure is a function of the remaining four under those fixed design choices.</w:t>
      </w:r>
    </w:p>
    <w:p>
      <w:pPr>
        <w:pStyle w:val="BodyText"/>
      </w:pPr>
      <w:r>
        <w:rPr>
          <w:i/>
          <w:iCs/>
        </w:rPr>
        <w:t xml:space="preserve">Proof.</w:t>
      </w:r>
      <w:r>
        <w:t xml:space="preserve"> </w:t>
      </w:r>
      <w:r>
        <w:t xml:space="preserve">For M ∈ {C_k, R, U}: fix any base confusion matrix and any behavior on the other two specialized channels; vary behavior on M’s channel. By channel disjointness the other four measures are unchanged. For M = V_eff: the two matrices of Section 4.3 have identical MI (1.1524 bits) and V_eff(0.80) of 4 and 2; hold the specialized channels fixed. For M = B_min: two symmetric 4 × 4 matrices with diagonal 0.85 and 0.95 have V_eff(0.80) = 4 in both cases and MI of 1.152 and 1.634 bits.</w:t>
      </w:r>
      <w:r>
        <w:t xml:space="preserve"> </w:t>
      </w:r>
      <w:r>
        <w:rPr>
          <w:i/>
          <w:iCs/>
        </w:rPr>
        <w:t xml:space="preserve">End of proof.</w:t>
      </w:r>
    </w:p>
    <w:bookmarkEnd w:id="33"/>
    <w:bookmarkStart w:id="34" w:name="X33f667182434a587f885fa4260f2a4e7e580cfe"/>
    <w:p>
      <w:pPr>
        <w:pStyle w:val="Heading3"/>
      </w:pPr>
      <w:r>
        <w:t xml:space="preserve">3.5 Covariation in a continuously parameterized synthetic population</w:t>
      </w:r>
    </w:p>
    <w:p>
      <w:pPr>
        <w:pStyle w:val="FirstParagraph"/>
      </w:pPr>
      <w:r>
        <w:t xml:space="preserve">Proposition 4 concerns functions, not correlations, and the programmed agents of Section 5.3 were designed to dissociate the measures. To see how the measures covary when nothing forces them apart, we simulated 1,000 agents with continuously sampled parameters: base accuracy p ~ U(0.30, 0.98); held-out generalization fraction g ~ U(0, 1) with p_heldout = 1/|Z| + g(p − 1/|Z|); signal-modification probability after induced error m ~ U(0, 0.8); abstention selectivity s ~ U(−0.3, 1) (abstention 0.25 + 0.5s on hard trials and 0.25 − 0.2s on easy trials; forced-commitment error 0.25 hard, 0.05 easy). Each agent was evaluated at |Z| = 12 with 500 base trials, 150 compositional trials (half held-out), 200 induced-error trials, and 150 uncertainty trials. U was estimable for every agent.</w:t>
      </w:r>
    </w:p>
    <w:p>
      <w:pPr>
        <w:pStyle w:val="BodyText"/>
      </w:pPr>
      <w:r>
        <w:rPr>
          <w:b/>
          <w:bCs/>
        </w:rPr>
        <w:t xml:space="preserve">Table 1a.</w:t>
      </w:r>
      <w:r>
        <w:t xml:space="preserve"> </w:t>
      </w:r>
      <w:r>
        <w:t xml:space="preserve">Spearman correlations across the synthetic population (n = 1,000).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B_min</w:t>
            </w:r>
          </w:p>
        </w:tc>
        <w:tc>
          <w:tcPr/>
          <w:p>
            <w:pPr>
              <w:pStyle w:val="Compact"/>
              <w:jc w:val="left"/>
            </w:pPr>
            <w:r>
              <w:t xml:space="preserve">V_eff(.80)</w:t>
            </w:r>
          </w:p>
        </w:tc>
        <w:tc>
          <w:tcPr/>
          <w:p>
            <w:pPr>
              <w:pStyle w:val="Compact"/>
              <w:jc w:val="left"/>
            </w:pPr>
            <w:r>
              <w:t xml:space="preserve">C₂</w:t>
            </w:r>
          </w:p>
        </w:tc>
        <w:tc>
          <w:tcPr/>
          <w:p>
            <w:pPr>
              <w:pStyle w:val="Compact"/>
              <w:jc w:val="left"/>
            </w:pPr>
            <w:r>
              <w:t xml:space="preserve">R</w:t>
            </w:r>
          </w:p>
        </w:tc>
        <w:tc>
          <w:tcPr/>
          <w:p>
            <w:pPr>
              <w:pStyle w:val="Compact"/>
              <w:jc w:val="left"/>
            </w:pPr>
            <w:r>
              <w:t xml:space="preserve">U</w:t>
            </w:r>
          </w:p>
        </w:tc>
      </w:tr>
      <w:tr>
        <w:tc>
          <w:tcPr/>
          <w:p>
            <w:pPr>
              <w:pStyle w:val="Compact"/>
              <w:jc w:val="left"/>
            </w:pPr>
            <w:r>
              <w:t xml:space="preserve">B_min</w:t>
            </w:r>
          </w:p>
        </w:tc>
        <w:tc>
          <w:tcPr/>
          <w:p>
            <w:pPr>
              <w:pStyle w:val="Compact"/>
              <w:jc w:val="left"/>
            </w:pPr>
            <w:r>
              <w:t xml:space="preserve">1.00</w:t>
            </w:r>
          </w:p>
        </w:tc>
        <w:tc>
          <w:tcPr/>
          <w:p>
            <w:pPr>
              <w:pStyle w:val="Compact"/>
              <w:jc w:val="left"/>
            </w:pPr>
            <w:r>
              <w:t xml:space="preserve">0.87</w:t>
            </w:r>
          </w:p>
        </w:tc>
        <w:tc>
          <w:tcPr/>
          <w:p>
            <w:pPr>
              <w:pStyle w:val="Compact"/>
              <w:jc w:val="left"/>
            </w:pPr>
            <w:r>
              <w:t xml:space="preserve">0.47</w:t>
            </w:r>
          </w:p>
        </w:tc>
        <w:tc>
          <w:tcPr/>
          <w:p>
            <w:pPr>
              <w:pStyle w:val="Compact"/>
              <w:jc w:val="left"/>
            </w:pPr>
            <w:r>
              <w:t xml:space="preserve">−0.01</w:t>
            </w:r>
          </w:p>
        </w:tc>
        <w:tc>
          <w:tcPr/>
          <w:p>
            <w:pPr>
              <w:pStyle w:val="Compact"/>
              <w:jc w:val="left"/>
            </w:pPr>
            <w:r>
              <w:t xml:space="preserve">−0.00</w:t>
            </w:r>
          </w:p>
        </w:tc>
      </w:tr>
      <w:tr>
        <w:tc>
          <w:tcPr/>
          <w:p>
            <w:pPr>
              <w:pStyle w:val="Compact"/>
              <w:jc w:val="left"/>
            </w:pPr>
            <w:r>
              <w:t xml:space="preserve">V_eff(.80)</w:t>
            </w:r>
          </w:p>
        </w:tc>
        <w:tc>
          <w:tcPr/>
          <w:p>
            <w:pPr>
              <w:pStyle w:val="Compact"/>
            </w:pPr>
          </w:p>
        </w:tc>
        <w:tc>
          <w:tcPr/>
          <w:p>
            <w:pPr>
              <w:pStyle w:val="Compact"/>
              <w:jc w:val="left"/>
            </w:pPr>
            <w:r>
              <w:t xml:space="preserve">1.00</w:t>
            </w:r>
          </w:p>
        </w:tc>
        <w:tc>
          <w:tcPr/>
          <w:p>
            <w:pPr>
              <w:pStyle w:val="Compact"/>
              <w:jc w:val="left"/>
            </w:pPr>
            <w:r>
              <w:t xml:space="preserve">0.40</w:t>
            </w:r>
          </w:p>
        </w:tc>
        <w:tc>
          <w:tcPr/>
          <w:p>
            <w:pPr>
              <w:pStyle w:val="Compact"/>
              <w:jc w:val="left"/>
            </w:pPr>
            <w:r>
              <w:t xml:space="preserve">−0.00</w:t>
            </w:r>
          </w:p>
        </w:tc>
        <w:tc>
          <w:tcPr/>
          <w:p>
            <w:pPr>
              <w:pStyle w:val="Compact"/>
              <w:jc w:val="left"/>
            </w:pPr>
            <w:r>
              <w:t xml:space="preserve">−0.04</w:t>
            </w:r>
          </w:p>
        </w:tc>
      </w:tr>
      <w:tr>
        <w:tc>
          <w:tcPr/>
          <w:p>
            <w:pPr>
              <w:pStyle w:val="Compact"/>
              <w:jc w:val="left"/>
            </w:pPr>
            <w:r>
              <w:t xml:space="preserve">C₂</w:t>
            </w:r>
          </w:p>
        </w:tc>
        <w:tc>
          <w:tcPr/>
          <w:p>
            <w:pPr>
              <w:pStyle w:val="Compact"/>
            </w:pPr>
          </w:p>
        </w:tc>
        <w:tc>
          <w:tcPr/>
          <w:p>
            <w:pPr>
              <w:pStyle w:val="Compact"/>
            </w:pPr>
          </w:p>
        </w:tc>
        <w:tc>
          <w:tcPr/>
          <w:p>
            <w:pPr>
              <w:pStyle w:val="Compact"/>
              <w:jc w:val="left"/>
            </w:pPr>
            <w:r>
              <w:t xml:space="preserve">1.00</w:t>
            </w:r>
          </w:p>
        </w:tc>
        <w:tc>
          <w:tcPr/>
          <w:p>
            <w:pPr>
              <w:pStyle w:val="Compact"/>
              <w:jc w:val="left"/>
            </w:pPr>
            <w:r>
              <w:t xml:space="preserve">0.00</w:t>
            </w:r>
          </w:p>
        </w:tc>
        <w:tc>
          <w:tcPr/>
          <w:p>
            <w:pPr>
              <w:pStyle w:val="Compact"/>
              <w:jc w:val="left"/>
            </w:pPr>
            <w:r>
              <w:t xml:space="preserve">0.02</w:t>
            </w:r>
          </w:p>
        </w:tc>
      </w:tr>
      <w:tr>
        <w:tc>
          <w:tcPr/>
          <w:p>
            <w:pPr>
              <w:pStyle w:val="Compact"/>
              <w:jc w:val="left"/>
            </w:pPr>
            <w:r>
              <w:t xml:space="preserve">R</w:t>
            </w:r>
          </w:p>
        </w:tc>
        <w:tc>
          <w:tcPr/>
          <w:p>
            <w:pPr>
              <w:pStyle w:val="Compact"/>
            </w:pPr>
          </w:p>
        </w:tc>
        <w:tc>
          <w:tcPr/>
          <w:p>
            <w:pPr>
              <w:pStyle w:val="Compact"/>
            </w:pPr>
          </w:p>
        </w:tc>
        <w:tc>
          <w:tcPr/>
          <w:p>
            <w:pPr>
              <w:pStyle w:val="Compact"/>
            </w:pPr>
          </w:p>
        </w:tc>
        <w:tc>
          <w:tcPr/>
          <w:p>
            <w:pPr>
              <w:pStyle w:val="Compact"/>
              <w:jc w:val="left"/>
            </w:pPr>
            <w:r>
              <w:t xml:space="preserve">1.00</w:t>
            </w:r>
          </w:p>
        </w:tc>
        <w:tc>
          <w:tcPr/>
          <w:p>
            <w:pPr>
              <w:pStyle w:val="Compact"/>
              <w:jc w:val="left"/>
            </w:pPr>
            <w:r>
              <w:t xml:space="preserve">0.02</w:t>
            </w:r>
          </w:p>
        </w:tc>
      </w:tr>
      <w:tr>
        <w:tc>
          <w:tcPr/>
          <w:p>
            <w:pPr>
              <w:pStyle w:val="Compact"/>
              <w:jc w:val="left"/>
            </w:pPr>
            <w:r>
              <w:t xml:space="preserve">U</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1.00</w:t>
            </w:r>
          </w:p>
        </w:tc>
      </w:tr>
    </w:tbl>
    <w:p>
      <w:pPr>
        <w:pStyle w:val="BodyText"/>
      </w:pPr>
      <w:r>
        <w:t xml:space="preserve">Eigenvalues of the Pearson correlation matrix: 2.26, 1.03, 0.97, 0.63, 0.11; the first four components account for 97.9% of correlation-matrix variance.</w:t>
      </w:r>
    </w:p>
    <w:p>
      <w:pPr>
        <w:pStyle w:val="BodyText"/>
      </w:pPr>
      <w:r>
        <w:t xml:space="preserve">Under this population, B_min and V_eff were strongly associated (they are complementary summaries of the same base confusion matrix); C₂ was moderately associated with both, a consequence of the generative rule that bounds held-out accuracy by base accuracy; R and U were approximately uncorrelated with every other measure, which follows from the generator sampling m and s independently. These are properties of the synthetic population, not of communicative behavior in general. The covariance pattern is consistent with the four-channel protocol architecture under this generator; V_eff supplies an interpretable thresholded summary of the base confusion matrix rather than evidence for a fifth general statistical dimension. Incremental validity against an external criterion cannot be assessed in simulation and is proposed for the prospective design of Section 15.</w:t>
      </w:r>
    </w:p>
    <w:bookmarkEnd w:id="34"/>
    <w:bookmarkEnd w:id="35"/>
    <w:bookmarkStart w:id="39" w:name="formal-properties"/>
    <w:p>
      <w:pPr>
        <w:pStyle w:val="Heading2"/>
      </w:pPr>
      <w:r>
        <w:t xml:space="preserve">4. Formal Properties</w:t>
      </w:r>
    </w:p>
    <w:bookmarkStart w:id="36" w:name="bounds"/>
    <w:p>
      <w:pPr>
        <w:pStyle w:val="Heading3"/>
      </w:pPr>
      <w:r>
        <w:t xml:space="preserve">4.1 Bounds</w:t>
      </w:r>
    </w:p>
    <w:p>
      <w:pPr>
        <w:pStyle w:val="FirstParagraph"/>
      </w:pPr>
      <w:r>
        <w:t xml:space="preserve">Proofs follow from standard information theory (Shannon, 1948; Cover &amp; Thomas, 2006) and the definitions. The measurement-theoretic framing of behavioral metrics as indicators has a long tradition in psychometrics (Cronbach, 1951; Embretson &amp; Reise, 2000).</w:t>
      </w:r>
    </w:p>
    <w:p>
      <w:pPr>
        <w:pStyle w:val="BodyText"/>
      </w:pPr>
      <w:r>
        <w:rPr>
          <w:b/>
          <w:bCs/>
        </w:rPr>
        <w:t xml:space="preserve">B_min.</w:t>
      </w:r>
      <w:r>
        <w:t xml:space="preserve"> </w:t>
      </w:r>
      <w:r>
        <w:t xml:space="preserve">I(Y; Ẑ) ≥ 0 with equality iff Y and Ẑ are independent. I(Y; Ẑ) ≤ min(H(Y), H(Ẑ)) ≤ log₂|Z|. Perfect decoding gives I = H(Y), which equals log₂|Z| only when Y is uniform. Hence B_min ∈ [0, H(Y)/Ē[τ]] ⊆ [0, log₂|Z|/Ē[τ]]. The bias-corrected estimator may be slightly negative under independence and is not truncated.</w:t>
      </w:r>
    </w:p>
    <w:p>
      <w:pPr>
        <w:pStyle w:val="BodyText"/>
      </w:pPr>
      <w:r>
        <w:rPr>
          <w:b/>
          <w:bCs/>
        </w:rPr>
        <w:t xml:space="preserve">V_eff.</w:t>
      </w:r>
      <w:r>
        <w:t xml:space="preserve"> </w:t>
      </w:r>
      <w:r>
        <w:t xml:space="preserve">V_eff ∈ {0, 1, …, |Z|}; V_eff = 0 iff no intent has F1 ≥ α with n ≥ β; V_eff = |Z| iff every intent does.</w:t>
      </w:r>
    </w:p>
    <w:p>
      <w:pPr>
        <w:pStyle w:val="BodyText"/>
      </w:pPr>
      <w:r>
        <w:rPr>
          <w:b/>
          <w:bCs/>
        </w:rPr>
        <w:t xml:space="preserve">C_k.</w:t>
      </w:r>
      <w:r>
        <w:t xml:space="preserve"> </w:t>
      </w:r>
      <w:r>
        <w:t xml:space="preserve">C_k ∈ [0, 1]; chance = 1/|responses|; values below chance indicate systematic misapplication and are diagnostically informative.</w:t>
      </w:r>
    </w:p>
    <w:p>
      <w:pPr>
        <w:pStyle w:val="BodyText"/>
      </w:pPr>
      <w:r>
        <w:rPr>
          <w:b/>
          <w:bCs/>
        </w:rPr>
        <w:t xml:space="preserve">R.</w:t>
      </w:r>
      <w:r>
        <w:t xml:space="preserve"> </w:t>
      </w:r>
      <w:r>
        <w:t xml:space="preserve">R ∈ [0, 1]. Under the independent-uniform repair null, recovery within n attempts is 1 − (1 − 1/|Z|)ⁿ; other receiver/repair processes require their own null.</w:t>
      </w:r>
    </w:p>
    <w:p>
      <w:pPr>
        <w:pStyle w:val="BodyText"/>
      </w:pPr>
      <w:r>
        <w:rPr>
          <w:b/>
          <w:bCs/>
        </w:rPr>
        <w:t xml:space="preserve">U.</w:t>
      </w:r>
      <w:r>
        <w:t xml:space="preserve"> </w:t>
      </w:r>
      <w:r>
        <w:t xml:space="preserve">U ∈ [−1, 1]; U = 0 under independence of abstention and error (including never-abstain), U = 1 iff the agent abstains on every erroneous forced commitment and no correct one; U is not estimable if either error stratum is empty.</w:t>
      </w:r>
    </w:p>
    <w:bookmarkEnd w:id="36"/>
    <w:bookmarkStart w:id="37" w:name="monotonicity"/>
    <w:p>
      <w:pPr>
        <w:pStyle w:val="Heading3"/>
      </w:pPr>
      <w:r>
        <w:t xml:space="preserve">4.2 Monotonicity</w:t>
      </w:r>
    </w:p>
    <w:p>
      <w:pPr>
        <w:pStyle w:val="FirstParagraph"/>
      </w:pPr>
      <w:r>
        <w:rPr>
          <w:b/>
          <w:bCs/>
        </w:rPr>
        <w:t xml:space="preserve">Proposition 1 (MI monotonicity under output noise).</w:t>
      </w:r>
      <w:r>
        <w:t xml:space="preserve"> </w:t>
      </w:r>
      <w:r>
        <w:t xml:space="preserve">Let ε ∈ [0, 1] and let the decoded intent be replaced, independently of Y, by a uniform draw from Z with probability ε. Then I(Y; Ẑ(ε)) is non-increasing in ε with I = 0 at ε = 1.</w:t>
      </w:r>
    </w:p>
    <w:p>
      <w:pPr>
        <w:pStyle w:val="BodyText"/>
      </w:pPr>
      <w:r>
        <w:rPr>
          <w:i/>
          <w:iCs/>
        </w:rPr>
        <w:t xml:space="preserve">Proof.</w:t>
      </w:r>
      <w:r>
        <w:t xml:space="preserve"> </w:t>
      </w:r>
      <w:r>
        <w:t xml:space="preserve">The joint distribution becomes P_ε(y, ẑ) = (1 − ε) P₀(y, ẑ) + ε P_Y(y)/|Z|, the second term being the product of the Y-marginal and the uniform distribution on Ẑ (the joint is uniform only when Y is uniform). Ẑ(ε) is obtained from Ẑ by a channel that does not depend on Y, so by the data processing inequality I(Y; Ẑ(ε)) ≤ I(Y; Ẑ). At ε = 1, Ẑ is independent of Y.</w:t>
      </w:r>
      <w:r>
        <w:t xml:space="preserve"> </w:t>
      </w:r>
      <w:r>
        <w:rPr>
          <w:i/>
          <w:iCs/>
        </w:rPr>
        <w:t xml:space="preserve">End of proof.</w:t>
      </w:r>
    </w:p>
    <w:p>
      <w:pPr>
        <w:pStyle w:val="BodyText"/>
      </w:pPr>
      <w:r>
        <w:t xml:space="preserve">Empirically, B_min was non-decreasing in base accuracy p in 79 of 80 (|Z|, s, N) Monte Carlo series of the parameter grid (Section 5.8).</w:t>
      </w:r>
    </w:p>
    <w:p>
      <w:pPr>
        <w:pStyle w:val="BodyText"/>
      </w:pPr>
      <w:r>
        <w:rPr>
          <w:b/>
          <w:bCs/>
        </w:rPr>
        <w:t xml:space="preserve">Proposition 2 (V_eff monotonicity in α).</w:t>
      </w:r>
      <w:r>
        <w:t xml:space="preserve"> </w:t>
      </w:r>
      <w:r>
        <w:t xml:space="preserve">V_eff(α, β) is non-increasing in α for fixed β and data, since {z : F1(z) ≥ α′} ⊆ {z : F1(z) ≥ α} for α′ &gt; α. Confirmed in every grid cell.</w:t>
      </w:r>
    </w:p>
    <w:bookmarkEnd w:id="37"/>
    <w:bookmarkStart w:id="38" w:name="Xd97844eec29a0597f6b3e7bf4e70df475185c5e"/>
    <w:p>
      <w:pPr>
        <w:pStyle w:val="Heading3"/>
      </w:pPr>
      <w:r>
        <w:t xml:space="preserve">4.3 Two confusion matrices, same MI, different geometry and different V_eff</w:t>
      </w:r>
    </w:p>
    <w:p>
      <w:pPr>
        <w:pStyle w:val="FirstParagraph"/>
      </w:pPr>
      <w:r>
        <w:t xml:space="preserve">Mutual information is a scalar, non-injective functional of the joint distribution: distinct confusion geometries can therefore have the same value. Let the intent prior be uniform over four classes. Agent alpha has diagonal probability .85 and off-diagonal probability .05 in every row. Agent beta has zero cross-group confusion: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r>
      <w:tr>
        <w:tc>
          <w:tcPr/>
          <w:p>
            <w:pPr>
              <w:pStyle w:val="Compact"/>
              <w:jc w:val="left"/>
            </w:pPr>
            <w:r>
              <w:t xml:space="preserve">A</w:t>
            </w:r>
          </w:p>
        </w:tc>
        <w:tc>
          <w:tcPr/>
          <w:p>
            <w:pPr>
              <w:pStyle w:val="Compact"/>
              <w:jc w:val="right"/>
            </w:pPr>
            <w:r>
              <w:t xml:space="preserve">0.81</w:t>
            </w:r>
          </w:p>
        </w:tc>
        <w:tc>
          <w:tcPr/>
          <w:p>
            <w:pPr>
              <w:pStyle w:val="Compact"/>
              <w:jc w:val="right"/>
            </w:pPr>
            <w:r>
              <w:t xml:space="preserve">0.19</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w:t>
            </w:r>
          </w:p>
        </w:tc>
        <w:tc>
          <w:tcPr/>
          <w:p>
            <w:pPr>
              <w:pStyle w:val="Compact"/>
              <w:jc w:val="right"/>
            </w:pPr>
            <w:r>
              <w:t xml:space="preserve">0.19</w:t>
            </w:r>
          </w:p>
        </w:tc>
        <w:tc>
          <w:tcPr/>
          <w:p>
            <w:pPr>
              <w:pStyle w:val="Compact"/>
              <w:jc w:val="right"/>
            </w:pPr>
            <w:r>
              <w:t xml:space="preserve">0.81</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w:t>
            </w:r>
          </w:p>
        </w:tc>
        <w:tc>
          <w:tcPr/>
          <w:p>
            <w:pPr>
              <w:pStyle w:val="Compact"/>
              <w:jc w:val="right"/>
            </w:pPr>
            <w:r>
              <w:t xml:space="preserve">0</w:t>
            </w:r>
          </w:p>
        </w:tc>
        <w:tc>
          <w:tcPr/>
          <w:p>
            <w:pPr>
              <w:pStyle w:val="Compact"/>
              <w:jc w:val="right"/>
            </w:pPr>
            <w:r>
              <w:t xml:space="preserve">0</w:t>
            </w:r>
          </w:p>
        </w:tc>
        <w:tc>
          <w:tcPr/>
          <w:p>
            <w:pPr>
              <w:pStyle w:val="Compact"/>
              <w:jc w:val="right"/>
            </w:pPr>
            <w:r>
              <w:t xml:space="preserve">q</w:t>
            </w:r>
          </w:p>
        </w:tc>
        <w:tc>
          <w:tcPr/>
          <w:p>
            <w:pPr>
              <w:pStyle w:val="Compact"/>
              <w:jc w:val="right"/>
            </w:pPr>
            <w:r>
              <w:t xml:space="preserve">1 - q</w:t>
            </w:r>
          </w:p>
        </w:tc>
      </w:tr>
      <w:tr>
        <w:tc>
          <w:tcPr/>
          <w:p>
            <w:pPr>
              <w:pStyle w:val="Compact"/>
              <w:jc w:val="left"/>
            </w:pPr>
            <w:r>
              <w:t xml:space="preserv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1 - q</w:t>
            </w:r>
          </w:p>
        </w:tc>
        <w:tc>
          <w:tcPr/>
          <w:p>
            <w:pPr>
              <w:pStyle w:val="Compact"/>
              <w:jc w:val="right"/>
            </w:pPr>
            <w:r>
              <w:t xml:space="preserve">q</w:t>
            </w:r>
          </w:p>
        </w:tc>
      </w:tr>
    </w:tbl>
    <w:p>
      <w:pPr>
        <w:pStyle w:val="BodyText"/>
      </w:pPr>
      <w:r>
        <w:t xml:space="preserve">Set q = 0.5467007423005. Under a uniform prior, I(Y; Ẑ) equals 2 minus mean row entropy. Agent alpha has I = 1.1524153202 bits. Solving ½[h(.81) + h(q)] = 2 − 1.1524153202 gives the q above, and Agent beta has the same MI to numerical precision. Their error structures and accuracy differ: accuracy is .850 for alpha and .678 for beta. Per-class F1 is (.85, .85, .85, .85) for alpha and (.81, .81, .547, .547) for beta, giving V_eff(.80) = 4 versus 2 at identical MI. Conversely, symmetric four-class matrices with diagonals .85 and .95 both give V_eff(.80) = 4 but MI values 1.152 and 1.634 bits. Thus neither MI nor V_eff is a function of the other under fixed thresholds. Nothing in beta’s single-intent error geometry determines its compositional behavior; Proposition 3 treats that channel separately.</w:t>
      </w:r>
    </w:p>
    <w:bookmarkEnd w:id="38"/>
    <w:bookmarkEnd w:id="39"/>
    <w:bookmarkStart w:id="49" w:name="simulation-study"/>
    <w:p>
      <w:pPr>
        <w:pStyle w:val="Heading2"/>
      </w:pPr>
      <w:r>
        <w:t xml:space="preserve">5. Simulation Study</w:t>
      </w:r>
    </w:p>
    <w:bookmarkStart w:id="40" w:name="purpose-and-design"/>
    <w:p>
      <w:pPr>
        <w:pStyle w:val="Heading3"/>
      </w:pPr>
      <w:r>
        <w:t xml:space="preserve">5.1 Purpose and design</w:t>
      </w:r>
    </w:p>
    <w:p>
      <w:pPr>
        <w:pStyle w:val="FirstParagraph"/>
      </w:pPr>
      <w:r>
        <w:t xml:space="preserve">The simulation verifies that the measures behave as their formal properties predict under controlled conditions, that the null models expose the failure modes accuracy conceals, and that the matched-agent contrast at the center of the paper holds numerically. Every agent is defined by one row of a specification table (Table S0, generated from the code) so that text, code, and tables share a single source. All results are regenerated by</w:t>
      </w:r>
      <w:r>
        <w:t xml:space="preserve"> </w:t>
      </w:r>
      <w:r>
        <w:rPr>
          <w:rStyle w:val="VerbatimChar"/>
        </w:rPr>
        <w:t xml:space="preserve">reproduce_all.py</w:t>
      </w:r>
      <w:r>
        <w:t xml:space="preserve"> </w:t>
      </w:r>
      <w:r>
        <w:t xml:space="preserve">(seed 42).</w:t>
      </w:r>
    </w:p>
    <w:bookmarkEnd w:id="40"/>
    <w:bookmarkStart w:id="41" w:name="environment"/>
    <w:p>
      <w:pPr>
        <w:pStyle w:val="Heading3"/>
      </w:pPr>
      <w:r>
        <w:t xml:space="preserve">5.2 Environment</w:t>
      </w:r>
    </w:p>
    <w:p>
      <w:pPr>
        <w:pStyle w:val="FirstParagraph"/>
      </w:pPr>
      <w:r>
        <w:t xml:space="preserve">A closed ontology of |Z| intents (default 12). Ground truth on base trials is sampled uniformly or from a Zipf prior with exponent s. The single-intent response rule is: correct with probability p, otherwise a uniform draw over the |Z| − 1 incorrect intents, so that base accuracy equals p exactly. Episode durations are log-normal (median 0.5 min, σ = 0.4). Trials are allocated to channels as 50% base, 15% compositional (half held-out), 20% induced-error, 15% uncertainty; the default N = 1,000 gives 500 base trials, satisfying β·|Z| = 360. The real-study protocol assumes a 2-slot grammar with an 80/20 training/held-out partition. The Bernoulli engine does not instantiate combination identities or a partition parameter; it represents only training-labelled versus held-out-labelled trial types. Half of compositional evaluation trials are assigned the held-out label to stabilize the estimate. Uncertainty trials are 30% hard.</w:t>
      </w:r>
    </w:p>
    <w:bookmarkEnd w:id="41"/>
    <w:bookmarkStart w:id="42" w:name="agent-types"/>
    <w:p>
      <w:pPr>
        <w:pStyle w:val="Heading3"/>
      </w:pPr>
      <w:r>
        <w:t xml:space="preserve">5.3 Agent types</w:t>
      </w:r>
    </w:p>
    <w:p>
      <w:pPr>
        <w:pStyle w:val="Compact"/>
        <w:numPr>
          <w:ilvl w:val="0"/>
          <w:numId w:val="1002"/>
        </w:numPr>
      </w:pPr>
      <w:r>
        <w:rPr>
          <w:b/>
          <w:bCs/>
        </w:rPr>
        <w:t xml:space="preserve">Random.</w:t>
      </w:r>
      <w:r>
        <w:t xml:space="preserve"> </w:t>
      </w:r>
      <w:r>
        <w:t xml:space="preserve">Uniform response on every channel; abstains with fixed probability 0.30 regardless of error risk.</w:t>
      </w:r>
    </w:p>
    <w:p>
      <w:pPr>
        <w:pStyle w:val="Compact"/>
        <w:numPr>
          <w:ilvl w:val="0"/>
          <w:numId w:val="1002"/>
        </w:numPr>
      </w:pPr>
      <w:r>
        <w:rPr>
          <w:b/>
          <w:bCs/>
        </w:rPr>
        <w:t xml:space="preserve">Class-Biased (Null 1).</w:t>
      </w:r>
      <w:r>
        <w:t xml:space="preserve"> </w:t>
      </w:r>
      <w:r>
        <w:t xml:space="preserve">Correct with probability 0.90 when the ground truth is one of the three most frequent intents under P(Y); uniform otherwise. Never abstains.</w:t>
      </w:r>
    </w:p>
    <w:p>
      <w:pPr>
        <w:pStyle w:val="Compact"/>
        <w:numPr>
          <w:ilvl w:val="0"/>
          <w:numId w:val="1002"/>
        </w:numPr>
      </w:pPr>
      <w:r>
        <w:rPr>
          <w:b/>
          <w:bCs/>
        </w:rPr>
        <w:t xml:space="preserve">Overproduction (Null 2).</w:t>
      </w:r>
      <w:r>
        <w:t xml:space="preserve"> </w:t>
      </w:r>
      <w:r>
        <w:t xml:space="preserve">Emits the most frequent intent on 70% of trials; otherwise correct with p = 0.85. Never abstains.</w:t>
      </w:r>
    </w:p>
    <w:p>
      <w:pPr>
        <w:pStyle w:val="Compact"/>
        <w:numPr>
          <w:ilvl w:val="0"/>
          <w:numId w:val="1002"/>
        </w:numPr>
      </w:pPr>
      <w:r>
        <w:rPr>
          <w:b/>
          <w:bCs/>
        </w:rPr>
        <w:t xml:space="preserve">Memorizer.</w:t>
      </w:r>
      <w:r>
        <w:t xml:space="preserve"> </w:t>
      </w:r>
      <w:r>
        <w:t xml:space="preserve">p = 0.85 on base trials and on training combinations; chance on held-out combinations; repeats the original signal without modification after induced error; never abstains.</w:t>
      </w:r>
    </w:p>
    <w:p>
      <w:pPr>
        <w:pStyle w:val="Compact"/>
        <w:numPr>
          <w:ilvl w:val="0"/>
          <w:numId w:val="1002"/>
        </w:numPr>
      </w:pPr>
      <w:r>
        <w:rPr>
          <w:b/>
          <w:bCs/>
        </w:rPr>
        <w:t xml:space="preserve">Compositional.</w:t>
      </w:r>
      <w:r>
        <w:t xml:space="preserve"> </w:t>
      </w:r>
      <w:r>
        <w:t xml:space="preserve">p = 0.85 on base, training, and held-out trials; after induced error modifies (0.45), escalates (0.20), repeats (0.20), or abandons (0.15) with recovery 0.55, 0.35, chance, 0; abstains on 60% of hard and 10% of easy uncertainty trials, with forced-commitment error 0.25 hard and 0.05 easy.</w:t>
      </w:r>
    </w:p>
    <w:p>
      <w:pPr>
        <w:pStyle w:val="FirstParagraph"/>
      </w:pPr>
      <w:r>
        <w:t xml:space="preserve">The Memorizer and Compositional agents use identical base-channel parameters and common random numbers, so every matched run has exactly the same realized base ground truths, responses, durations, B_min, and V_eff. This makes the measurement blind spot exact rather than approximate.</w:t>
      </w:r>
    </w:p>
    <w:bookmarkEnd w:id="42"/>
    <w:bookmarkStart w:id="43" w:name="runs"/>
    <w:p>
      <w:pPr>
        <w:pStyle w:val="Heading3"/>
      </w:pPr>
      <w:r>
        <w:t xml:space="preserve">5.4 Runs</w:t>
      </w:r>
    </w:p>
    <w:p>
      <w:pPr>
        <w:pStyle w:val="FirstParagraph"/>
      </w:pPr>
      <w:r>
        <w:t xml:space="preserve">Table 1: 400 runs per agent. Null models and counterexamples: 400. Equal-p sweep: 300 per configuration. Parameter grid: 100 per cell. Synthetic-population covariance analysis: 1,000 agents. Power: 1,000 replications per cell.</w:t>
      </w:r>
    </w:p>
    <w:bookmarkEnd w:id="43"/>
    <w:bookmarkStart w:id="44" w:name="results-core-agent-differentiation"/>
    <w:p>
      <w:pPr>
        <w:pStyle w:val="Heading3"/>
      </w:pPr>
      <w:r>
        <w:t xml:space="preserve">5.5 Results: core agent differentiation</w:t>
      </w:r>
    </w:p>
    <w:p>
      <w:pPr>
        <w:pStyle w:val="FirstParagraph"/>
      </w:pPr>
      <w:r>
        <w:rPr>
          <w:b/>
          <w:bCs/>
        </w:rPr>
        <w:t xml:space="preserve">Table 1.</w:t>
      </w:r>
      <w:r>
        <w:t xml:space="preserve"> </w:t>
      </w:r>
      <w:r>
        <w:t xml:space="preserve">Metric profiles at default parameters (|Z| = 12, N = 1,000, 400 runs). Mean (SD). Reference values: C₂ = .083 under uniform response; R = .160 under the simulation’s independent-uniform two-attempt null; U = 0 under abstention-error independence.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Random</w:t>
            </w:r>
          </w:p>
        </w:tc>
        <w:tc>
          <w:tcPr/>
          <w:p>
            <w:pPr>
              <w:pStyle w:val="Compact"/>
              <w:jc w:val="left"/>
            </w:pPr>
            <w:r>
              <w:t xml:space="preserve">Class-Biased</w:t>
            </w:r>
          </w:p>
        </w:tc>
        <w:tc>
          <w:tcPr/>
          <w:p>
            <w:pPr>
              <w:pStyle w:val="Compact"/>
              <w:jc w:val="left"/>
            </w:pPr>
            <w:r>
              <w:t xml:space="preserve">Overprod.</w:t>
            </w:r>
          </w:p>
        </w:tc>
        <w:tc>
          <w:tcPr/>
          <w:p>
            <w:pPr>
              <w:pStyle w:val="Compact"/>
              <w:jc w:val="left"/>
            </w:pPr>
            <w:r>
              <w:t xml:space="preserve">Memorizer</w:t>
            </w:r>
          </w:p>
        </w:tc>
        <w:tc>
          <w:tcPr/>
          <w:p>
            <w:pPr>
              <w:pStyle w:val="Compact"/>
              <w:jc w:val="left"/>
            </w:pPr>
            <w:r>
              <w:t xml:space="preserve">Compos.</w:t>
            </w:r>
          </w:p>
        </w:tc>
      </w:tr>
      <w:tr>
        <w:tc>
          <w:tcPr/>
          <w:p>
            <w:pPr>
              <w:pStyle w:val="Compact"/>
              <w:jc w:val="left"/>
            </w:pPr>
            <w:r>
              <w:t xml:space="preserve">Base accuracy</w:t>
            </w:r>
          </w:p>
        </w:tc>
        <w:tc>
          <w:tcPr/>
          <w:p>
            <w:pPr>
              <w:pStyle w:val="Compact"/>
              <w:jc w:val="left"/>
            </w:pPr>
            <w:r>
              <w:t xml:space="preserve">0.083 (0.012)</w:t>
            </w:r>
          </w:p>
        </w:tc>
        <w:tc>
          <w:tcPr/>
          <w:p>
            <w:pPr>
              <w:pStyle w:val="Compact"/>
              <w:jc w:val="left"/>
            </w:pPr>
            <w:r>
              <w:t xml:space="preserve">0.287 (0.020)</w:t>
            </w:r>
          </w:p>
        </w:tc>
        <w:tc>
          <w:tcPr/>
          <w:p>
            <w:pPr>
              <w:pStyle w:val="Compact"/>
              <w:jc w:val="left"/>
            </w:pPr>
            <w:r>
              <w:t xml:space="preserve">0.314 (0.021)</w:t>
            </w:r>
          </w:p>
        </w:tc>
        <w:tc>
          <w:tcPr/>
          <w:p>
            <w:pPr>
              <w:pStyle w:val="Compact"/>
              <w:jc w:val="left"/>
            </w:pPr>
            <w:r>
              <w:t xml:space="preserve">0.850 (0.016)</w:t>
            </w:r>
          </w:p>
        </w:tc>
        <w:tc>
          <w:tcPr/>
          <w:p>
            <w:pPr>
              <w:pStyle w:val="Compact"/>
              <w:jc w:val="left"/>
            </w:pPr>
            <w:r>
              <w:t xml:space="preserve">0.850 (0.016)</w:t>
            </w:r>
          </w:p>
        </w:tc>
      </w:tr>
      <w:tr>
        <w:tc>
          <w:tcPr/>
          <w:p>
            <w:pPr>
              <w:pStyle w:val="Compact"/>
              <w:jc w:val="left"/>
            </w:pPr>
            <w:r>
              <w:t xml:space="preserve">MI (bits)</w:t>
            </w:r>
          </w:p>
        </w:tc>
        <w:tc>
          <w:tcPr/>
          <w:p>
            <w:pPr>
              <w:pStyle w:val="Compact"/>
              <w:jc w:val="left"/>
            </w:pPr>
            <w:r>
              <w:t xml:space="preserve">0.027 (0.027)</w:t>
            </w:r>
          </w:p>
        </w:tc>
        <w:tc>
          <w:tcPr/>
          <w:p>
            <w:pPr>
              <w:pStyle w:val="Compact"/>
              <w:jc w:val="left"/>
            </w:pPr>
            <w:r>
              <w:t xml:space="preserve">0.638 (0.062)</w:t>
            </w:r>
          </w:p>
        </w:tc>
        <w:tc>
          <w:tcPr/>
          <w:p>
            <w:pPr>
              <w:pStyle w:val="Compact"/>
              <w:jc w:val="left"/>
            </w:pPr>
            <w:r>
              <w:t xml:space="preserve">0.768 (0.071)</w:t>
            </w:r>
          </w:p>
        </w:tc>
        <w:tc>
          <w:tcPr/>
          <w:p>
            <w:pPr>
              <w:pStyle w:val="Compact"/>
              <w:jc w:val="left"/>
            </w:pPr>
            <w:r>
              <w:t xml:space="preserve">2.572 (0.096)</w:t>
            </w:r>
          </w:p>
        </w:tc>
        <w:tc>
          <w:tcPr/>
          <w:p>
            <w:pPr>
              <w:pStyle w:val="Compact"/>
              <w:jc w:val="left"/>
            </w:pPr>
            <w:r>
              <w:t xml:space="preserve">2.572 (0.096)</w:t>
            </w:r>
          </w:p>
        </w:tc>
      </w:tr>
      <w:tr>
        <w:tc>
          <w:tcPr/>
          <w:p>
            <w:pPr>
              <w:pStyle w:val="Compact"/>
              <w:jc w:val="left"/>
            </w:pPr>
            <w:r>
              <w:t xml:space="preserve">B_min (bpm)</w:t>
            </w:r>
          </w:p>
        </w:tc>
        <w:tc>
          <w:tcPr/>
          <w:p>
            <w:pPr>
              <w:pStyle w:val="Compact"/>
              <w:jc w:val="left"/>
            </w:pPr>
            <w:r>
              <w:t xml:space="preserve">0.050 (0.049)</w:t>
            </w:r>
          </w:p>
        </w:tc>
        <w:tc>
          <w:tcPr/>
          <w:p>
            <w:pPr>
              <w:pStyle w:val="Compact"/>
              <w:jc w:val="left"/>
            </w:pPr>
            <w:r>
              <w:t xml:space="preserve">1.178 (0.116)</w:t>
            </w:r>
          </w:p>
        </w:tc>
        <w:tc>
          <w:tcPr/>
          <w:p>
            <w:pPr>
              <w:pStyle w:val="Compact"/>
              <w:jc w:val="left"/>
            </w:pPr>
            <w:r>
              <w:t xml:space="preserve">1.418 (0.134)</w:t>
            </w:r>
          </w:p>
        </w:tc>
        <w:tc>
          <w:tcPr/>
          <w:p>
            <w:pPr>
              <w:pStyle w:val="Compact"/>
              <w:jc w:val="left"/>
            </w:pPr>
            <w:r>
              <w:t xml:space="preserve">4.748 (0.199)</w:t>
            </w:r>
          </w:p>
        </w:tc>
        <w:tc>
          <w:tcPr/>
          <w:p>
            <w:pPr>
              <w:pStyle w:val="Compact"/>
              <w:jc w:val="left"/>
            </w:pPr>
            <w:r>
              <w:t xml:space="preserve">4.748 (0.199)</w:t>
            </w:r>
          </w:p>
        </w:tc>
      </w:tr>
      <w:tr>
        <w:tc>
          <w:tcPr/>
          <w:p>
            <w:pPr>
              <w:pStyle w:val="Compact"/>
              <w:jc w:val="left"/>
            </w:pPr>
            <w:r>
              <w:t xml:space="preserve">V_eff(0.60)</w:t>
            </w:r>
          </w:p>
        </w:tc>
        <w:tc>
          <w:tcPr/>
          <w:p>
            <w:pPr>
              <w:pStyle w:val="Compact"/>
              <w:jc w:val="left"/>
            </w:pPr>
            <w:r>
              <w:t xml:space="preserve">0.00 (0.00)</w:t>
            </w:r>
          </w:p>
        </w:tc>
        <w:tc>
          <w:tcPr/>
          <w:p>
            <w:pPr>
              <w:pStyle w:val="Compact"/>
              <w:jc w:val="left"/>
            </w:pPr>
            <w:r>
              <w:t xml:space="preserve">2.71 (0.50)</w:t>
            </w:r>
          </w:p>
        </w:tc>
        <w:tc>
          <w:tcPr/>
          <w:p>
            <w:pPr>
              <w:pStyle w:val="Compact"/>
              <w:jc w:val="left"/>
            </w:pPr>
            <w:r>
              <w:t xml:space="preserve">0.04 (0.20)</w:t>
            </w:r>
          </w:p>
        </w:tc>
        <w:tc>
          <w:tcPr/>
          <w:p>
            <w:pPr>
              <w:pStyle w:val="Compact"/>
              <w:jc w:val="left"/>
            </w:pPr>
            <w:r>
              <w:t xml:space="preserve">11.79 (0.47)</w:t>
            </w:r>
          </w:p>
        </w:tc>
        <w:tc>
          <w:tcPr/>
          <w:p>
            <w:pPr>
              <w:pStyle w:val="Compact"/>
              <w:jc w:val="left"/>
            </w:pPr>
            <w:r>
              <w:t xml:space="preserve">11.79 (0.47)</w:t>
            </w:r>
          </w:p>
        </w:tc>
      </w:tr>
      <w:tr>
        <w:tc>
          <w:tcPr/>
          <w:p>
            <w:pPr>
              <w:pStyle w:val="Compact"/>
              <w:jc w:val="left"/>
            </w:pPr>
            <w:r>
              <w:t xml:space="preserve">V_eff(0.80)</w:t>
            </w:r>
          </w:p>
        </w:tc>
        <w:tc>
          <w:tcPr/>
          <w:p>
            <w:pPr>
              <w:pStyle w:val="Compact"/>
              <w:jc w:val="left"/>
            </w:pPr>
            <w:r>
              <w:t xml:space="preserve">0.00 (0.00)</w:t>
            </w:r>
          </w:p>
        </w:tc>
        <w:tc>
          <w:tcPr/>
          <w:p>
            <w:pPr>
              <w:pStyle w:val="Compact"/>
              <w:jc w:val="left"/>
            </w:pPr>
            <w:r>
              <w:t xml:space="preserve">0.01 (0.11)</w:t>
            </w:r>
          </w:p>
        </w:tc>
        <w:tc>
          <w:tcPr/>
          <w:p>
            <w:pPr>
              <w:pStyle w:val="Compact"/>
              <w:jc w:val="left"/>
            </w:pPr>
            <w:r>
              <w:t xml:space="preserve">0.00 (0.00)</w:t>
            </w:r>
          </w:p>
        </w:tc>
        <w:tc>
          <w:tcPr/>
          <w:p>
            <w:pPr>
              <w:pStyle w:val="Compact"/>
              <w:jc w:val="left"/>
            </w:pPr>
            <w:r>
              <w:t xml:space="preserve">10.44 (1.27)</w:t>
            </w:r>
          </w:p>
        </w:tc>
        <w:tc>
          <w:tcPr/>
          <w:p>
            <w:pPr>
              <w:pStyle w:val="Compact"/>
              <w:jc w:val="left"/>
            </w:pPr>
            <w:r>
              <w:t xml:space="preserve">10.44 (1.27)</w:t>
            </w:r>
          </w:p>
        </w:tc>
      </w:tr>
      <w:tr>
        <w:tc>
          <w:tcPr/>
          <w:p>
            <w:pPr>
              <w:pStyle w:val="Compact"/>
              <w:jc w:val="left"/>
            </w:pPr>
            <w:r>
              <w:t xml:space="preserve">C₂</w:t>
            </w:r>
          </w:p>
        </w:tc>
        <w:tc>
          <w:tcPr/>
          <w:p>
            <w:pPr>
              <w:pStyle w:val="Compact"/>
              <w:jc w:val="left"/>
            </w:pPr>
            <w:r>
              <w:t xml:space="preserve">0.083 (0.031)</w:t>
            </w:r>
          </w:p>
        </w:tc>
        <w:tc>
          <w:tcPr/>
          <w:p>
            <w:pPr>
              <w:pStyle w:val="Compact"/>
              <w:jc w:val="left"/>
            </w:pPr>
            <w:r>
              <w:t xml:space="preserve">0.082 (0.032)</w:t>
            </w:r>
          </w:p>
        </w:tc>
        <w:tc>
          <w:tcPr/>
          <w:p>
            <w:pPr>
              <w:pStyle w:val="Compact"/>
              <w:jc w:val="left"/>
            </w:pPr>
            <w:r>
              <w:t xml:space="preserve">0.084 (0.032)</w:t>
            </w:r>
          </w:p>
        </w:tc>
        <w:tc>
          <w:tcPr/>
          <w:p>
            <w:pPr>
              <w:pStyle w:val="Compact"/>
              <w:jc w:val="left"/>
            </w:pPr>
            <w:r>
              <w:t xml:space="preserve">0.082 (0.030)</w:t>
            </w:r>
          </w:p>
        </w:tc>
        <w:tc>
          <w:tcPr/>
          <w:p>
            <w:pPr>
              <w:pStyle w:val="Compact"/>
              <w:jc w:val="left"/>
            </w:pPr>
            <w:r>
              <w:t xml:space="preserve">0.856 (0.042)</w:t>
            </w:r>
          </w:p>
        </w:tc>
      </w:tr>
      <w:tr>
        <w:tc>
          <w:tcPr/>
          <w:p>
            <w:pPr>
              <w:pStyle w:val="Compact"/>
              <w:jc w:val="left"/>
            </w:pPr>
            <w:r>
              <w:t xml:space="preserve">R</w:t>
            </w:r>
          </w:p>
        </w:tc>
        <w:tc>
          <w:tcPr/>
          <w:p>
            <w:pPr>
              <w:pStyle w:val="Compact"/>
              <w:jc w:val="left"/>
            </w:pPr>
            <w:r>
              <w:t xml:space="preserve">0.161 (0.026)</w:t>
            </w:r>
          </w:p>
        </w:tc>
        <w:tc>
          <w:tcPr/>
          <w:p>
            <w:pPr>
              <w:pStyle w:val="Compact"/>
              <w:jc w:val="left"/>
            </w:pPr>
            <w:r>
              <w:t xml:space="preserve">0.160 (0.026)</w:t>
            </w:r>
          </w:p>
        </w:tc>
        <w:tc>
          <w:tcPr/>
          <w:p>
            <w:pPr>
              <w:pStyle w:val="Compact"/>
              <w:jc w:val="left"/>
            </w:pPr>
            <w:r>
              <w:t xml:space="preserve">0.160 (0.026)</w:t>
            </w:r>
          </w:p>
        </w:tc>
        <w:tc>
          <w:tcPr/>
          <w:p>
            <w:pPr>
              <w:pStyle w:val="Compact"/>
              <w:jc w:val="left"/>
            </w:pPr>
            <w:r>
              <w:t xml:space="preserve">0.161 (0.026)</w:t>
            </w:r>
          </w:p>
        </w:tc>
        <w:tc>
          <w:tcPr/>
          <w:p>
            <w:pPr>
              <w:pStyle w:val="Compact"/>
              <w:jc w:val="left"/>
            </w:pPr>
            <w:r>
              <w:t xml:space="preserve">0.350 (0.034)</w:t>
            </w:r>
          </w:p>
        </w:tc>
      </w:tr>
      <w:tr>
        <w:tc>
          <w:tcPr/>
          <w:p>
            <w:pPr>
              <w:pStyle w:val="Compact"/>
              <w:jc w:val="left"/>
            </w:pPr>
            <w:r>
              <w:t xml:space="preserve">U</w:t>
            </w:r>
          </w:p>
        </w:tc>
        <w:tc>
          <w:tcPr/>
          <w:p>
            <w:pPr>
              <w:pStyle w:val="Compact"/>
              <w:jc w:val="left"/>
            </w:pPr>
            <w:r>
              <w:t xml:space="preserve">0.002 (0.075)</w:t>
            </w:r>
          </w:p>
        </w:tc>
        <w:tc>
          <w:tcPr/>
          <w:p>
            <w:pPr>
              <w:pStyle w:val="Compact"/>
              <w:jc w:val="left"/>
            </w:pPr>
            <w:r>
              <w:t xml:space="preserve">0.000 (0.000)</w:t>
            </w:r>
          </w:p>
        </w:tc>
        <w:tc>
          <w:tcPr/>
          <w:p>
            <w:pPr>
              <w:pStyle w:val="Compact"/>
              <w:jc w:val="left"/>
            </w:pPr>
            <w:r>
              <w:t xml:space="preserve">0.000 (0.000)</w:t>
            </w:r>
          </w:p>
        </w:tc>
        <w:tc>
          <w:tcPr/>
          <w:p>
            <w:pPr>
              <w:pStyle w:val="Compact"/>
              <w:jc w:val="left"/>
            </w:pPr>
            <w:r>
              <w:t xml:space="preserve">0.000 (0.000)</w:t>
            </w:r>
          </w:p>
        </w:tc>
        <w:tc>
          <w:tcPr/>
          <w:p>
            <w:pPr>
              <w:pStyle w:val="Compact"/>
              <w:jc w:val="left"/>
            </w:pPr>
            <w:r>
              <w:t xml:space="preserve">0.217 (0.132)</w:t>
            </w:r>
          </w:p>
        </w:tc>
      </w:tr>
    </w:tbl>
    <w:p>
      <w:pPr>
        <w:pStyle w:val="BodyText"/>
      </w:pPr>
      <w:r>
        <w:t xml:space="preserve">The Memorizer and Compositional agents are exactly equal on every realized base-channel quantity by construction and are separated by 0.77 on C₂, 0.19 on R, and 0.22 on U (Figure 1). The three counterexamples reproduce with the same architecture (Table S2): CE1 has MI 2.90 bits and C₂ 0.081; CE2 has C₂ 0.849 and R 0.160; CE3 has R 0.351 and U 0.000.</w:t>
      </w:r>
    </w:p>
    <w:bookmarkEnd w:id="44"/>
    <w:bookmarkStart w:id="45" w:name="results-null-model-validation"/>
    <w:p>
      <w:pPr>
        <w:pStyle w:val="Heading3"/>
      </w:pPr>
      <w:r>
        <w:t xml:space="preserve">5.6 Results: null-model validation</w:t>
      </w:r>
    </w:p>
    <w:p>
      <w:pPr>
        <w:pStyle w:val="FirstParagraph"/>
      </w:pPr>
      <w:r>
        <w:rPr>
          <w:b/>
          <w:bCs/>
        </w:rPr>
        <w:t xml:space="preserve">Class-Biased under imbalance.</w:t>
      </w:r>
      <w:r>
        <w:t xml:space="preserve"> </w:t>
      </w:r>
      <w:r>
        <w:t xml:space="preserve">As the Zipf exponent rises from 0 to 1.5, base accuracy rises from 0.287 to 0.700 (0.565 at s = 1, matching the analytic value 0.566 under the response rule) while MI rises only from 0.64 to 1.19 bits and V_eff(0.60) approaches 3 — the three favored intents — as imbalance increases (Table S3). Accuracy rewards the strategy; MI and V_eff identify it as three-intent communication.</w:t>
      </w:r>
    </w:p>
    <w:p>
      <w:pPr>
        <w:pStyle w:val="BodyText"/>
      </w:pPr>
      <w:r>
        <w:rPr>
          <w:b/>
          <w:bCs/>
        </w:rPr>
        <w:t xml:space="preserve">Overproduction under imbalance.</w:t>
      </w:r>
      <w:r>
        <w:t xml:space="preserve"> </w:t>
      </w:r>
      <w:r>
        <w:t xml:space="preserve">Accuracy rises from 0.314 to 0.596 as s rises to 1.5 while MI falls from 0.77 to 0.47 bits and V_eff(0.80) stays at 0. The metrics move in opposite directions from accuracy.</w:t>
      </w:r>
    </w:p>
    <w:p>
      <w:pPr>
        <w:pStyle w:val="BodyText"/>
      </w:pPr>
      <w:r>
        <w:rPr>
          <w:b/>
          <w:bCs/>
        </w:rPr>
        <w:t xml:space="preserve">Strategic randomization.</w:t>
      </w:r>
      <w:r>
        <w:t xml:space="preserve"> </w:t>
      </w:r>
      <w:r>
        <w:t xml:space="preserve">An agent correct with p = 0.70 whose every error is a cyclic-neighbor intent has base accuracy 0.699, MI 2.40 bits, V_eff(0.60) = 11.1 but V_eff(0.80) = 0.34, and C₂ and R at chance. Structured errors preserve MI while collapsing the high-threshold vocabulary count.</w:t>
      </w:r>
    </w:p>
    <w:bookmarkEnd w:id="45"/>
    <w:bookmarkStart w:id="46" w:name="statistical-power"/>
    <w:p>
      <w:pPr>
        <w:pStyle w:val="Heading3"/>
      </w:pPr>
      <w:r>
        <w:t xml:space="preserve">5.7 Statistical power</w:t>
      </w:r>
    </w:p>
    <w:p>
      <w:pPr>
        <w:pStyle w:val="FirstParagraph"/>
      </w:pPr>
      <w:r>
        <w:t xml:space="preserve">The original submission varied a single accuracy parameter while comparing programmed agent types; because those agents differ structurally, the quantity detected was agent identity rather than the nominal effect size. We now report power separately for each measure against an effect defined on that measure’s own scale, perturbing one parameter with all other channels held equal, indexed by the number of trials that feed the measure. Each cell uses 1,000 replications; every table includes the null row δ = 0 as an empirical size check; Wilson 95% intervals for every cell are in Supplementary Table S7. C₂, R, and U are tested with Fisher’s exact test (H₀: δ = 0, α = 0.05). B_min is tested by a two-sided system-label permutation test: complete base episodes are pooled, system labels are permuted, and the corrected B_min difference is recomputed. The count-matrix simulation draws each permuted allocation from the exact multivariate-hypergeometric distribution conditional on the pooled joint table; each replication uses 1,000 permutations and p = (b + 1)/(B + 1).</w:t>
      </w:r>
    </w:p>
    <w:p>
      <w:pPr>
        <w:pStyle w:val="BodyText"/>
      </w:pPr>
      <w:r>
        <w:rPr>
          <w:b/>
          <w:bCs/>
        </w:rPr>
        <w:t xml:space="preserve">Table 2a.</w:t>
      </w:r>
      <w:r>
        <w:t xml:space="preserve"> </w:t>
      </w:r>
      <w:r>
        <w:t xml:space="preserve">Detecting the presence of compositional generalization: memorizer at chance (1/12) versus an agent at 0.86 on held-out combinations, by held-out trials per system n_U.</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n_U</w:t>
            </w:r>
          </w:p>
        </w:tc>
        <w:tc>
          <w:tcPr/>
          <w:p>
            <w:pPr>
              <w:pStyle w:val="Compact"/>
              <w:jc w:val="left"/>
            </w:pPr>
            <w:r>
              <w:t xml:space="preserve">4</w:t>
            </w:r>
          </w:p>
        </w:tc>
        <w:tc>
          <w:tcPr/>
          <w:p>
            <w:pPr>
              <w:pStyle w:val="Compact"/>
              <w:jc w:val="left"/>
            </w:pPr>
            <w:r>
              <w:t xml:space="preserve">8</w:t>
            </w:r>
          </w:p>
        </w:tc>
        <w:tc>
          <w:tcPr/>
          <w:p>
            <w:pPr>
              <w:pStyle w:val="Compact"/>
              <w:jc w:val="left"/>
            </w:pPr>
            <w:r>
              <w:t xml:space="preserve">15</w:t>
            </w:r>
          </w:p>
        </w:tc>
        <w:tc>
          <w:tcPr/>
          <w:p>
            <w:pPr>
              <w:pStyle w:val="Compact"/>
              <w:jc w:val="left"/>
            </w:pPr>
            <w:r>
              <w:t xml:space="preserve">38</w:t>
            </w:r>
          </w:p>
        </w:tc>
        <w:tc>
          <w:tcPr/>
          <w:p>
            <w:pPr>
              <w:pStyle w:val="Compact"/>
              <w:jc w:val="left"/>
            </w:pPr>
            <w:r>
              <w:t xml:space="preserve">75</w:t>
            </w:r>
          </w:p>
        </w:tc>
        <w:tc>
          <w:tcPr/>
          <w:p>
            <w:pPr>
              <w:pStyle w:val="Compact"/>
              <w:jc w:val="left"/>
            </w:pPr>
            <w:r>
              <w:t xml:space="preserve">150</w:t>
            </w:r>
          </w:p>
        </w:tc>
      </w:tr>
      <w:tr>
        <w:tc>
          <w:tcPr/>
          <w:p>
            <w:pPr>
              <w:pStyle w:val="Compact"/>
              <w:jc w:val="left"/>
            </w:pPr>
            <w:r>
              <w:t xml:space="preserve">Implied total N</w:t>
            </w:r>
          </w:p>
        </w:tc>
        <w:tc>
          <w:tcPr/>
          <w:p>
            <w:pPr>
              <w:pStyle w:val="Compact"/>
              <w:jc w:val="left"/>
            </w:pPr>
            <w:r>
              <w:t xml:space="preserve">53</w:t>
            </w:r>
          </w:p>
        </w:tc>
        <w:tc>
          <w:tcPr/>
          <w:p>
            <w:pPr>
              <w:pStyle w:val="Compact"/>
              <w:jc w:val="left"/>
            </w:pPr>
            <w:r>
              <w:t xml:space="preserve">107</w:t>
            </w:r>
          </w:p>
        </w:tc>
        <w:tc>
          <w:tcPr/>
          <w:p>
            <w:pPr>
              <w:pStyle w:val="Compact"/>
              <w:jc w:val="left"/>
            </w:pPr>
            <w:r>
              <w:t xml:space="preserve">200</w:t>
            </w:r>
          </w:p>
        </w:tc>
        <w:tc>
          <w:tcPr/>
          <w:p>
            <w:pPr>
              <w:pStyle w:val="Compact"/>
              <w:jc w:val="left"/>
            </w:pPr>
            <w:r>
              <w:t xml:space="preserve">507</w:t>
            </w:r>
          </w:p>
        </w:tc>
        <w:tc>
          <w:tcPr/>
          <w:p>
            <w:pPr>
              <w:pStyle w:val="Compact"/>
              <w:jc w:val="left"/>
            </w:pPr>
            <w:r>
              <w:t xml:space="preserve">1,000</w:t>
            </w:r>
          </w:p>
        </w:tc>
        <w:tc>
          <w:tcPr/>
          <w:p>
            <w:pPr>
              <w:pStyle w:val="Compact"/>
              <w:jc w:val="left"/>
            </w:pPr>
            <w:r>
              <w:t xml:space="preserve">2,000</w:t>
            </w:r>
          </w:p>
        </w:tc>
      </w:tr>
      <w:tr>
        <w:tc>
          <w:tcPr/>
          <w:p>
            <w:pPr>
              <w:pStyle w:val="Compact"/>
              <w:jc w:val="left"/>
            </w:pPr>
            <w:r>
              <w:t xml:space="preserve">Power</w:t>
            </w:r>
          </w:p>
        </w:tc>
        <w:tc>
          <w:tcPr/>
          <w:p>
            <w:pPr>
              <w:pStyle w:val="Compact"/>
              <w:jc w:val="left"/>
            </w:pPr>
            <w:r>
              <w:t xml:space="preserve">0.38</w:t>
            </w:r>
          </w:p>
        </w:tc>
        <w:tc>
          <w:tcPr/>
          <w:p>
            <w:pPr>
              <w:pStyle w:val="Compact"/>
              <w:jc w:val="left"/>
            </w:pPr>
            <w:r>
              <w:t xml:space="preserve">0.90</w:t>
            </w:r>
          </w:p>
        </w:tc>
        <w:tc>
          <w:tcPr/>
          <w:p>
            <w:pPr>
              <w:pStyle w:val="Compact"/>
              <w:jc w:val="left"/>
            </w:pPr>
            <w:r>
              <w:t xml:space="preserve">0.99</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Table 2b.</w:t>
      </w:r>
      <w:r>
        <w:t xml:space="preserve"> </w:t>
      </w:r>
      <w:r>
        <w:t xml:space="preserve">Resolving degrees of compositional depth: baseline C₂ = 0.50 versus 0.50 + δ_C.</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δ_C  n_U</w:t>
            </w:r>
          </w:p>
        </w:tc>
        <w:tc>
          <w:tcPr/>
          <w:p>
            <w:pPr>
              <w:pStyle w:val="Compact"/>
              <w:jc w:val="left"/>
            </w:pPr>
            <w:r>
              <w:t xml:space="preserve">15</w:t>
            </w:r>
          </w:p>
        </w:tc>
        <w:tc>
          <w:tcPr/>
          <w:p>
            <w:pPr>
              <w:pStyle w:val="Compact"/>
              <w:jc w:val="left"/>
            </w:pPr>
            <w:r>
              <w:t xml:space="preserve">38</w:t>
            </w:r>
          </w:p>
        </w:tc>
        <w:tc>
          <w:tcPr/>
          <w:p>
            <w:pPr>
              <w:pStyle w:val="Compact"/>
              <w:jc w:val="left"/>
            </w:pPr>
            <w:r>
              <w:t xml:space="preserve">75</w:t>
            </w:r>
          </w:p>
        </w:tc>
        <w:tc>
          <w:tcPr/>
          <w:p>
            <w:pPr>
              <w:pStyle w:val="Compact"/>
              <w:jc w:val="left"/>
            </w:pPr>
            <w:r>
              <w:t xml:space="preserve">150</w:t>
            </w:r>
          </w:p>
        </w:tc>
        <w:tc>
          <w:tcPr/>
          <w:p>
            <w:pPr>
              <w:pStyle w:val="Compact"/>
              <w:jc w:val="left"/>
            </w:pPr>
            <w:r>
              <w:t xml:space="preserve">400</w:t>
            </w:r>
          </w:p>
        </w:tc>
        <w:tc>
          <w:tcPr/>
          <w:p>
            <w:pPr>
              <w:pStyle w:val="Compact"/>
              <w:jc w:val="left"/>
            </w:pPr>
            <w:r>
              <w:t xml:space="preserve">1,600</w:t>
            </w:r>
          </w:p>
        </w:tc>
      </w:tr>
      <w:tr>
        <w:tc>
          <w:tcPr/>
          <w:p>
            <w:pPr>
              <w:pStyle w:val="Compact"/>
              <w:jc w:val="left"/>
            </w:pPr>
            <w:r>
              <w:t xml:space="preserve">0 (size)</w:t>
            </w:r>
          </w:p>
        </w:tc>
        <w:tc>
          <w:tcPr/>
          <w:p>
            <w:pPr>
              <w:pStyle w:val="Compact"/>
              <w:jc w:val="left"/>
            </w:pPr>
            <w:r>
              <w:t xml:space="preserve">0.015</w:t>
            </w:r>
          </w:p>
        </w:tc>
        <w:tc>
          <w:tcPr/>
          <w:p>
            <w:pPr>
              <w:pStyle w:val="Compact"/>
              <w:jc w:val="left"/>
            </w:pPr>
            <w:r>
              <w:t xml:space="preserve">0.034</w:t>
            </w:r>
          </w:p>
        </w:tc>
        <w:tc>
          <w:tcPr/>
          <w:p>
            <w:pPr>
              <w:pStyle w:val="Compact"/>
              <w:jc w:val="left"/>
            </w:pPr>
            <w:r>
              <w:t xml:space="preserve">0.042</w:t>
            </w:r>
          </w:p>
        </w:tc>
        <w:tc>
          <w:tcPr/>
          <w:p>
            <w:pPr>
              <w:pStyle w:val="Compact"/>
              <w:jc w:val="left"/>
            </w:pPr>
            <w:r>
              <w:t xml:space="preserve">0.047</w:t>
            </w:r>
          </w:p>
        </w:tc>
        <w:tc>
          <w:tcPr/>
          <w:p>
            <w:pPr>
              <w:pStyle w:val="Compact"/>
              <w:jc w:val="left"/>
            </w:pPr>
            <w:r>
              <w:t xml:space="preserve">0.047</w:t>
            </w:r>
          </w:p>
        </w:tc>
        <w:tc>
          <w:tcPr/>
          <w:p>
            <w:pPr>
              <w:pStyle w:val="Compact"/>
              <w:jc w:val="left"/>
            </w:pPr>
            <w:r>
              <w:t xml:space="preserve">0.048</w:t>
            </w:r>
          </w:p>
        </w:tc>
      </w:tr>
      <w:tr>
        <w:tc>
          <w:tcPr/>
          <w:p>
            <w:pPr>
              <w:pStyle w:val="Compact"/>
              <w:jc w:val="left"/>
            </w:pPr>
            <w:r>
              <w:t xml:space="preserve">0.05</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0.25</w:t>
            </w:r>
          </w:p>
        </w:tc>
        <w:tc>
          <w:tcPr/>
          <w:p>
            <w:pPr>
              <w:pStyle w:val="Compact"/>
              <w:jc w:val="left"/>
            </w:pPr>
            <w:r>
              <w:t xml:space="preserve">0.79</w:t>
            </w:r>
          </w:p>
        </w:tc>
      </w:tr>
      <w:tr>
        <w:tc>
          <w:tcPr/>
          <w:p>
            <w:pPr>
              <w:pStyle w:val="Compact"/>
              <w:jc w:val="left"/>
            </w:pPr>
            <w:r>
              <w:t xml:space="preserve">0.10</w:t>
            </w:r>
          </w:p>
        </w:tc>
        <w:tc>
          <w:tcPr/>
          <w:p>
            <w:pPr>
              <w:pStyle w:val="Compact"/>
              <w:jc w:val="left"/>
            </w:pPr>
            <w:r>
              <w:t xml:space="preserve">0.03</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0.80</w:t>
            </w:r>
          </w:p>
        </w:tc>
        <w:tc>
          <w:tcPr/>
          <w:p>
            <w:pPr>
              <w:pStyle w:val="Compact"/>
              <w:jc w:val="left"/>
            </w:pPr>
            <w:r>
              <w:t xml:space="preserve">1.00</w:t>
            </w:r>
          </w:p>
        </w:tc>
      </w:tr>
      <w:tr>
        <w:tc>
          <w:tcPr/>
          <w:p>
            <w:pPr>
              <w:pStyle w:val="Compact"/>
              <w:jc w:val="left"/>
            </w:pPr>
            <w:r>
              <w:t xml:space="preserve">0.20</w:t>
            </w:r>
          </w:p>
        </w:tc>
        <w:tc>
          <w:tcPr/>
          <w:p>
            <w:pPr>
              <w:pStyle w:val="Compact"/>
              <w:jc w:val="left"/>
            </w:pPr>
            <w:r>
              <w:t xml:space="preserve">0.10</w:t>
            </w:r>
          </w:p>
        </w:tc>
        <w:tc>
          <w:tcPr/>
          <w:p>
            <w:pPr>
              <w:pStyle w:val="Compact"/>
              <w:jc w:val="left"/>
            </w:pPr>
            <w:r>
              <w:t xml:space="preserve">0.33</w:t>
            </w:r>
          </w:p>
        </w:tc>
        <w:tc>
          <w:tcPr/>
          <w:p>
            <w:pPr>
              <w:pStyle w:val="Compact"/>
              <w:jc w:val="left"/>
            </w:pPr>
            <w:r>
              <w:t xml:space="preserve">0.66</w:t>
            </w:r>
          </w:p>
        </w:tc>
        <w:tc>
          <w:tcPr/>
          <w:p>
            <w:pPr>
              <w:pStyle w:val="Compact"/>
              <w:jc w:val="left"/>
            </w:pPr>
            <w:r>
              <w:t xml:space="preserve">0.93</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0.40</w:t>
            </w:r>
          </w:p>
        </w:tc>
        <w:tc>
          <w:tcPr/>
          <w:p>
            <w:pPr>
              <w:pStyle w:val="Compact"/>
              <w:jc w:val="left"/>
            </w:pPr>
            <w:r>
              <w:t xml:space="preserve">0.55</w:t>
            </w:r>
          </w:p>
        </w:tc>
        <w:tc>
          <w:tcPr/>
          <w:p>
            <w:pPr>
              <w:pStyle w:val="Compact"/>
              <w:jc w:val="left"/>
            </w:pPr>
            <w:r>
              <w:t xml:space="preserve">0.97</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Table 2c.</w:t>
      </w:r>
      <w:r>
        <w:t xml:space="preserve"> </w:t>
      </w:r>
      <w:r>
        <w:t xml:space="preserve">Repair efficiency: baseline 0.160 versus 0.160 + δ_R, by induced-error trials per system n_R.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δ_R  n_R</w:t>
            </w:r>
          </w:p>
        </w:tc>
        <w:tc>
          <w:tcPr/>
          <w:p>
            <w:pPr>
              <w:pStyle w:val="Compact"/>
              <w:jc w:val="left"/>
            </w:pPr>
            <w:r>
              <w:t xml:space="preserve">20</w:t>
            </w:r>
          </w:p>
        </w:tc>
        <w:tc>
          <w:tcPr/>
          <w:p>
            <w:pPr>
              <w:pStyle w:val="Compact"/>
              <w:jc w:val="left"/>
            </w:pPr>
            <w:r>
              <w:t xml:space="preserve">40</w:t>
            </w:r>
          </w:p>
        </w:tc>
        <w:tc>
          <w:tcPr/>
          <w:p>
            <w:pPr>
              <w:pStyle w:val="Compact"/>
              <w:jc w:val="left"/>
            </w:pPr>
            <w:r>
              <w:t xml:space="preserve">100</w:t>
            </w:r>
          </w:p>
        </w:tc>
        <w:tc>
          <w:tcPr/>
          <w:p>
            <w:pPr>
              <w:pStyle w:val="Compact"/>
              <w:jc w:val="left"/>
            </w:pPr>
            <w:r>
              <w:t xml:space="preserve">200</w:t>
            </w:r>
          </w:p>
        </w:tc>
        <w:tc>
          <w:tcPr/>
          <w:p>
            <w:pPr>
              <w:pStyle w:val="Compact"/>
              <w:jc w:val="left"/>
            </w:pPr>
            <w:r>
              <w:t xml:space="preserve">400</w:t>
            </w:r>
          </w:p>
        </w:tc>
      </w:tr>
      <w:tr>
        <w:tc>
          <w:tcPr/>
          <w:p>
            <w:pPr>
              <w:pStyle w:val="Compact"/>
              <w:jc w:val="left"/>
            </w:pPr>
            <w:r>
              <w:t xml:space="preserve">0 (size)</w:t>
            </w:r>
          </w:p>
        </w:tc>
        <w:tc>
          <w:tcPr/>
          <w:p>
            <w:pPr>
              <w:pStyle w:val="Compact"/>
              <w:jc w:val="left"/>
            </w:pPr>
            <w:r>
              <w:t xml:space="preserve">0.021</w:t>
            </w:r>
          </w:p>
        </w:tc>
        <w:tc>
          <w:tcPr/>
          <w:p>
            <w:pPr>
              <w:pStyle w:val="Compact"/>
              <w:jc w:val="left"/>
            </w:pPr>
            <w:r>
              <w:t xml:space="preserve">0.028</w:t>
            </w:r>
          </w:p>
        </w:tc>
        <w:tc>
          <w:tcPr/>
          <w:p>
            <w:pPr>
              <w:pStyle w:val="Compact"/>
              <w:jc w:val="left"/>
            </w:pPr>
            <w:r>
              <w:t xml:space="preserve">0.038</w:t>
            </w:r>
          </w:p>
        </w:tc>
        <w:tc>
          <w:tcPr/>
          <w:p>
            <w:pPr>
              <w:pStyle w:val="Compact"/>
              <w:jc w:val="left"/>
            </w:pPr>
            <w:r>
              <w:t xml:space="preserve">0.047</w:t>
            </w:r>
          </w:p>
        </w:tc>
        <w:tc>
          <w:tcPr/>
          <w:p>
            <w:pPr>
              <w:pStyle w:val="Compact"/>
              <w:jc w:val="left"/>
            </w:pPr>
            <w:r>
              <w:t xml:space="preserve">0.035</w:t>
            </w:r>
          </w:p>
        </w:tc>
      </w:tr>
      <w:tr>
        <w:tc>
          <w:tcPr/>
          <w:p>
            <w:pPr>
              <w:pStyle w:val="Compact"/>
              <w:jc w:val="left"/>
            </w:pPr>
            <w:r>
              <w:t xml:space="preserve">0.05</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0.09</w:t>
            </w:r>
          </w:p>
        </w:tc>
        <w:tc>
          <w:tcPr/>
          <w:p>
            <w:pPr>
              <w:pStyle w:val="Compact"/>
              <w:jc w:val="left"/>
            </w:pPr>
            <w:r>
              <w:t xml:space="preserve">0.20</w:t>
            </w:r>
          </w:p>
        </w:tc>
        <w:tc>
          <w:tcPr/>
          <w:p>
            <w:pPr>
              <w:pStyle w:val="Compact"/>
              <w:jc w:val="left"/>
            </w:pPr>
            <w:r>
              <w:t xml:space="preserve">0.41</w:t>
            </w:r>
          </w:p>
        </w:tc>
      </w:tr>
      <w:tr>
        <w:tc>
          <w:tcPr/>
          <w:p>
            <w:pPr>
              <w:pStyle w:val="Compact"/>
              <w:jc w:val="left"/>
            </w:pPr>
            <w:r>
              <w:t xml:space="preserve">0.10</w:t>
            </w:r>
          </w:p>
        </w:tc>
        <w:tc>
          <w:tcPr/>
          <w:p>
            <w:pPr>
              <w:pStyle w:val="Compact"/>
              <w:jc w:val="left"/>
            </w:pPr>
            <w:r>
              <w:t xml:space="preserve">0.06</w:t>
            </w:r>
          </w:p>
        </w:tc>
        <w:tc>
          <w:tcPr/>
          <w:p>
            <w:pPr>
              <w:pStyle w:val="Compact"/>
              <w:jc w:val="left"/>
            </w:pPr>
            <w:r>
              <w:t xml:space="preserve">0.14</w:t>
            </w:r>
          </w:p>
        </w:tc>
        <w:tc>
          <w:tcPr/>
          <w:p>
            <w:pPr>
              <w:pStyle w:val="Compact"/>
              <w:jc w:val="left"/>
            </w:pPr>
            <w:r>
              <w:t xml:space="preserve">0.35</w:t>
            </w:r>
          </w:p>
        </w:tc>
        <w:tc>
          <w:tcPr/>
          <w:p>
            <w:pPr>
              <w:pStyle w:val="Compact"/>
              <w:jc w:val="left"/>
            </w:pPr>
            <w:r>
              <w:t xml:space="preserve">0.63</w:t>
            </w:r>
          </w:p>
        </w:tc>
        <w:tc>
          <w:tcPr/>
          <w:p>
            <w:pPr>
              <w:pStyle w:val="Compact"/>
              <w:jc w:val="left"/>
            </w:pPr>
            <w:r>
              <w:t xml:space="preserve">0.91</w:t>
            </w:r>
          </w:p>
        </w:tc>
      </w:tr>
      <w:tr>
        <w:tc>
          <w:tcPr/>
          <w:p>
            <w:pPr>
              <w:pStyle w:val="Compact"/>
              <w:jc w:val="left"/>
            </w:pPr>
            <w:r>
              <w:t xml:space="preserve">0.20</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0.88</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0.25</w:t>
            </w:r>
          </w:p>
        </w:tc>
        <w:tc>
          <w:tcPr/>
          <w:p>
            <w:pPr>
              <w:pStyle w:val="Compact"/>
              <w:jc w:val="left"/>
            </w:pPr>
            <w:r>
              <w:t xml:space="preserve">0.30</w:t>
            </w:r>
          </w:p>
        </w:tc>
        <w:tc>
          <w:tcPr/>
          <w:p>
            <w:pPr>
              <w:pStyle w:val="Compact"/>
              <w:jc w:val="left"/>
            </w:pPr>
            <w:r>
              <w:t xml:space="preserve">0.62</w:t>
            </w:r>
          </w:p>
        </w:tc>
        <w:tc>
          <w:tcPr/>
          <w:p>
            <w:pPr>
              <w:pStyle w:val="Compact"/>
              <w:jc w:val="left"/>
            </w:pPr>
            <w:r>
              <w:t xml:space="preserve">0.97</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Table 2d.</w:t>
      </w:r>
      <w:r>
        <w:t xml:space="preserve"> </w:t>
      </w:r>
      <w:r>
        <w:t xml:space="preserve">Uncertainty selectivity: abstention 0.10 on non-error trials versus 0.10 + δ_U on error trials, error fraction π_e = 0.20, by uncertainty trial count n_A. (π_e = 0.10 and 0.35 in Table S7.)</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δ_U  n_A</w:t>
            </w:r>
          </w:p>
        </w:tc>
        <w:tc>
          <w:tcPr/>
          <w:p>
            <w:pPr>
              <w:pStyle w:val="Compact"/>
              <w:jc w:val="left"/>
            </w:pPr>
            <w:r>
              <w:t xml:space="preserve">100</w:t>
            </w:r>
          </w:p>
        </w:tc>
        <w:tc>
          <w:tcPr/>
          <w:p>
            <w:pPr>
              <w:pStyle w:val="Compact"/>
              <w:jc w:val="left"/>
            </w:pPr>
            <w:r>
              <w:t xml:space="preserve">200</w:t>
            </w:r>
          </w:p>
        </w:tc>
        <w:tc>
          <w:tcPr/>
          <w:p>
            <w:pPr>
              <w:pStyle w:val="Compact"/>
              <w:jc w:val="left"/>
            </w:pPr>
            <w:r>
              <w:t xml:space="preserve">500</w:t>
            </w:r>
          </w:p>
        </w:tc>
        <w:tc>
          <w:tcPr/>
          <w:p>
            <w:pPr>
              <w:pStyle w:val="Compact"/>
              <w:jc w:val="left"/>
            </w:pPr>
            <w:r>
              <w:t xml:space="preserve">1,000</w:t>
            </w:r>
          </w:p>
        </w:tc>
      </w:tr>
      <w:tr>
        <w:tc>
          <w:tcPr/>
          <w:p>
            <w:pPr>
              <w:pStyle w:val="Compact"/>
              <w:jc w:val="left"/>
            </w:pPr>
            <w:r>
              <w:t xml:space="preserve">0 (size)</w:t>
            </w:r>
          </w:p>
        </w:tc>
        <w:tc>
          <w:tcPr/>
          <w:p>
            <w:pPr>
              <w:pStyle w:val="Compact"/>
              <w:jc w:val="left"/>
            </w:pPr>
            <w:r>
              <w:t xml:space="preserve">0.017</w:t>
            </w:r>
          </w:p>
        </w:tc>
        <w:tc>
          <w:tcPr/>
          <w:p>
            <w:pPr>
              <w:pStyle w:val="Compact"/>
              <w:jc w:val="left"/>
            </w:pPr>
            <w:r>
              <w:t xml:space="preserve">0.038</w:t>
            </w:r>
          </w:p>
        </w:tc>
        <w:tc>
          <w:tcPr/>
          <w:p>
            <w:pPr>
              <w:pStyle w:val="Compact"/>
              <w:jc w:val="left"/>
            </w:pPr>
            <w:r>
              <w:t xml:space="preserve">0.043</w:t>
            </w:r>
          </w:p>
        </w:tc>
        <w:tc>
          <w:tcPr/>
          <w:p>
            <w:pPr>
              <w:pStyle w:val="Compact"/>
              <w:jc w:val="left"/>
            </w:pPr>
            <w:r>
              <w:t xml:space="preserve">0.031</w:t>
            </w:r>
          </w:p>
        </w:tc>
      </w:tr>
      <w:tr>
        <w:tc>
          <w:tcPr/>
          <w:p>
            <w:pPr>
              <w:pStyle w:val="Compact"/>
              <w:jc w:val="left"/>
            </w:pPr>
            <w:r>
              <w:t xml:space="preserve">0.10</w:t>
            </w:r>
          </w:p>
        </w:tc>
        <w:tc>
          <w:tcPr/>
          <w:p>
            <w:pPr>
              <w:pStyle w:val="Compact"/>
              <w:jc w:val="left"/>
            </w:pPr>
            <w:r>
              <w:t xml:space="preserve">0.21</w:t>
            </w:r>
          </w:p>
        </w:tc>
        <w:tc>
          <w:tcPr/>
          <w:p>
            <w:pPr>
              <w:pStyle w:val="Compact"/>
              <w:jc w:val="left"/>
            </w:pPr>
            <w:r>
              <w:t xml:space="preserve">0.36</w:t>
            </w:r>
          </w:p>
        </w:tc>
        <w:tc>
          <w:tcPr/>
          <w:p>
            <w:pPr>
              <w:pStyle w:val="Compact"/>
              <w:jc w:val="left"/>
            </w:pPr>
            <w:r>
              <w:t xml:space="preserve">0.73</w:t>
            </w:r>
          </w:p>
        </w:tc>
        <w:tc>
          <w:tcPr/>
          <w:p>
            <w:pPr>
              <w:pStyle w:val="Compact"/>
              <w:jc w:val="left"/>
            </w:pPr>
            <w:r>
              <w:t xml:space="preserve">0.95</w:t>
            </w:r>
          </w:p>
        </w:tc>
      </w:tr>
      <w:tr>
        <w:tc>
          <w:tcPr/>
          <w:p>
            <w:pPr>
              <w:pStyle w:val="Compact"/>
              <w:jc w:val="left"/>
            </w:pPr>
            <w:r>
              <w:t xml:space="preserve">0.20</w:t>
            </w:r>
          </w:p>
        </w:tc>
        <w:tc>
          <w:tcPr/>
          <w:p>
            <w:pPr>
              <w:pStyle w:val="Compact"/>
              <w:jc w:val="left"/>
            </w:pPr>
            <w:r>
              <w:t xml:space="preserve">0.57</w:t>
            </w:r>
          </w:p>
        </w:tc>
        <w:tc>
          <w:tcPr/>
          <w:p>
            <w:pPr>
              <w:pStyle w:val="Compact"/>
              <w:jc w:val="left"/>
            </w:pPr>
            <w:r>
              <w:t xml:space="preserve">0.81</w:t>
            </w:r>
          </w:p>
        </w:tc>
        <w:tc>
          <w:tcPr/>
          <w:p>
            <w:pPr>
              <w:pStyle w:val="Compact"/>
              <w:jc w:val="left"/>
            </w:pPr>
            <w:r>
              <w:t xml:space="preserve">0.99</w:t>
            </w:r>
          </w:p>
        </w:tc>
        <w:tc>
          <w:tcPr/>
          <w:p>
            <w:pPr>
              <w:pStyle w:val="Compact"/>
              <w:jc w:val="left"/>
            </w:pPr>
            <w:r>
              <w:t xml:space="preserve">1.00</w:t>
            </w:r>
          </w:p>
        </w:tc>
      </w:tr>
      <w:tr>
        <w:tc>
          <w:tcPr/>
          <w:p>
            <w:pPr>
              <w:pStyle w:val="Compact"/>
              <w:jc w:val="left"/>
            </w:pPr>
            <w:r>
              <w:t xml:space="preserve">0.30</w:t>
            </w:r>
          </w:p>
        </w:tc>
        <w:tc>
          <w:tcPr/>
          <w:p>
            <w:pPr>
              <w:pStyle w:val="Compact"/>
              <w:jc w:val="left"/>
            </w:pPr>
            <w:r>
              <w:t xml:space="preserve">0.86</w:t>
            </w:r>
          </w:p>
        </w:tc>
        <w:tc>
          <w:tcPr/>
          <w:p>
            <w:pPr>
              <w:pStyle w:val="Compact"/>
              <w:jc w:val="left"/>
            </w:pPr>
            <w:r>
              <w:t xml:space="preserve">0.99</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0.40</w:t>
            </w:r>
          </w:p>
        </w:tc>
        <w:tc>
          <w:tcPr/>
          <w:p>
            <w:pPr>
              <w:pStyle w:val="Compact"/>
              <w:jc w:val="left"/>
            </w:pPr>
            <w:r>
              <w:t xml:space="preserve">0.96</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Table 2e.</w:t>
      </w:r>
      <w:r>
        <w:t xml:space="preserve"> </w:t>
      </w:r>
      <w:r>
        <w:t xml:space="preserve">Information rate: base accuracy 0.85 versus 0.85 + Δp, |Z| = 12, by base trials per system n_S. Population ΔB_min is shown in bits/min for mean cycle 0.5 min.</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Δp  n_S</w:t>
            </w:r>
          </w:p>
        </w:tc>
        <w:tc>
          <w:tcPr/>
          <w:p>
            <w:pPr>
              <w:pStyle w:val="Compact"/>
              <w:jc w:val="right"/>
            </w:pPr>
            <w:r>
              <w:t xml:space="preserve">ΔB_min</w:t>
            </w:r>
          </w:p>
        </w:tc>
        <w:tc>
          <w:tcPr/>
          <w:p>
            <w:pPr>
              <w:pStyle w:val="Compact"/>
              <w:jc w:val="left"/>
            </w:pPr>
            <w:r>
              <w:t xml:space="preserve">100</w:t>
            </w:r>
          </w:p>
        </w:tc>
        <w:tc>
          <w:tcPr/>
          <w:p>
            <w:pPr>
              <w:pStyle w:val="Compact"/>
              <w:jc w:val="left"/>
            </w:pPr>
            <w:r>
              <w:t xml:space="preserve">200</w:t>
            </w:r>
          </w:p>
        </w:tc>
        <w:tc>
          <w:tcPr/>
          <w:p>
            <w:pPr>
              <w:pStyle w:val="Compact"/>
              <w:jc w:val="left"/>
            </w:pPr>
            <w:r>
              <w:t xml:space="preserve">500</w:t>
            </w:r>
          </w:p>
        </w:tc>
        <w:tc>
          <w:tcPr/>
          <w:p>
            <w:pPr>
              <w:pStyle w:val="Compact"/>
              <w:jc w:val="left"/>
            </w:pPr>
            <w:r>
              <w:t xml:space="preserve">750</w:t>
            </w:r>
          </w:p>
        </w:tc>
        <w:tc>
          <w:tcPr/>
          <w:p>
            <w:pPr>
              <w:pStyle w:val="Compact"/>
              <w:jc w:val="left"/>
            </w:pPr>
            <w:r>
              <w:t xml:space="preserve">1,000</w:t>
            </w:r>
          </w:p>
        </w:tc>
        <w:tc>
          <w:tcPr/>
          <w:p>
            <w:pPr>
              <w:pStyle w:val="Compact"/>
              <w:jc w:val="left"/>
            </w:pPr>
            <w:r>
              <w:t xml:space="preserve">2,000</w:t>
            </w:r>
          </w:p>
        </w:tc>
      </w:tr>
      <w:tr>
        <w:tc>
          <w:tcPr/>
          <w:p>
            <w:pPr>
              <w:pStyle w:val="Compact"/>
              <w:jc w:val="left"/>
            </w:pPr>
            <w:r>
              <w:t xml:space="preserve">0 (size)</w:t>
            </w:r>
          </w:p>
        </w:tc>
        <w:tc>
          <w:tcPr/>
          <w:p>
            <w:pPr>
              <w:pStyle w:val="Compact"/>
              <w:jc w:val="right"/>
            </w:pPr>
            <w:r>
              <w:t xml:space="preserve">0.000</w:t>
            </w:r>
          </w:p>
        </w:tc>
        <w:tc>
          <w:tcPr/>
          <w:p>
            <w:pPr>
              <w:pStyle w:val="Compact"/>
              <w:jc w:val="left"/>
            </w:pPr>
            <w:r>
              <w:t xml:space="preserve">0.050</w:t>
            </w:r>
          </w:p>
        </w:tc>
        <w:tc>
          <w:tcPr/>
          <w:p>
            <w:pPr>
              <w:pStyle w:val="Compact"/>
              <w:jc w:val="left"/>
            </w:pPr>
            <w:r>
              <w:t xml:space="preserve">0.039</w:t>
            </w:r>
          </w:p>
        </w:tc>
        <w:tc>
          <w:tcPr/>
          <w:p>
            <w:pPr>
              <w:pStyle w:val="Compact"/>
              <w:jc w:val="left"/>
            </w:pPr>
            <w:r>
              <w:t xml:space="preserve">0.044</w:t>
            </w:r>
          </w:p>
        </w:tc>
        <w:tc>
          <w:tcPr/>
          <w:p>
            <w:pPr>
              <w:pStyle w:val="Compact"/>
              <w:jc w:val="left"/>
            </w:pPr>
            <w:r>
              <w:t xml:space="preserve">0.057</w:t>
            </w:r>
          </w:p>
        </w:tc>
        <w:tc>
          <w:tcPr/>
          <w:p>
            <w:pPr>
              <w:pStyle w:val="Compact"/>
              <w:jc w:val="left"/>
            </w:pPr>
            <w:r>
              <w:t xml:space="preserve">0.052</w:t>
            </w:r>
          </w:p>
        </w:tc>
        <w:tc>
          <w:tcPr/>
          <w:p>
            <w:pPr>
              <w:pStyle w:val="Compact"/>
              <w:jc w:val="left"/>
            </w:pPr>
            <w:r>
              <w:t xml:space="preserve">0.047</w:t>
            </w:r>
          </w:p>
        </w:tc>
      </w:tr>
      <w:tr>
        <w:tc>
          <w:tcPr/>
          <w:p>
            <w:pPr>
              <w:pStyle w:val="Compact"/>
              <w:jc w:val="left"/>
            </w:pPr>
            <w:r>
              <w:t xml:space="preserve">0.01</w:t>
            </w:r>
          </w:p>
        </w:tc>
        <w:tc>
          <w:tcPr/>
          <w:p>
            <w:pPr>
              <w:pStyle w:val="Compact"/>
              <w:jc w:val="right"/>
            </w:pPr>
            <w:r>
              <w:t xml:space="preserve">0.120</w:t>
            </w:r>
          </w:p>
        </w:tc>
        <w:tc>
          <w:tcPr/>
          <w:p>
            <w:pPr>
              <w:pStyle w:val="Compact"/>
              <w:jc w:val="left"/>
            </w:pPr>
            <w:r>
              <w:t xml:space="preserve">0.047</w:t>
            </w:r>
          </w:p>
        </w:tc>
        <w:tc>
          <w:tcPr/>
          <w:p>
            <w:pPr>
              <w:pStyle w:val="Compact"/>
              <w:jc w:val="left"/>
            </w:pPr>
            <w:r>
              <w:t xml:space="preserve">0.060</w:t>
            </w:r>
          </w:p>
        </w:tc>
        <w:tc>
          <w:tcPr/>
          <w:p>
            <w:pPr>
              <w:pStyle w:val="Compact"/>
              <w:jc w:val="left"/>
            </w:pPr>
            <w:r>
              <w:t xml:space="preserve">0.071</w:t>
            </w:r>
          </w:p>
        </w:tc>
        <w:tc>
          <w:tcPr/>
          <w:p>
            <w:pPr>
              <w:pStyle w:val="Compact"/>
              <w:jc w:val="left"/>
            </w:pPr>
            <w:r>
              <w:t xml:space="preserve">0.081</w:t>
            </w:r>
          </w:p>
        </w:tc>
        <w:tc>
          <w:tcPr/>
          <w:p>
            <w:pPr>
              <w:pStyle w:val="Compact"/>
              <w:jc w:val="left"/>
            </w:pPr>
            <w:r>
              <w:t xml:space="preserve">0.086</w:t>
            </w:r>
          </w:p>
        </w:tc>
        <w:tc>
          <w:tcPr/>
          <w:p>
            <w:pPr>
              <w:pStyle w:val="Compact"/>
              <w:jc w:val="left"/>
            </w:pPr>
            <w:r>
              <w:t xml:space="preserve">0.130</w:t>
            </w:r>
          </w:p>
        </w:tc>
      </w:tr>
      <w:tr>
        <w:tc>
          <w:tcPr/>
          <w:p>
            <w:pPr>
              <w:pStyle w:val="Compact"/>
              <w:jc w:val="left"/>
            </w:pPr>
            <w:r>
              <w:t xml:space="preserve">0.03</w:t>
            </w:r>
          </w:p>
        </w:tc>
        <w:tc>
          <w:tcPr/>
          <w:p>
            <w:pPr>
              <w:pStyle w:val="Compact"/>
              <w:jc w:val="right"/>
            </w:pPr>
            <w:r>
              <w:t xml:space="preserve">0.369</w:t>
            </w:r>
          </w:p>
        </w:tc>
        <w:tc>
          <w:tcPr/>
          <w:p>
            <w:pPr>
              <w:pStyle w:val="Compact"/>
              <w:jc w:val="left"/>
            </w:pPr>
            <w:r>
              <w:t xml:space="preserve">0.107</w:t>
            </w:r>
          </w:p>
        </w:tc>
        <w:tc>
          <w:tcPr/>
          <w:p>
            <w:pPr>
              <w:pStyle w:val="Compact"/>
              <w:jc w:val="left"/>
            </w:pPr>
            <w:r>
              <w:t xml:space="preserve">0.126</w:t>
            </w:r>
          </w:p>
        </w:tc>
        <w:tc>
          <w:tcPr/>
          <w:p>
            <w:pPr>
              <w:pStyle w:val="Compact"/>
              <w:jc w:val="left"/>
            </w:pPr>
            <w:r>
              <w:t xml:space="preserve">0.289</w:t>
            </w:r>
          </w:p>
        </w:tc>
        <w:tc>
          <w:tcPr/>
          <w:p>
            <w:pPr>
              <w:pStyle w:val="Compact"/>
              <w:jc w:val="left"/>
            </w:pPr>
            <w:r>
              <w:t xml:space="preserve">0.365</w:t>
            </w:r>
          </w:p>
        </w:tc>
        <w:tc>
          <w:tcPr/>
          <w:p>
            <w:pPr>
              <w:pStyle w:val="Compact"/>
              <w:jc w:val="left"/>
            </w:pPr>
            <w:r>
              <w:t xml:space="preserve">0.488</w:t>
            </w:r>
          </w:p>
        </w:tc>
        <w:tc>
          <w:tcPr/>
          <w:p>
            <w:pPr>
              <w:pStyle w:val="Compact"/>
              <w:jc w:val="left"/>
            </w:pPr>
            <w:r>
              <w:t xml:space="preserve">0.798</w:t>
            </w:r>
          </w:p>
        </w:tc>
      </w:tr>
      <w:tr>
        <w:tc>
          <w:tcPr/>
          <w:p>
            <w:pPr>
              <w:pStyle w:val="Compact"/>
              <w:jc w:val="left"/>
            </w:pPr>
            <w:r>
              <w:t xml:space="preserve">0.05</w:t>
            </w:r>
          </w:p>
        </w:tc>
        <w:tc>
          <w:tcPr/>
          <w:p>
            <w:pPr>
              <w:pStyle w:val="Compact"/>
              <w:jc w:val="right"/>
            </w:pPr>
            <w:r>
              <w:t xml:space="preserve">0.628</w:t>
            </w:r>
          </w:p>
        </w:tc>
        <w:tc>
          <w:tcPr/>
          <w:p>
            <w:pPr>
              <w:pStyle w:val="Compact"/>
              <w:jc w:val="left"/>
            </w:pPr>
            <w:r>
              <w:t xml:space="preserve">0.155</w:t>
            </w:r>
          </w:p>
        </w:tc>
        <w:tc>
          <w:tcPr/>
          <w:p>
            <w:pPr>
              <w:pStyle w:val="Compact"/>
              <w:jc w:val="left"/>
            </w:pPr>
            <w:r>
              <w:t xml:space="preserve">0.310</w:t>
            </w:r>
          </w:p>
        </w:tc>
        <w:tc>
          <w:tcPr/>
          <w:p>
            <w:pPr>
              <w:pStyle w:val="Compact"/>
              <w:jc w:val="left"/>
            </w:pPr>
            <w:r>
              <w:t xml:space="preserve">0.665</w:t>
            </w:r>
          </w:p>
        </w:tc>
        <w:tc>
          <w:tcPr/>
          <w:p>
            <w:pPr>
              <w:pStyle w:val="Compact"/>
              <w:jc w:val="left"/>
            </w:pPr>
            <w:r>
              <w:t xml:space="preserve">0.823</w:t>
            </w:r>
          </w:p>
        </w:tc>
        <w:tc>
          <w:tcPr/>
          <w:p>
            <w:pPr>
              <w:pStyle w:val="Compact"/>
              <w:jc w:val="left"/>
            </w:pPr>
            <w:r>
              <w:t xml:space="preserve">0.929</w:t>
            </w:r>
          </w:p>
        </w:tc>
        <w:tc>
          <w:tcPr/>
          <w:p>
            <w:pPr>
              <w:pStyle w:val="Compact"/>
              <w:jc w:val="left"/>
            </w:pPr>
            <w:r>
              <w:t xml:space="preserve">1.000</w:t>
            </w:r>
          </w:p>
        </w:tc>
      </w:tr>
      <w:tr>
        <w:tc>
          <w:tcPr/>
          <w:p>
            <w:pPr>
              <w:pStyle w:val="Compact"/>
              <w:jc w:val="left"/>
            </w:pPr>
            <w:r>
              <w:t xml:space="preserve">0.10</w:t>
            </w:r>
          </w:p>
        </w:tc>
        <w:tc>
          <w:tcPr/>
          <w:p>
            <w:pPr>
              <w:pStyle w:val="Compact"/>
              <w:jc w:val="right"/>
            </w:pPr>
            <w:r>
              <w:t xml:space="preserve">1.339</w:t>
            </w:r>
          </w:p>
        </w:tc>
        <w:tc>
          <w:tcPr/>
          <w:p>
            <w:pPr>
              <w:pStyle w:val="Compact"/>
              <w:jc w:val="left"/>
            </w:pPr>
            <w:r>
              <w:t xml:space="preserve">0.655</w:t>
            </w:r>
          </w:p>
        </w:tc>
        <w:tc>
          <w:tcPr/>
          <w:p>
            <w:pPr>
              <w:pStyle w:val="Compact"/>
              <w:jc w:val="left"/>
            </w:pPr>
            <w:r>
              <w:t xml:space="preserve">0.905</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bl>
    <w:p>
      <w:pPr>
        <w:pStyle w:val="BodyText"/>
      </w:pPr>
      <w:r>
        <w:t xml:space="preserve">Three conclusions. First, two regimes must be distinguished for C₂. Detecting the</w:t>
      </w:r>
      <w:r>
        <w:t xml:space="preserve"> </w:t>
      </w:r>
      <w:r>
        <w:rPr>
          <w:i/>
          <w:iCs/>
        </w:rPr>
        <w:t xml:space="preserve">presence</w:t>
      </w:r>
      <w:r>
        <w:t xml:space="preserve"> </w:t>
      </w:r>
      <w:r>
        <w:t xml:space="preserve">of compositional generalization — chance versus 0.86 — is achieved at about eight held-out trials (power 0.90), which under the default allocation is N ≈ 107. This is the only sense in which C₂ is</w:t>
      </w:r>
      <w:r>
        <w:t xml:space="preserve"> </w:t>
      </w:r>
      <w:r>
        <w:t xml:space="preserve">“</w:t>
      </w:r>
      <w:r>
        <w:t xml:space="preserve">powered at small N.</w:t>
      </w:r>
      <w:r>
        <w:t xml:space="preserve">”</w:t>
      </w:r>
      <w:r>
        <w:t xml:space="preserve"> </w:t>
      </w:r>
      <w:r>
        <w:rPr>
          <w:i/>
          <w:iCs/>
        </w:rPr>
        <w:t xml:space="preserve">Resolving</w:t>
      </w:r>
      <w:r>
        <w:t xml:space="preserve"> </w:t>
      </w:r>
      <w:r>
        <w:t xml:space="preserve">degrees of compositional depth is expensive: at baseline 0.50, δ_C = 0.10 requires n_U ≈ 400 for 80% power and δ_C = 0.05 requires n_U ≈ 1,600, consistent with the two-proportion approximation n_U ≈ 3.92/δ_C². Studies whose question concerns degree rather than presence should allocate at least 25% of trials to held-out combinations and design grammars accordingly. Second, R and U behave the same way: δ_R = 0.20 is detectable at n_R = 100 (0.88), δ_R = 0.10 requires n_R ≈ 300; δ_U = 0.20 requires n_A ≈ 200 at π_e = 0.20, and U power depends on the number of error trials, so designs should ensure enough errors to populate that stratum. Third, B_min requires approximately 750 base trials per system for Δp = 0.05 (power 0.82; 0.67 at 500) and approximately 2,000 for Δp = 0.03 (0.80); a one-point difference in base accuracy is not reliably detectable at any tested n_S. The corresponding population rate differences are 0.628, 0.369, and 0.120 bits/min for Δp = .05, .03, and .01 at the simulated 0.5-min cycle.</w:t>
      </w:r>
    </w:p>
    <w:p>
      <w:pPr>
        <w:pStyle w:val="BodyText"/>
      </w:pPr>
      <w:r>
        <w:t xml:space="preserve">Empirical size is at or below nominal for the Fisher tests and ranges from 0.039 to 0.057 for the B_min system-label permutation test. Bootstrap intervals for B_min remain descriptive uncertainty summaries; confirmatory comparisons use the permutation procedure.</w:t>
      </w:r>
    </w:p>
    <w:bookmarkEnd w:id="46"/>
    <w:bookmarkStart w:id="47" w:name="Xf6cf04aade55e381d32e5bbca5a6130e97e9b8a"/>
    <w:p>
      <w:pPr>
        <w:pStyle w:val="Heading3"/>
      </w:pPr>
      <w:r>
        <w:t xml:space="preserve">5.8 Metric behavior across the parameter grid</w:t>
      </w:r>
    </w:p>
    <w:p>
      <w:pPr>
        <w:pStyle w:val="FirstParagraph"/>
      </w:pPr>
      <w:r>
        <w:t xml:space="preserve">Across 480 cells (|Z| ∈ {6, 12, 24, 48} × p ∈ {0.50, …, 0.95} × Zipf s ∈ {0, 0.5, 1, 1.5} × N ∈ {100, …, 2,000}; 100 paired runs per cell; an 80/20 grammar partition assumed by the real-study protocol but not represented as a grid factor, and 50% held-out evaluation allocation): (a) B_min is non-decreasing in p in 79 of 80 (|Z|, s, N) Monte Carlo series, with the single reversal consistent with Monte Carlo fluctuation; (b) V_eff(0.80) ≤ V_eff(0.60) in every cell; (c) C₂ separation has median Cohen’s d 11.48, minimum 1.80 at N = 100, and minimum 2.72 for N ≥ 200; (d) R separation has median d 4.36, minimum 0.53 at N = 100, and minimum 1.32 for N ≥ 500. Paired base-channel B_min differences are exactly zero in every cell. The memorization–composition distinction is robust to noise, imbalance, and ontology size once the held-out channel contains more than a handful of trials (Table S5).</w:t>
      </w:r>
    </w:p>
    <w:bookmarkEnd w:id="47"/>
    <w:bookmarkStart w:id="48" w:name="matched-base-analysis"/>
    <w:p>
      <w:pPr>
        <w:pStyle w:val="Heading3"/>
      </w:pPr>
      <w:r>
        <w:t xml:space="preserve">5.9 Matched-base analysis</w:t>
      </w:r>
    </w:p>
    <w:p>
      <w:pPr>
        <w:pStyle w:val="FirstParagraph"/>
      </w:pPr>
      <w:r>
        <w:t xml:space="preserve">A potential objection to C₂ is that it merely reflects overall accuracy on a subset of trials. We address this directly. Across p ∈ {0.50, …, 0.95} (300 runs per configuration) the Memorizer and Compositional agents have exactly identical realized base accuracy, B_min, and V_eff within every matched run. Aggregate accuracy over all scored trials (base plus compositional, as an accuracy-reporting study would compute it) differs by 4.7–9.9 points, the gap arising entirely from held-out trials, which are 11.5% of scored trials. C₂ differs by 42–86 points (Figure 3). At p = .80, aggregate accuracy differs by 8.3 points while C₂ differs by 72.</w:t>
      </w:r>
    </w:p>
    <w:bookmarkEnd w:id="48"/>
    <w:bookmarkEnd w:id="49"/>
    <w:bookmarkStart w:id="55" w:name="X4c4905a081e45cb77550d65013ed7c3a4623618"/>
    <w:p>
      <w:pPr>
        <w:pStyle w:val="Heading2"/>
      </w:pPr>
      <w:r>
        <w:t xml:space="preserve">6. Empirical Application: BCI Competition IV-2a</w:t>
      </w:r>
    </w:p>
    <w:p>
      <w:pPr>
        <w:pStyle w:val="FirstParagraph"/>
      </w:pPr>
      <w:r>
        <w:t xml:space="preserve">The original submission’s BCI analysis is withdrawn because its decoder, episode-time denominator, pooling, and uncertainty reporting were not adequate for the claims made. This section specifies the replacement analysis. No value below may be populated until the complete run passes every gate in</w:t>
      </w:r>
      <w:r>
        <w:t xml:space="preserve"> </w:t>
      </w:r>
      <w:r>
        <w:rPr>
          <w:rStyle w:val="VerbatimChar"/>
        </w:rPr>
        <w:t xml:space="preserve">BCI_RUNBOOK.md</w:t>
      </w:r>
      <w:r>
        <w:t xml:space="preserve"> </w:t>
      </w:r>
      <w:r>
        <w:t xml:space="preserve">and</w:t>
      </w:r>
      <w:r>
        <w:t xml:space="preserve"> </w:t>
      </w:r>
      <w:r>
        <w:rPr>
          <w:rStyle w:val="VerbatimChar"/>
        </w:rPr>
        <w:t xml:space="preserve">validate_bci_output.py</w:t>
      </w:r>
      <w:r>
        <w:t xml:space="preserve">.</w:t>
      </w:r>
    </w:p>
    <w:bookmarkStart w:id="50" w:name="data-preprocessing-and-decoders"/>
    <w:p>
      <w:pPr>
        <w:pStyle w:val="Heading3"/>
      </w:pPr>
      <w:r>
        <w:t xml:space="preserve">6.1 Data, preprocessing, and decoders</w:t>
      </w:r>
    </w:p>
    <w:p>
      <w:pPr>
        <w:pStyle w:val="FirstParagraph"/>
      </w:pPr>
      <w:r>
        <w:t xml:space="preserve">BCI Competition IV Dataset 2a contains nine subjects performing four-class motor imagery (left hand, right hand, feet, tongue), with a training session T and evaluation session E of 288 trials each, 22 EEG channels, three EOG channels, and 250-Hz sampling (Brunner et al., 2008; Tangermann et al., 2012). Cue onset is at trial time 2 s and imagery extends through 6 s. The analysis is subject-specific: T is used for all fitting and tuning, and E is evaluated once.</w:t>
      </w:r>
    </w:p>
    <w:p>
      <w:pPr>
        <w:pStyle w:val="BodyText"/>
      </w:pPr>
      <w:r>
        <w:rPr>
          <w:rStyle w:val="VerbatimChar"/>
        </w:rPr>
        <w:t xml:space="preserve">bci_pipeline.py</w:t>
      </w:r>
      <w:r>
        <w:t xml:space="preserve"> </w:t>
      </w:r>
      <w:r>
        <w:t xml:space="preserve">obtains the source recordings with MOABB</w:t>
      </w:r>
      <w:r>
        <w:t xml:space="preserve"> </w:t>
      </w:r>
      <w:r>
        <w:rPr>
          <w:rStyle w:val="VerbatimChar"/>
        </w:rPr>
        <w:t xml:space="preserve">BNCI2014_001</w:t>
      </w:r>
      <w:r>
        <w:t xml:space="preserve"> </w:t>
      </w:r>
      <w:r>
        <w:t xml:space="preserve">and performs preprocessing explicitly with MNE so artifact handling and filtering are not hidden behind version-dependent defaults. Session labels are resolved semantically rather than by lexical order. The loader may preserve six source runs or concatenate them; the pipeline accepts either representation but must recover six source runs, 288 cues per session, five between-run boundaries when concatenated, and 282 within-run inter-cue intervals. Organizer-provided</w:t>
      </w:r>
      <w:r>
        <w:t xml:space="preserve"> </w:t>
      </w:r>
      <w:r>
        <w:rPr>
          <w:rStyle w:val="VerbatimChar"/>
        </w:rPr>
        <w:t xml:space="preserve">bad_*</w:t>
      </w:r>
      <w:r>
        <w:t xml:space="preserve"> </w:t>
      </w:r>
      <w:r>
        <w:t xml:space="preserve">annotations are rejected by</w:t>
      </w:r>
      <w:r>
        <w:t xml:space="preserve"> </w:t>
      </w:r>
      <w:r>
        <w:rPr>
          <w:rStyle w:val="VerbatimChar"/>
        </w:rPr>
        <w:t xml:space="preserve">mne.Epochs</w:t>
      </w:r>
      <w:r>
        <w:t xml:space="preserve">; exclusions are reported by subject, session, and true class. Exactly 22 EEG channels enter the decoder, and EOG channels are excluded.</w:t>
      </w:r>
    </w:p>
    <w:p>
      <w:pPr>
        <w:pStyle w:val="BodyText"/>
      </w:pPr>
      <w:r>
        <w:t xml:space="preserve">The primary decoder uses a fixed 0.5–2.5 s post-cue epoch (2.5–4.5 s absolute) and an 8–30 Hz MNE FIR filter with zero phase and</w:t>
      </w:r>
      <w:r>
        <w:t xml:space="preserve"> </w:t>
      </w:r>
      <w:r>
        <w:rPr>
          <w:rStyle w:val="VerbatimChar"/>
        </w:rPr>
        <w:t xml:space="preserve">firwin</w:t>
      </w:r>
      <w:r>
        <w:t xml:space="preserve"> </w:t>
      </w:r>
      <w:r>
        <w:t xml:space="preserve">design. The resolved tap count, transition settings, sampling rate, software versions, and channel order are written to the output JSON. A one-vs-rest CSP plus shrinkage LDA classifier selects 4, 6, or 8 CSP components per binary problem by five-fold cross-validation on T only.</w:t>
      </w:r>
    </w:p>
    <w:p>
      <w:pPr>
        <w:pStyle w:val="BodyText"/>
      </w:pPr>
      <w:r>
        <w:t xml:space="preserve">A separate FBCSP-style robustness decoder uses nine 4 Hz bands from 4–40 Hz, binary one-vs-rest CSP for every class and band, training-only selection among 16, 32, 64, or 96 retained features, and shrinkage LDA. CSP fitting and feature selection occur inside each training fold. This decoder is not described as an exact reproduction of Ang et al. (2012). Their reported mean evaluation kappa values of .503 for OVR-CSP and .569 for OVR-FBCSP provide context rather than exact acceptance targets because their competition analysis used time-resolved predictions and maximum-over-time evaluation.</w:t>
      </w:r>
    </w:p>
    <w:p>
      <w:pPr>
        <w:pStyle w:val="BodyText"/>
      </w:pPr>
      <w:r>
        <w:t xml:space="preserve">Episode duration is the full operating cycle. For each subject, tau-bar is the mean of all 282 within-source-run inter-cue intervals in E, not the 2-s feature epoch or the original submission’s 3-s analysis window. Conventional Wolpaw ITR is reported beside B_min for comparison, with its uniform-class and symmetric-error assumptions stated.</w:t>
      </w:r>
    </w:p>
    <w:bookmarkEnd w:id="50"/>
    <w:bookmarkStart w:id="51" w:name="inference-and-reporting-shell"/>
    <w:p>
      <w:pPr>
        <w:pStyle w:val="Heading3"/>
      </w:pPr>
      <w:r>
        <w:t xml:space="preserve">6.2 Inference and reporting shell</w:t>
      </w:r>
    </w:p>
    <w:p>
      <w:pPr>
        <w:pStyle w:val="FirstParagraph"/>
      </w:pPr>
      <w:r>
        <w:t xml:space="preserve">For each subject and decoder, report the complete confusion matrix; accuracy; Cohen’s kappa; per-class precision, recall, and F1; V_eff(.40-.90, beta = 30); plug-in MI; the observed-support Miller-Madow correction and corrected MI; B_min using full-cycle tau-bar; conventional ITR; a class-stratified 10,000-resample interval; a 5,000-permutation independence p-value with (b+1)/(B+1); and Holm adjustment across nine subjects, separately by decoder. Corrected MI is not truncated at zero. A subject is described as carrying measurable information at that decoder only when the preregistered confirmatory criterion is met. Low-information subjects are not compared by point estimates alone.</w:t>
      </w:r>
    </w:p>
    <w:p>
      <w:pPr>
        <w:pStyle w:val="BodyText"/>
      </w:pPr>
      <w:r>
        <w:rPr>
          <w:b/>
          <w:bCs/>
        </w:rPr>
        <w:t xml:space="preserve">Table 3a. Primary fixed-window OVR-CSP results.</w:t>
      </w:r>
      <w:r>
        <w:t xml:space="preserve"> </w:t>
      </w:r>
      <w:r>
        <w:t xml:space="preserve">Populate only from</w:t>
      </w:r>
      <w:r>
        <w:t xml:space="preserve"> </w:t>
      </w:r>
      <w:r>
        <w:rPr>
          <w:rStyle w:val="VerbatimChar"/>
        </w:rPr>
        <w:t xml:space="preserve">results/bci_real_application_v4.json</w:t>
      </w:r>
      <w:r>
        <w:t xml:space="preserve">.</w:t>
      </w:r>
    </w:p>
    <w:p>
      <w:pPr>
        <w:pStyle w:val="BodyText"/>
      </w:pPr>
      <w:r>
        <w:rPr>
          <w:i/>
          <w:iCs/>
        </w:rPr>
        <w:t xml:space="preserve">Table 3a is populated automatically only after the validated BCI run.</w:t>
      </w:r>
      <w:r>
        <w:t xml:space="preserve"> </w:t>
      </w:r>
    </w:p>
    <w:p>
      <w:pPr>
        <w:pStyle w:val="BodyText"/>
      </w:pPr>
      <w:r>
        <w:t xml:space="preserve">No pooled row is permitted as an operating-system claim. A micro-average may appear in Supplementary Table S8 only, labeled as a descriptive aggregation of heterogeneous subject-specific systems.</w:t>
      </w:r>
    </w:p>
    <w:p>
      <w:pPr>
        <w:pStyle w:val="BodyText"/>
      </w:pPr>
      <w:r>
        <w:rPr>
          <w:b/>
          <w:bCs/>
        </w:rPr>
        <w:t xml:space="preserve">Table 3b. V_eff threshold sensitivity for the primary decoder.</w:t>
      </w:r>
    </w:p>
    <w:p>
      <w:pPr>
        <w:pStyle w:val="BodyText"/>
      </w:pPr>
      <w:r>
        <w:rPr>
          <w:i/>
          <w:iCs/>
        </w:rPr>
        <w:t xml:space="preserve">Table 3b is populated automatically only after the validated BCI run.</w:t>
      </w:r>
      <w:r>
        <w:t xml:space="preserve"> </w:t>
      </w:r>
    </w:p>
    <w:p>
      <w:pPr>
        <w:pStyle w:val="BodyText"/>
      </w:pPr>
      <w:r>
        <w:t xml:space="preserve">The FBCSP-style decoder is reported in Supplementary Table S8 with the same fields. Main-text interpretation must state whether conclusions about confusion structure, information rate, and threshold sensitivity persist or change under the stronger decoder. A fold range is not reported when the minimum corrected B_min is non-positive or statistically indistinguishable from zero.</w:t>
      </w:r>
    </w:p>
    <w:bookmarkEnd w:id="51"/>
    <w:bookmarkStart w:id="52" w:name="confusion-structure"/>
    <w:p>
      <w:pPr>
        <w:pStyle w:val="Heading3"/>
      </w:pPr>
      <w:r>
        <w:t xml:space="preserve">6.3 Confusion structure</w:t>
      </w:r>
    </w:p>
    <w:p>
      <w:pPr>
        <w:pStyle w:val="FirstParagraph"/>
      </w:pPr>
      <w:r>
        <w:t xml:space="preserve">Figure 4 presents all nine row-normalized primary-decoder confusion matrices; the supplement presents the FBCSP-style matrices. The narrative must be written after inspecting those matrices. It may describe class-specific asymmetry, lateralization, or feet-tongue confusion only when the per-subject results actually support that statement. Scalar accuracy is not substituted for this analysis.</w:t>
      </w:r>
    </w:p>
    <w:bookmarkEnd w:id="52"/>
    <w:bookmarkStart w:id="53" w:name="diagnostic-gaps"/>
    <w:p>
      <w:pPr>
        <w:pStyle w:val="Heading3"/>
      </w:pPr>
      <w:r>
        <w:t xml:space="preserve">6.4 Diagnostic gaps</w:t>
      </w:r>
    </w:p>
    <w:p>
      <w:pPr>
        <w:pStyle w:val="FirstParagraph"/>
      </w:pPr>
      <w:r>
        <w:t xml:space="preserve">IV-2a can supply only the base-channel measures B_min and V_eff. It cannot supply C₂ because no compositional grammar and held-out combinations were tested; R because no misunderstanding was induced and no repair turn was observed; or U because no abstention action and forced-commitment outcome were elicited. These are design diagnoses, not zero scores.</w:t>
      </w:r>
    </w:p>
    <w:bookmarkEnd w:id="53"/>
    <w:bookmarkStart w:id="54" w:name="published-benchmark-reporting"/>
    <w:p>
      <w:pPr>
        <w:pStyle w:val="Heading3"/>
      </w:pPr>
      <w:r>
        <w:t xml:space="preserve">6.5 Published benchmark reporting</w:t>
      </w:r>
    </w:p>
    <w:p>
      <w:pPr>
        <w:pStyle w:val="FirstParagraph"/>
      </w:pPr>
      <w:r>
        <w:t xml:space="preserve">Ang et al. (2012) report subject-level kappa values but not the complete per-subject confusion matrices needed to reconstruct corrected MI, B_min, class-level F1, or V_eff. The proposed suite therefore cannot be retrofitted to that report from accuracy or kappa alone. The within-package FBCSP-style reanalysis is included to separate the measurement framework’s conclusions from the primary decoder implementation while preserving complete confusion-matrix reporting.</w:t>
      </w:r>
    </w:p>
    <w:bookmarkEnd w:id="54"/>
    <w:bookmarkEnd w:id="55"/>
    <w:bookmarkStart w:id="56" w:name="asymptotic-behavior-and-bias"/>
    <w:p>
      <w:pPr>
        <w:pStyle w:val="Heading2"/>
      </w:pPr>
      <w:r>
        <w:t xml:space="preserve">7. Asymptotic Behavior and Bias</w:t>
      </w:r>
    </w:p>
    <w:p>
      <w:pPr>
        <w:pStyle w:val="FirstParagraph"/>
      </w:pPr>
      <w:r>
        <w:t xml:space="preserve">As N → ∞ the empirical MI converges to the true MI. The plug-in estimator has positive finite-sample bias (Treves &amp; Panzeri, 1995; Paninski, 2003). With K_Y and K_Ẑ occupied marginal cells and K_YẐ occupied joint cells, the first-order Miller–Madow correction to Î = Ĥ_Y + Ĥ_Ẑ − Ĥ_YẐ is</w:t>
      </w:r>
    </w:p>
    <w:p>
      <w:pPr>
        <w:pStyle w:val="BodyText"/>
      </w:pPr>
      <w:r>
        <w:t xml:space="preserve">Î_corrected = Î − (K_YẐ − K_Y − K_Ẑ + 1) / (2N ln 2) (7)</w:t>
      </w:r>
    </w:p>
    <w:p>
      <w:pPr>
        <w:pStyle w:val="BodyText"/>
      </w:pPr>
      <w:r>
        <w:t xml:space="preserve">(Miller, 1955; Panzeri &amp; Treves, 1996), which reduces to (K_Y − 1)(K_Ẑ − 1)/(2N ln 2) when every joint cell is occupied. For |Z| = 12 and N = 500 with full support the term is 121/(1,000 ln 2) ≈ 0.175 bits; for four classes and N = 288, 0.0225 bits. All MI values in this paper, simulated and empirical, use Eq. 7 on observed support and are not truncated at zero.</w:t>
      </w:r>
    </w:p>
    <w:p>
      <w:pPr>
        <w:pStyle w:val="BodyText"/>
      </w:pPr>
      <w:r>
        <w:t xml:space="preserve">The correction is first-order. Empirically, an independent agent at |Z| = 12 with 500 base trials retains a mean corrected MI of 0.027 bits (SD 0.027; Table 1), and with 250 base trials about 0.13 bits, because many joint cells have expected counts below one. For a one-system test of independence, shuffle decoded outputs relative to Y, recompute plug-in MI, and report p = (b + 1)/(B + 1) with B ≥ 1,000 (Phipson &amp; Smyth, 2010). For two independent systems, pool complete episode records and permute system labels; for paired systems, swap decoder outputs within episodes. These tests capture finite-sample bias in the null itself. For stronger correction, Bayesian or jackknife estimators (Nemenman et al., 2004; Archer et al., 2014) apply; Quiroga and Panzeri (2009) review the options.</w:t>
      </w:r>
    </w:p>
    <w:p>
      <w:pPr>
        <w:pStyle w:val="BodyText"/>
      </w:pPr>
      <w:r>
        <w:t xml:space="preserve">The bootstrap interval for B_min is retained as a descriptive uncertainty summary. Confirmatory inference uses the permutation procedures above. C_k, R, and U are proportions or differences of proportions with exact or score-based intervals.</w:t>
      </w:r>
    </w:p>
    <w:bookmarkEnd w:id="56"/>
    <w:bookmarkStart w:id="57" w:name="extension-to-growing-ontology"/>
    <w:p>
      <w:pPr>
        <w:pStyle w:val="Heading2"/>
      </w:pPr>
      <w:r>
        <w:t xml:space="preserve">8. Extension to Growing Ontology</w:t>
      </w:r>
    </w:p>
    <w:p>
      <w:pPr>
        <w:pStyle w:val="FirstParagraph"/>
      </w:pPr>
      <w:r>
        <w:t xml:space="preserve">The framework requires a finite, pre-specified ontology at the time of measurement. Mutual information as a mathematical object does not; the operational evaluation design does, because the estimators of Section 7 and the ground-truth comparison require a known support. Studies that claim open-ended communication without a defined ontology are making unmeasurable claims within this framework.</w:t>
      </w:r>
    </w:p>
    <w:p>
      <w:pPr>
        <w:pStyle w:val="BodyText"/>
      </w:pPr>
      <w:r>
        <w:t xml:space="preserve">To compare across ontology sizes we define a normalized information fraction</w:t>
      </w:r>
    </w:p>
    <w:p>
      <w:pPr>
        <w:pStyle w:val="BodyText"/>
      </w:pPr>
      <w:r>
        <w:t xml:space="preserve">D = I(Y; Ẑ) / log₂|Z| (8)</w:t>
      </w:r>
    </w:p>
    <w:p>
      <w:pPr>
        <w:pStyle w:val="BodyText"/>
      </w:pPr>
      <w:r>
        <w:t xml:space="preserve">D ∈ [0, 1] is the fraction of the maximum-entropy ceiling that is realized. It is not a fraction of Shannon channel capacity, which is max over P(Y) of I(Y; Ẑ) and depends on the channel rather than the prior. For longitudinal studies with an expanding ontology Z(t), report both raw B_min and D at each time point, so that throughput gains can be separated from ontology inflation. A full treatment of dynamic ontology expansion is future work.</w:t>
      </w:r>
    </w:p>
    <w:bookmarkEnd w:id="57"/>
    <w:bookmarkStart w:id="58" w:name="measurement-error"/>
    <w:p>
      <w:pPr>
        <w:pStyle w:val="Heading2"/>
      </w:pPr>
      <w:r>
        <w:t xml:space="preserve">9. Measurement Error</w:t>
      </w:r>
    </w:p>
    <w:p>
      <w:pPr>
        <w:pStyle w:val="FirstParagraph"/>
      </w:pPr>
      <w:r>
        <w:t xml:space="preserve">Ground-truth labeling is not error-free. If labeling errors are independent of the agent’s emissions, the observed joint is a mixture P_obs = (1 − ε) P_true + ε P_noise and, by the data processing inequality, I_obs ≤ I_true: ground-truth error can only attenuate observed MI. This is a conservative property. We do not offer a universal correction factor, since the attenuation depends on the error structure of a multiclass channel; where labeling error is material (ε &gt; 0.10 from inter-rater data), we recommend reporting a sensitivity analysis under an explicit measurement-error model, or treating ε as a nuisance parameter in a Bayesian estimator (Archer et al., 2014). For C_k, labeling error attenuates observed compositional accuracy; for R, coder error is captured by the inter-rater requirement; for U, nondifferential misclassification of forced-commitment outcomes generally attenuates selectivity, whereas differential misclassification can bias U in either direction.</w:t>
      </w:r>
    </w:p>
    <w:bookmarkEnd w:id="58"/>
    <w:bookmarkStart w:id="59" w:name="X9997af4b89b7a16081c280c3603e503c553bab5"/>
    <w:p>
      <w:pPr>
        <w:pStyle w:val="Heading2"/>
      </w:pPr>
      <w:r>
        <w:t xml:space="preserve">10. Separating Conditioning from Representation</w:t>
      </w:r>
    </w:p>
    <w:p>
      <w:pPr>
        <w:pStyle w:val="FirstParagraph"/>
      </w:pPr>
      <w:r>
        <w:t xml:space="preserve">Do these measures measure</w:t>
      </w:r>
      <w:r>
        <w:t xml:space="preserve"> </w:t>
      </w:r>
      <w:r>
        <w:t xml:space="preserve">“</w:t>
      </w:r>
      <w:r>
        <w:t xml:space="preserve">language</w:t>
      </w:r>
      <w:r>
        <w:t xml:space="preserve">”</w:t>
      </w:r>
      <w:r>
        <w:t xml:space="preserve">? No. They detect statistical structure in the mapping between emissions and externally defined ground truth. High B_min means the signals reliably predict the experimental conditions. High C₂ means behavior generalizes to novel combinations withheld under the grammar. High R means the agent adjusts its signaling to recover from failure. High U means abstention discriminates trials on which commitment fails.</w:t>
      </w:r>
    </w:p>
    <w:p>
      <w:pPr>
        <w:pStyle w:val="BodyText"/>
      </w:pPr>
      <w:r>
        <w:t xml:space="preserve">These are behavioral measurements consistent with multiple mechanisms. An agent with high C₂ could have an internal compositional grammar or a similarity-based generalization strategy that happens to succeed. An agent with high R could model its partner’s state or follow a heuristic. The measures do not distinguish mechanisms; they measure whether the behavior occurs. The information-theoretic framing treats communication as a channel property (Shannon, 1948; Bialek et al., 2001), with statistical complexity (Crutchfield &amp; Feldman, 2003) as the broader context. We caution against interpreting high scores on any measure as evidence for internal symbolic language, conceptual understanding, or conscious intention.</w:t>
      </w:r>
    </w:p>
    <w:bookmarkEnd w:id="59"/>
    <w:bookmarkStart w:id="60" w:name="adversarial-experimental-protocol"/>
    <w:p>
      <w:pPr>
        <w:pStyle w:val="Heading2"/>
      </w:pPr>
      <w:r>
        <w:t xml:space="preserve">11. Adversarial Experimental Protocol</w:t>
      </w:r>
    </w:p>
    <w:p>
      <w:pPr>
        <w:pStyle w:val="FirstParagraph"/>
      </w:pPr>
      <w:r>
        <w:rPr>
          <w:b/>
          <w:bCs/>
        </w:rPr>
        <w:t xml:space="preserve">11.1 Blinding.</w:t>
      </w:r>
      <w:r>
        <w:t xml:space="preserve"> </w:t>
      </w:r>
      <w:r>
        <w:t xml:space="preserve">The person with the agent must not know the target intent, which is set by an independent experimenter elsewhere. Handler behavior is video-recorded and reviewed by a blinded coder for cueing. Any AI decoder’s inference is logged before any human observes it.</w:t>
      </w:r>
    </w:p>
    <w:p>
      <w:pPr>
        <w:pStyle w:val="BodyText"/>
      </w:pPr>
      <w:r>
        <w:rPr>
          <w:b/>
          <w:bCs/>
        </w:rPr>
        <w:t xml:space="preserve">11.2 Automated logging.</w:t>
      </w:r>
      <w:r>
        <w:t xml:space="preserve"> </w:t>
      </w:r>
      <w:r>
        <w:t xml:space="preserve">All emissions are recorded with timestamps by automated systems; no real-time human interpretation.</w:t>
      </w:r>
    </w:p>
    <w:p>
      <w:pPr>
        <w:pStyle w:val="BodyText"/>
      </w:pPr>
      <w:r>
        <w:rPr>
          <w:b/>
          <w:bCs/>
        </w:rPr>
        <w:t xml:space="preserve">11.3 Ground truth.</w:t>
      </w:r>
      <w:r>
        <w:t xml:space="preserve"> </w:t>
      </w:r>
      <w:r>
        <w:t xml:space="preserve">Forced-choice tasks: determined by design. Spontaneous communication: verified by independent sensors or ≥ 2 blinded judges (κ ≥ 0.80). Indeterminate episodes are excluded and the exclusion rate reported.</w:t>
      </w:r>
    </w:p>
    <w:p>
      <w:pPr>
        <w:pStyle w:val="BodyText"/>
      </w:pPr>
      <w:r>
        <w:rPr>
          <w:b/>
          <w:bCs/>
        </w:rPr>
        <w:t xml:space="preserve">11.4 Induced-error protocol.</w:t>
      </w:r>
      <w:r>
        <w:t xml:space="preserve"> </w:t>
      </w:r>
      <w:r>
        <w:t xml:space="preserve">20% of trials receive deliberately incorrect responses, pseudo-randomly distributed. Post-error behavior is recorded for two turns (30 s timeout each) and classified by blinded coders (κ ≥ 0.75).</w:t>
      </w:r>
    </w:p>
    <w:p>
      <w:pPr>
        <w:pStyle w:val="BodyText"/>
      </w:pPr>
      <w:r>
        <w:rPr>
          <w:b/>
          <w:bCs/>
        </w:rPr>
        <w:t xml:space="preserve">11.5 Uncertainty protocol.</w:t>
      </w:r>
      <w:r>
        <w:t xml:space="preserve"> </w:t>
      </w:r>
      <w:r>
        <w:t xml:space="preserve">Forced-choice trials include an UNKNOWN option. After every trial — whether or not the agent abstained — a forced commitment on the same unchanged stimulus is elicited after a fixed short delay, without added task-relevant information and before outcome feedback; e_i is recorded from that commitment. Difficulty manipulation is recommended to ensure that the error stratum is populated, but difficulty is not part of the definition of U.</w:t>
      </w:r>
    </w:p>
    <w:p>
      <w:pPr>
        <w:pStyle w:val="BodyText"/>
      </w:pPr>
      <w:r>
        <w:rPr>
          <w:b/>
          <w:bCs/>
        </w:rPr>
        <w:t xml:space="preserve">11.6 Cross-context transfer.</w:t>
      </w:r>
      <w:r>
        <w:t xml:space="preserve"> </w:t>
      </w:r>
      <w:r>
        <w:t xml:space="preserve">20% of evaluation trials occur in a novel environment with a novel handler; the decrement is reported.</w:t>
      </w:r>
    </w:p>
    <w:p>
      <w:pPr>
        <w:pStyle w:val="BodyText"/>
      </w:pPr>
      <w:r>
        <w:rPr>
          <w:b/>
          <w:bCs/>
        </w:rPr>
        <w:t xml:space="preserve">11.7 Pre-registration.</w:t>
      </w:r>
      <w:r>
        <w:t xml:space="preserve"> </w:t>
      </w:r>
      <w:r>
        <w:t xml:space="preserve">Ontology Z, alphabet Σ, episode boundaries and the definition of τ, ground-truth method, decoder, α and β, grammar G with its partition, induced-error proportion and repair window, uncertainty structure and forced-commitment procedure, analysis plan including effect sizes and trial budgets per channel (Section 5.7), stop conditions, exclusion criteria.</w:t>
      </w:r>
    </w:p>
    <w:bookmarkEnd w:id="60"/>
    <w:bookmarkStart w:id="61" w:name="comparison-to-existing-approaches"/>
    <w:p>
      <w:pPr>
        <w:pStyle w:val="Heading2"/>
      </w:pPr>
      <w:r>
        <w:t xml:space="preserve">12. Comparison to Existing Approaches</w:t>
      </w:r>
    </w:p>
    <w:p>
      <w:pPr>
        <w:pStyle w:val="FirstParagraph"/>
      </w:pPr>
      <w:r>
        <w:rPr>
          <w:b/>
          <w:bCs/>
        </w:rPr>
        <w:t xml:space="preserve">Table 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Capability</w:t>
            </w:r>
          </w:p>
        </w:tc>
        <w:tc>
          <w:tcPr/>
          <w:p>
            <w:pPr>
              <w:pStyle w:val="Compact"/>
              <w:jc w:val="left"/>
            </w:pPr>
            <w:r>
              <w:t xml:space="preserve">Accuracy</w:t>
            </w:r>
          </w:p>
        </w:tc>
        <w:tc>
          <w:tcPr/>
          <w:p>
            <w:pPr>
              <w:pStyle w:val="Compact"/>
              <w:jc w:val="left"/>
            </w:pPr>
            <w:r>
              <w:t xml:space="preserve">MI alone</w:t>
            </w:r>
          </w:p>
        </w:tc>
        <w:tc>
          <w:tcPr/>
          <w:p>
            <w:pPr>
              <w:pStyle w:val="Compact"/>
              <w:jc w:val="left"/>
            </w:pPr>
            <w:r>
              <w:t xml:space="preserve">Proposed suite</w:t>
            </w:r>
          </w:p>
        </w:tc>
      </w:tr>
      <w:tr>
        <w:tc>
          <w:tcPr/>
          <w:p>
            <w:pPr>
              <w:pStyle w:val="Compact"/>
              <w:jc w:val="left"/>
            </w:pPr>
            <w:r>
              <w:t xml:space="preserve">Penalizes intent confusion</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Accounts for observed class marginals and penalizes constant-output strategies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Detects compositional generalization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(C_k)</w:t>
            </w:r>
          </w:p>
        </w:tc>
      </w:tr>
      <w:tr>
        <w:tc>
          <w:tcPr/>
          <w:p>
            <w:pPr>
              <w:pStyle w:val="Compact"/>
              <w:jc w:val="left"/>
            </w:pPr>
            <w:r>
              <w:t xml:space="preserve">Detects communicative repair</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(R)</w:t>
            </w:r>
          </w:p>
        </w:tc>
      </w:tr>
      <w:tr>
        <w:tc>
          <w:tcPr/>
          <w:p>
            <w:pPr>
              <w:pStyle w:val="Compact"/>
              <w:jc w:val="left"/>
            </w:pPr>
            <w:r>
              <w:t xml:space="preserve">Detects selective uncertainty signaling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(U)</w:t>
            </w:r>
          </w:p>
        </w:tc>
      </w:tr>
      <w:tr>
        <w:tc>
          <w:tcPr/>
          <w:p>
            <w:pPr>
              <w:pStyle w:val="Compact"/>
              <w:jc w:val="left"/>
            </w:pPr>
            <w:r>
              <w:t xml:space="preserve">Vocabulary discrimination curve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(V_eff)</w:t>
            </w:r>
          </w:p>
        </w:tc>
      </w:tr>
      <w:tr>
        <w:tc>
          <w:tcPr/>
          <w:p>
            <w:pPr>
              <w:pStyle w:val="Compact"/>
              <w:jc w:val="left"/>
            </w:pPr>
            <w:r>
              <w:t xml:space="preserve">Domain-general definitions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Design requirements stated per measure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(Table 0)</w:t>
            </w:r>
          </w:p>
        </w:tc>
      </w:tr>
      <w:tr>
        <w:tc>
          <w:tcPr/>
          <w:p>
            <w:pPr>
              <w:pStyle w:val="Compact"/>
              <w:jc w:val="left"/>
            </w:pPr>
            <w:r>
              <w:t xml:space="preserve">Adversarial protocol specified</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bookmarkEnd w:id="61"/>
    <w:bookmarkStart w:id="62" w:name="worked-example"/>
    <w:p>
      <w:pPr>
        <w:pStyle w:val="Heading2"/>
      </w:pPr>
      <w:r>
        <w:t xml:space="preserve">13. Worked Example</w:t>
      </w:r>
    </w:p>
    <w:p>
      <w:pPr>
        <w:pStyle w:val="FirstParagraph"/>
      </w:pPr>
      <w:r>
        <w:t xml:space="preserve">Synthetic dataset S2. An agent with |Z| = 12 is evaluated over 600 base trials (50 per intent), with heterogeneous per-intent accuracy generated from a fixed seed. A 2-slot grammar yields 20 valid combinations (16 training, 4 held-out); the agent is correct on 14 of 16 training and 3 of 4 held-out combinations. On 120 induced-error trials it recovers on 42. On 200 uncertainty trials the forced commitment fails on 40; the agent abstained on 18 of those 40 and on 7 of the remaining 160.</w:t>
      </w:r>
    </w:p>
    <w:p>
      <w:pPr>
        <w:pStyle w:val="Compact"/>
        <w:numPr>
          <w:ilvl w:val="0"/>
          <w:numId w:val="1003"/>
        </w:numPr>
      </w:pPr>
      <w:r>
        <w:rPr>
          <w:b/>
          <w:bCs/>
        </w:rPr>
        <w:t xml:space="preserve">B_min.</w:t>
      </w:r>
      <w:r>
        <w:t xml:space="preserve"> </w:t>
      </w:r>
      <w:r>
        <w:t xml:space="preserve">Corrected I(Y; Ẑ) = 2.358 bits; mean cycle 0.451 min; B_min = 5.23 bits/min.</w:t>
      </w:r>
    </w:p>
    <w:p>
      <w:pPr>
        <w:pStyle w:val="Compact"/>
        <w:numPr>
          <w:ilvl w:val="0"/>
          <w:numId w:val="1003"/>
        </w:numPr>
      </w:pPr>
      <w:r>
        <w:rPr>
          <w:b/>
          <w:bCs/>
        </w:rPr>
        <w:t xml:space="preserve">V_eff(α, 30).</w:t>
      </w:r>
      <w:r>
        <w:t xml:space="preserve"> </w:t>
      </w:r>
      <w:r>
        <w:t xml:space="preserve">The curve is 12, 11, 7, 0 at α = .60, .70, .80, .90.</w:t>
      </w:r>
    </w:p>
    <w:p>
      <w:pPr>
        <w:pStyle w:val="Compact"/>
        <w:numPr>
          <w:ilvl w:val="0"/>
          <w:numId w:val="1003"/>
        </w:numPr>
      </w:pPr>
      <w:r>
        <w:rPr>
          <w:b/>
          <w:bCs/>
        </w:rPr>
        <w:t xml:space="preserve">C₂.</w:t>
      </w:r>
      <w:r>
        <w:t xml:space="preserve"> </w:t>
      </w:r>
      <w:r>
        <w:t xml:space="preserve">3/4 = 0.75, Clopper–Pearson [0.19, 0.99]. Four held-out trials give a very wide interval; the presence/degree distinction is planned from Tables 2a–2b.</w:t>
      </w:r>
    </w:p>
    <w:p>
      <w:pPr>
        <w:pStyle w:val="Compact"/>
        <w:numPr>
          <w:ilvl w:val="0"/>
          <w:numId w:val="1003"/>
        </w:numPr>
      </w:pPr>
      <w:r>
        <w:rPr>
          <w:b/>
          <w:bCs/>
        </w:rPr>
        <w:t xml:space="preserve">R.</w:t>
      </w:r>
      <w:r>
        <w:t xml:space="preserve"> </w:t>
      </w:r>
      <w:r>
        <w:t xml:space="preserve">42/120 = 0.35 against the simulation’s independent-uniform null .160; distribution Repeat 45%, Modify 30%, Escalate 10%, Abandon 15%.</w:t>
      </w:r>
    </w:p>
    <w:p>
      <w:pPr>
        <w:pStyle w:val="Compact"/>
        <w:numPr>
          <w:ilvl w:val="0"/>
          <w:numId w:val="1003"/>
        </w:numPr>
      </w:pPr>
      <w:r>
        <w:rPr>
          <w:b/>
          <w:bCs/>
        </w:rPr>
        <w:t xml:space="preserve">U.</w:t>
      </w:r>
      <w:r>
        <w:t xml:space="preserve"> </w:t>
      </w:r>
      <w:r>
        <w:t xml:space="preserve">P(a | e = 1) = 18/40 = .450; P(a | e = 0) = 7/160 = .044; U = 0.406, Newcombe 95% interval [0.26, 0.56]; Fisher p &lt; .001. Abstention rate is 0.125, with 40 error and 160 non-error forced commitments.</w:t>
      </w:r>
    </w:p>
    <w:bookmarkEnd w:id="62"/>
    <w:bookmarkStart w:id="63" w:name="limitations"/>
    <w:p>
      <w:pPr>
        <w:pStyle w:val="Heading2"/>
      </w:pPr>
      <w:r>
        <w:t xml:space="preserve">14. Limitations</w:t>
      </w:r>
    </w:p>
    <w:p>
      <w:pPr>
        <w:pStyle w:val="FirstParagraph"/>
      </w:pPr>
      <w:r>
        <w:rPr>
          <w:b/>
          <w:bCs/>
        </w:rPr>
        <w:t xml:space="preserve">Closed ontology.</w:t>
      </w:r>
      <w:r>
        <w:t xml:space="preserve"> </w:t>
      </w:r>
      <w:r>
        <w:t xml:space="preserve">The evaluation design requires a finite pre-specified intent space; Section 8 provides a normalization, not a theory of ontology growth.</w:t>
      </w:r>
    </w:p>
    <w:p>
      <w:pPr>
        <w:pStyle w:val="BodyText"/>
      </w:pPr>
      <w:r>
        <w:rPr>
          <w:b/>
          <w:bCs/>
        </w:rPr>
        <w:t xml:space="preserve">Discrete episodes.</w:t>
      </w:r>
      <w:r>
        <w:t xml:space="preserve"> </w:t>
      </w:r>
      <w:r>
        <w:t xml:space="preserve">Continuous communication requires segmentation; report sensitivity to segmentation granularity.</w:t>
      </w:r>
    </w:p>
    <w:p>
      <w:pPr>
        <w:pStyle w:val="BodyText"/>
      </w:pPr>
      <w:r>
        <w:rPr>
          <w:b/>
          <w:bCs/>
        </w:rPr>
        <w:t xml:space="preserve">No inference of representation.</w:t>
      </w:r>
      <w:r>
        <w:t xml:space="preserve"> </w:t>
      </w:r>
      <w:r>
        <w:t xml:space="preserve">Section 10.</w:t>
      </w:r>
    </w:p>
    <w:p>
      <w:pPr>
        <w:pStyle w:val="BodyText"/>
      </w:pPr>
      <w:r>
        <w:rPr>
          <w:b/>
          <w:bCs/>
        </w:rPr>
        <w:t xml:space="preserve">Independent ground truth required.</w:t>
      </w:r>
      <w:r>
        <w:t xml:space="preserve"> </w:t>
      </w:r>
      <w:r>
        <w:t xml:space="preserve">Claims of communication without verifiable ground truth are unfalsifiable within the framework.</w:t>
      </w:r>
    </w:p>
    <w:p>
      <w:pPr>
        <w:pStyle w:val="BodyText"/>
      </w:pPr>
      <w:r>
        <w:rPr>
          <w:b/>
          <w:bCs/>
        </w:rPr>
        <w:t xml:space="preserve">Finite-sample MI bias.</w:t>
      </w:r>
      <w:r>
        <w:t xml:space="preserve"> </w:t>
      </w:r>
      <w:r>
        <w:t xml:space="preserve">Eq. 7 is first-order; residual bias at small n_S is empirically non-negligible (Section 7). Use permutation tests for null rejection.</w:t>
      </w:r>
    </w:p>
    <w:p>
      <w:pPr>
        <w:pStyle w:val="BodyText"/>
      </w:pPr>
      <w:r>
        <w:rPr>
          <w:b/>
          <w:bCs/>
        </w:rPr>
        <w:t xml:space="preserve">Descriptive bootstrap.</w:t>
      </w:r>
      <w:r>
        <w:t xml:space="preserve"> </w:t>
      </w:r>
      <w:r>
        <w:t xml:space="preserve">Bootstrap intervals summarize uncertainty but are not the confirmatory test for B_min; use the system-label or within-episode permutation procedure appropriate to the design.</w:t>
      </w:r>
    </w:p>
    <w:p>
      <w:pPr>
        <w:pStyle w:val="BodyText"/>
      </w:pPr>
      <w:r>
        <w:rPr>
          <w:b/>
          <w:bCs/>
        </w:rPr>
        <w:t xml:space="preserve">Decoder dependence.</w:t>
      </w:r>
      <w:r>
        <w:t xml:space="preserve"> </w:t>
      </w:r>
      <w:r>
        <w:t xml:space="preserve">Where the decoder is a trained classifier, measured throughput is the joint capacity of agent and decoder. Report decoder performance against known ground truth and benchmark it; a decoder far below relevant published context requires debugging or qualification before the empirical application can support substantive claims.</w:t>
      </w:r>
    </w:p>
    <w:p>
      <w:pPr>
        <w:pStyle w:val="BodyText"/>
      </w:pPr>
      <w:r>
        <w:rPr>
          <w:b/>
          <w:bCs/>
        </w:rPr>
        <w:t xml:space="preserve">Synthetic population.</w:t>
      </w:r>
      <w:r>
        <w:t xml:space="preserve"> </w:t>
      </w:r>
      <w:r>
        <w:t xml:space="preserve">Section 3.5 describes one generative population; the covariance of the measures in real behavior is an empirical question.</w:t>
      </w:r>
    </w:p>
    <w:bookmarkEnd w:id="63"/>
    <w:bookmarkStart w:id="70" w:name="discussion"/>
    <w:p>
      <w:pPr>
        <w:pStyle w:val="Heading2"/>
      </w:pPr>
      <w:r>
        <w:t xml:space="preserve">15. Discussion</w:t>
      </w:r>
    </w:p>
    <w:bookmarkStart w:id="64" w:name="the-irreducibility-argument"/>
    <w:p>
      <w:pPr>
        <w:pStyle w:val="Heading3"/>
      </w:pPr>
      <w:r>
        <w:t xml:space="preserve">15.1 The irreducibility argument</w:t>
      </w:r>
    </w:p>
    <w:p>
      <w:pPr>
        <w:pStyle w:val="FirstParagraph"/>
      </w:pPr>
      <w:r>
        <w:t xml:space="preserve">The central methodological contribution is not any single measure — MI has existed for 75 years — but the demonstration that no measure in the suite is a function of the other four (Proposition 4), together with the specification of what each requires of a design (Table 0). Studies reporting only accuracy, or only MI, leave communicative structure unmeasured that the held-out, induced-error, and abstention channels would reveal. The matched-base analysis (Section 5.9) is the sharpest form of the argument: two agents with identical base-channel behavior differ by up to 86 points on compositional depth while aggregate accuracy differs by single digits.</w:t>
      </w:r>
    </w:p>
    <w:bookmarkEnd w:id="64"/>
    <w:bookmarkStart w:id="65" w:name="the-adversarial-standard"/>
    <w:p>
      <w:pPr>
        <w:pStyle w:val="Heading3"/>
      </w:pPr>
      <w:r>
        <w:t xml:space="preserve">15.2 The adversarial standard</w:t>
      </w:r>
    </w:p>
    <w:p>
      <w:pPr>
        <w:pStyle w:val="FirstParagraph"/>
      </w:pPr>
      <w:r>
        <w:t xml:space="preserve">Cue leakage is structural in any paradigm where an evaluator interacts with a responsive agent; the Clever Hans effect (Pfungst, 1911; Sebeok &amp; Rosenthal, 1981) is not historical. Section 11 provides an adoptable, citable standard.</w:t>
      </w:r>
    </w:p>
    <w:bookmarkEnd w:id="65"/>
    <w:bookmarkStart w:id="66" w:name="domain-generality-and-its-limits"/>
    <w:p>
      <w:pPr>
        <w:pStyle w:val="Heading3"/>
      </w:pPr>
      <w:r>
        <w:t xml:space="preserve">15.3 Domain generality and its limits</w:t>
      </w:r>
    </w:p>
    <w:p>
      <w:pPr>
        <w:pStyle w:val="FirstParagraph"/>
      </w:pPr>
      <w:r>
        <w:t xml:space="preserve">The definitions reference no application domain. Table 0 states what each measure requires. The BCI application is designed to demonstrate both halves after its execution gates pass: base-channel measures are computable from subject-specific confusion matrices, whereas the three specialized measures remain not measurable because the paradigm lacks their design elements.</w:t>
      </w:r>
    </w:p>
    <w:bookmarkEnd w:id="66"/>
    <w:bookmarkStart w:id="67" w:name="empirical-application"/>
    <w:p>
      <w:pPr>
        <w:pStyle w:val="Heading3"/>
      </w:pPr>
      <w:r>
        <w:t xml:space="preserve">15.4 Empirical application</w:t>
      </w:r>
    </w:p>
    <w:p>
      <w:pPr>
        <w:pStyle w:val="FirstParagraph"/>
      </w:pPr>
      <w:r>
        <w:t xml:space="preserve">The original empirical claims have been withdrawn rather than repaired rhetorically. The replacement analysis is fully specified, but this draft asserts no BCI result until the public data are processed by both decoders and every runtime gate passes. Once populated, the section must emphasize subject-specific confusion structure, full-cycle information rate, threshold sensitivity, and decoder dependence; it must not revive a pooled operating-system claim or a fold ratio whose denominator is indistinguishable from zero. Prospective studies designed around the complete suite—compositional imagery tasks, induced decoder errors with re-imagery, and an abstention channel followed by forced commitment—are required to test the three specialized measures and incremental validity against downstream task completion.</w:t>
      </w:r>
    </w:p>
    <w:bookmarkEnd w:id="67"/>
    <w:bookmarkStart w:id="68" w:name="power-and-design"/>
    <w:p>
      <w:pPr>
        <w:pStyle w:val="Heading3"/>
      </w:pPr>
      <w:r>
        <w:t xml:space="preserve">15.5 Power and design</w:t>
      </w:r>
    </w:p>
    <w:p>
      <w:pPr>
        <w:pStyle w:val="FirstParagraph"/>
      </w:pPr>
      <w:r>
        <w:t xml:space="preserve">Presence of compositional generalization and of repair is detectable from small specialized channels; resolving degrees of either requires trial counts on the order of 4/δ². B_min comparisons at small Δp require base channels in the high hundreds to thousands; at the simulated 0.5-min cycle, Δp = .05 corresponds to ΔB_min = .628 bits/min and reaches .82 power at 750 trials per system. Trial budgets should be planned per channel from Tables 2a–2e, not from a single global minimum.</w:t>
      </w:r>
    </w:p>
    <w:bookmarkEnd w:id="68"/>
    <w:bookmarkStart w:id="69" w:name="conclusion"/>
    <w:p>
      <w:pPr>
        <w:pStyle w:val="Heading3"/>
      </w:pPr>
      <w:r>
        <w:t xml:space="preserve">15.6 Conclusion</w:t>
      </w:r>
    </w:p>
    <w:p>
      <w:pPr>
        <w:pStyle w:val="FirstParagraph"/>
      </w:pPr>
      <w:r>
        <w:t xml:space="preserve">All simulation code, synthetic data, analysis scripts, and simulation figure generation are supplied and regenerate every simulation-based number from seed 42. The framework measures what accuracy and mutual information alone cannot: whether an agent’s communication is compositional, robust, and selective.</w:t>
      </w:r>
    </w:p>
    <w:bookmarkEnd w:id="69"/>
    <w:bookmarkEnd w:id="70"/>
    <w:bookmarkStart w:id="71" w:name="declarations"/>
    <w:p>
      <w:pPr>
        <w:pStyle w:val="Heading2"/>
      </w:pPr>
      <w:r>
        <w:t xml:space="preserve">Declarations</w:t>
      </w:r>
    </w:p>
    <w:p>
      <w:pPr>
        <w:pStyle w:val="FirstParagraph"/>
      </w:pPr>
      <w:r>
        <w:t xml:space="preserve">Funding: none. Conflicts of interest: none. Ethics approval: not applicable (simulations and a public benchmark dataset; no new participants). Consent: not applicable. Data and code: Supplementary Code S1 and Data S2; BCI Competition IV-2a is available from the competition repository. Author contributions: H.D.F. conceived the framework, conducted all analyses, and wrote the manuscript.</w:t>
      </w:r>
    </w:p>
    <w:bookmarkEnd w:id="71"/>
    <w:bookmarkStart w:id="72" w:name="references"/>
    <w:p>
      <w:pPr>
        <w:pStyle w:val="Heading2"/>
      </w:pPr>
      <w:r>
        <w:t xml:space="preserve">References</w:t>
      </w:r>
    </w:p>
    <w:p>
      <w:pPr>
        <w:pStyle w:val="FirstParagraph"/>
      </w:pPr>
      <w:r>
        <w:t xml:space="preserve">Ang, K. K., Chin, Z. Y., Wang, C., Guan, C., &amp; Zhang, H. (2012). Filter bank common spatial pattern algorithm on BCI Competition IV Datasets 2a and 2b.</w:t>
      </w:r>
      <w:r>
        <w:t xml:space="preserve"> </w:t>
      </w:r>
      <w:r>
        <w:rPr>
          <w:i/>
          <w:iCs/>
        </w:rPr>
        <w:t xml:space="preserve">Frontiers in Neuroscience, 6</w:t>
      </w:r>
      <w:r>
        <w:t xml:space="preserve">, 39.</w:t>
      </w:r>
    </w:p>
    <w:p>
      <w:pPr>
        <w:pStyle w:val="BodyText"/>
      </w:pPr>
      <w:r>
        <w:t xml:space="preserve">Archer, E., Park, I. M., &amp; Pillow, J. W. (2014). Bayesian and quasi-Bayesian estimators for mutual information from discrete data.</w:t>
      </w:r>
      <w:r>
        <w:t xml:space="preserve"> </w:t>
      </w:r>
      <w:r>
        <w:rPr>
          <w:i/>
          <w:iCs/>
        </w:rPr>
        <w:t xml:space="preserve">Entropy, 16</w:t>
      </w:r>
      <w:r>
        <w:t xml:space="preserve">(3), 1586–1617.</w:t>
      </w:r>
    </w:p>
    <w:p>
      <w:pPr>
        <w:pStyle w:val="BodyText"/>
      </w:pPr>
      <w:r>
        <w:t xml:space="preserve">Bialek, W., Nemenman, I., &amp; Tishby, N. (2001). Predictability, complexity, and learning.</w:t>
      </w:r>
      <w:r>
        <w:t xml:space="preserve"> </w:t>
      </w:r>
      <w:r>
        <w:rPr>
          <w:i/>
          <w:iCs/>
        </w:rPr>
        <w:t xml:space="preserve">Neural Computation, 13</w:t>
      </w:r>
      <w:r>
        <w:t xml:space="preserve">(11), 2409–2463.</w:t>
      </w:r>
    </w:p>
    <w:p>
      <w:pPr>
        <w:pStyle w:val="BodyText"/>
      </w:pPr>
      <w:r>
        <w:t xml:space="preserve">Brunner, C., Leeb, R., Müller-Putz, G., Schlögl, A., &amp; Pfurtscheller, G. (2008).</w:t>
      </w:r>
      <w:r>
        <w:t xml:space="preserve"> </w:t>
      </w:r>
      <w:r>
        <w:rPr>
          <w:i/>
          <w:iCs/>
        </w:rPr>
        <w:t xml:space="preserve">BCI Competition 2008 – Graz data set A.</w:t>
      </w:r>
      <w:r>
        <w:t xml:space="preserve"> </w:t>
      </w:r>
      <w:r>
        <w:t xml:space="preserve">Institute for Knowledge Discovery, Graz University of Technology.</w:t>
      </w:r>
    </w:p>
    <w:p>
      <w:pPr>
        <w:pStyle w:val="BodyText"/>
      </w:pPr>
      <w:r>
        <w:t xml:space="preserve">Chow, C. K. (1970). On optimum recognition error and reject tradeoff.</w:t>
      </w:r>
      <w:r>
        <w:t xml:space="preserve"> </w:t>
      </w:r>
      <w:r>
        <w:rPr>
          <w:i/>
          <w:iCs/>
        </w:rPr>
        <w:t xml:space="preserve">IEEE Transactions on Information Theory, 16</w:t>
      </w:r>
      <w:r>
        <w:t xml:space="preserve">(1), 41–46.</w:t>
      </w:r>
    </w:p>
    <w:p>
      <w:pPr>
        <w:pStyle w:val="BodyText"/>
      </w:pPr>
      <w:r>
        <w:t xml:space="preserve">Cover, T. M., &amp; Thomas, J. A. (2006).</w:t>
      </w:r>
      <w:r>
        <w:t xml:space="preserve"> </w:t>
      </w:r>
      <w:r>
        <w:rPr>
          <w:i/>
          <w:iCs/>
        </w:rPr>
        <w:t xml:space="preserve">Elements of information theory</w:t>
      </w:r>
      <w:r>
        <w:t xml:space="preserve"> </w:t>
      </w:r>
      <w:r>
        <w:t xml:space="preserve">(2nd ed.). Wiley-Interscience.</w:t>
      </w:r>
    </w:p>
    <w:p>
      <w:pPr>
        <w:pStyle w:val="BodyText"/>
      </w:pPr>
      <w:r>
        <w:t xml:space="preserve">Cronbach, L. J. (1951). Coefficient alpha and the internal structure of tests.</w:t>
      </w:r>
      <w:r>
        <w:t xml:space="preserve"> </w:t>
      </w:r>
      <w:r>
        <w:rPr>
          <w:i/>
          <w:iCs/>
        </w:rPr>
        <w:t xml:space="preserve">Psychometrika, 16</w:t>
      </w:r>
      <w:r>
        <w:t xml:space="preserve">(3), 297–334.</w:t>
      </w:r>
    </w:p>
    <w:p>
      <w:pPr>
        <w:pStyle w:val="BodyText"/>
      </w:pPr>
      <w:r>
        <w:t xml:space="preserve">Crutchfield, J. P., &amp; Feldman, D. P. (2003). Regularities unseen, randomness observed: Levels of entropy convergence.</w:t>
      </w:r>
      <w:r>
        <w:t xml:space="preserve"> </w:t>
      </w:r>
      <w:r>
        <w:rPr>
          <w:i/>
          <w:iCs/>
        </w:rPr>
        <w:t xml:space="preserve">Chaos, 13</w:t>
      </w:r>
      <w:r>
        <w:t xml:space="preserve">(1), 25–54.</w:t>
      </w:r>
    </w:p>
    <w:p>
      <w:pPr>
        <w:pStyle w:val="BodyText"/>
      </w:pPr>
      <w:r>
        <w:t xml:space="preserve">DeGroot, M. H., &amp; Fienberg, S. E. (1983). The comparison and evaluation of forecasters.</w:t>
      </w:r>
      <w:r>
        <w:t xml:space="preserve"> </w:t>
      </w:r>
      <w:r>
        <w:rPr>
          <w:i/>
          <w:iCs/>
        </w:rPr>
        <w:t xml:space="preserve">The Statistician, 32</w:t>
      </w:r>
      <w:r>
        <w:t xml:space="preserve">(1–2), 12–22.</w:t>
      </w:r>
    </w:p>
    <w:p>
      <w:pPr>
        <w:pStyle w:val="BodyText"/>
      </w:pPr>
      <w:r>
        <w:t xml:space="preserve">El-Yaniv, R., &amp; Wiener, Y. (2010). On the foundations of noise-free selective classification.</w:t>
      </w:r>
      <w:r>
        <w:t xml:space="preserve"> </w:t>
      </w:r>
      <w:r>
        <w:rPr>
          <w:i/>
          <w:iCs/>
        </w:rPr>
        <w:t xml:space="preserve">Journal of Machine Learning Research, 11</w:t>
      </w:r>
      <w:r>
        <w:t xml:space="preserve">, 1605–1641.</w:t>
      </w:r>
    </w:p>
    <w:p>
      <w:pPr>
        <w:pStyle w:val="BodyText"/>
      </w:pPr>
      <w:r>
        <w:t xml:space="preserve">Embretson, S. E., &amp; Reise, S. P. (2000).</w:t>
      </w:r>
      <w:r>
        <w:t xml:space="preserve"> </w:t>
      </w:r>
      <w:r>
        <w:rPr>
          <w:i/>
          <w:iCs/>
        </w:rPr>
        <w:t xml:space="preserve">Item response theory for psychologists.</w:t>
      </w:r>
      <w:r>
        <w:t xml:space="preserve"> </w:t>
      </w:r>
      <w:r>
        <w:t xml:space="preserve">Lawrence Erlbaum.</w:t>
      </w:r>
    </w:p>
    <w:p>
      <w:pPr>
        <w:pStyle w:val="BodyText"/>
      </w:pPr>
      <w:r>
        <w:t xml:space="preserve">Fodor, J. A., &amp; Pylyshyn, Z. W. (1988). Connectionism and cognitive architecture: A critical analysis.</w:t>
      </w:r>
      <w:r>
        <w:t xml:space="preserve"> </w:t>
      </w:r>
      <w:r>
        <w:rPr>
          <w:i/>
          <w:iCs/>
        </w:rPr>
        <w:t xml:space="preserve">Cognition, 28</w:t>
      </w:r>
      <w:r>
        <w:t xml:space="preserve">(1–2), 3–71.</w:t>
      </w:r>
    </w:p>
    <w:p>
      <w:pPr>
        <w:pStyle w:val="BodyText"/>
      </w:pPr>
      <w:r>
        <w:t xml:space="preserve">Green, D. M., &amp; Swets, J. A. (1966).</w:t>
      </w:r>
      <w:r>
        <w:t xml:space="preserve"> </w:t>
      </w:r>
      <w:r>
        <w:rPr>
          <w:i/>
          <w:iCs/>
        </w:rPr>
        <w:t xml:space="preserve">Signal detection theory and psychophysics.</w:t>
      </w:r>
      <w:r>
        <w:t xml:space="preserve"> </w:t>
      </w:r>
      <w:r>
        <w:t xml:space="preserve">Wiley.</w:t>
      </w:r>
    </w:p>
    <w:p>
      <w:pPr>
        <w:pStyle w:val="BodyText"/>
      </w:pPr>
      <w:r>
        <w:t xml:space="preserve">Guo, C., Pleiss, G., Sun, Y., &amp; Weinberger, K. Q. (2017). On calibration of modern neural networks.</w:t>
      </w:r>
      <w:r>
        <w:t xml:space="preserve"> </w:t>
      </w:r>
      <w:r>
        <w:rPr>
          <w:i/>
          <w:iCs/>
        </w:rPr>
        <w:t xml:space="preserve">Proceedings of ICML 2017</w:t>
      </w:r>
      <w:r>
        <w:t xml:space="preserve">, 1321–1330.</w:t>
      </w:r>
    </w:p>
    <w:p>
      <w:pPr>
        <w:pStyle w:val="BodyText"/>
      </w:pPr>
      <w:r>
        <w:t xml:space="preserve">Hupkes, D., Dankers, V., Mul, M., &amp; Bruni, E. (2020). Compositionality decomposed: How do neural networks generalise?</w:t>
      </w:r>
      <w:r>
        <w:t xml:space="preserve"> </w:t>
      </w:r>
      <w:r>
        <w:rPr>
          <w:i/>
          <w:iCs/>
        </w:rPr>
        <w:t xml:space="preserve">Journal of Artificial Intelligence Research, 67</w:t>
      </w:r>
      <w:r>
        <w:t xml:space="preserve">, 757–795.</w:t>
      </w:r>
    </w:p>
    <w:p>
      <w:pPr>
        <w:pStyle w:val="BodyText"/>
      </w:pPr>
      <w:r>
        <w:t xml:space="preserve">Keysers, D., Schärli, N., Scales, N., Buber, H., Furber, D., Kasber, J., … Eisenschlos, J. (2020). Measuring compositional generalization: A comprehensive method on realistic data.</w:t>
      </w:r>
      <w:r>
        <w:t xml:space="preserve"> </w:t>
      </w:r>
      <w:r>
        <w:rPr>
          <w:i/>
          <w:iCs/>
        </w:rPr>
        <w:t xml:space="preserve">Proceedings of ICLR 2020.</w:t>
      </w:r>
    </w:p>
    <w:p>
      <w:pPr>
        <w:pStyle w:val="BodyText"/>
      </w:pPr>
      <w:r>
        <w:t xml:space="preserve">Kim, N., &amp; Linzen, T. (2020). COGS: A compositional generalization challenge based on semantic interpretation.</w:t>
      </w:r>
      <w:r>
        <w:t xml:space="preserve"> </w:t>
      </w:r>
      <w:r>
        <w:rPr>
          <w:i/>
          <w:iCs/>
        </w:rPr>
        <w:t xml:space="preserve">Proceedings of EMNLP 2020.</w:t>
      </w:r>
    </w:p>
    <w:p>
      <w:pPr>
        <w:pStyle w:val="BodyText"/>
      </w:pPr>
      <w:r>
        <w:t xml:space="preserve">Lake, B. M., &amp; Baroni, M. (2018). Generalization without systematicity: On the compositional skills of sequence-to-sequence recurrent networks.</w:t>
      </w:r>
      <w:r>
        <w:t xml:space="preserve"> </w:t>
      </w:r>
      <w:r>
        <w:rPr>
          <w:i/>
          <w:iCs/>
        </w:rPr>
        <w:t xml:space="preserve">Proceedings of ICML 2018.</w:t>
      </w:r>
    </w:p>
    <w:p>
      <w:pPr>
        <w:pStyle w:val="BodyText"/>
      </w:pPr>
      <w:r>
        <w:t xml:space="preserve">Miller, G. A. (1955). Note on the bias of information estimates. In H. Quastler (Ed.),</w:t>
      </w:r>
      <w:r>
        <w:t xml:space="preserve"> </w:t>
      </w:r>
      <w:r>
        <w:rPr>
          <w:i/>
          <w:iCs/>
        </w:rPr>
        <w:t xml:space="preserve">Information theory in psychology</w:t>
      </w:r>
      <w:r>
        <w:t xml:space="preserve"> </w:t>
      </w:r>
      <w:r>
        <w:t xml:space="preserve">(pp. 95–100). Free Press.</w:t>
      </w:r>
    </w:p>
    <w:p>
      <w:pPr>
        <w:pStyle w:val="BodyText"/>
      </w:pPr>
      <w:r>
        <w:t xml:space="preserve">Nemenman, I., Bialek, W., &amp; de Ruyter van Steveninck, R. (2004). Entropy and information in neural spike trains: Progress on the sampling problem.</w:t>
      </w:r>
      <w:r>
        <w:t xml:space="preserve"> </w:t>
      </w:r>
      <w:r>
        <w:rPr>
          <w:i/>
          <w:iCs/>
        </w:rPr>
        <w:t xml:space="preserve">Physical Review E, 69</w:t>
      </w:r>
      <w:r>
        <w:t xml:space="preserve">(5), 056111.</w:t>
      </w:r>
    </w:p>
    <w:p>
      <w:pPr>
        <w:pStyle w:val="BodyText"/>
      </w:pPr>
      <w:r>
        <w:t xml:space="preserve">Newcombe, R. G. (1998). Interval estimation for the difference between independent proportions: Comparison of eleven methods.</w:t>
      </w:r>
      <w:r>
        <w:t xml:space="preserve"> </w:t>
      </w:r>
      <w:r>
        <w:rPr>
          <w:i/>
          <w:iCs/>
        </w:rPr>
        <w:t xml:space="preserve">Statistics in Medicine, 17</w:t>
      </w:r>
      <w:r>
        <w:t xml:space="preserve">(8), 873–890.</w:t>
      </w:r>
    </w:p>
    <w:p>
      <w:pPr>
        <w:pStyle w:val="BodyText"/>
      </w:pPr>
      <w:r>
        <w:t xml:space="preserve">Nykopp, T. (2001).</w:t>
      </w:r>
      <w:r>
        <w:t xml:space="preserve"> </w:t>
      </w:r>
      <w:r>
        <w:rPr>
          <w:i/>
          <w:iCs/>
        </w:rPr>
        <w:t xml:space="preserve">Statistical modelling issues for the adaptive brain interface</w:t>
      </w:r>
      <w:r>
        <w:t xml:space="preserve"> </w:t>
      </w:r>
      <w:r>
        <w:t xml:space="preserve">(Master’s thesis). Helsinki University of Technology.</w:t>
      </w:r>
    </w:p>
    <w:p>
      <w:pPr>
        <w:pStyle w:val="BodyText"/>
      </w:pPr>
      <w:r>
        <w:t xml:space="preserve">Paninski, L. (2003). Estimation of entropy and mutual information.</w:t>
      </w:r>
      <w:r>
        <w:t xml:space="preserve"> </w:t>
      </w:r>
      <w:r>
        <w:rPr>
          <w:i/>
          <w:iCs/>
        </w:rPr>
        <w:t xml:space="preserve">Neural Computation, 15</w:t>
      </w:r>
      <w:r>
        <w:t xml:space="preserve">(6), 1191–1253.</w:t>
      </w:r>
    </w:p>
    <w:p>
      <w:pPr>
        <w:pStyle w:val="BodyText"/>
      </w:pPr>
      <w:r>
        <w:t xml:space="preserve">Panzeri, S., &amp; Treves, A. (1996). Analytical estimates of limited sampling biases in different information measures.</w:t>
      </w:r>
      <w:r>
        <w:t xml:space="preserve"> </w:t>
      </w:r>
      <w:r>
        <w:rPr>
          <w:i/>
          <w:iCs/>
        </w:rPr>
        <w:t xml:space="preserve">Network: Computation in Neural Systems, 7</w:t>
      </w:r>
      <w:r>
        <w:t xml:space="preserve">(1), 87–107.</w:t>
      </w:r>
    </w:p>
    <w:p>
      <w:pPr>
        <w:pStyle w:val="BodyText"/>
      </w:pPr>
      <w:r>
        <w:t xml:space="preserve">Panzeri, S., Senatore, R., Montemurro, M. A., &amp; Petersen, R. S. (2007). Correcting for the sampling bias problem in spike train information measures.</w:t>
      </w:r>
      <w:r>
        <w:t xml:space="preserve"> </w:t>
      </w:r>
      <w:r>
        <w:rPr>
          <w:i/>
          <w:iCs/>
        </w:rPr>
        <w:t xml:space="preserve">Journal of Neurophysiology, 98</w:t>
      </w:r>
      <w:r>
        <w:t xml:space="preserve">(3), 1064–1072.</w:t>
      </w:r>
    </w:p>
    <w:p>
      <w:pPr>
        <w:pStyle w:val="BodyText"/>
      </w:pPr>
      <w:r>
        <w:t xml:space="preserve">Pfungst, O. (1911).</w:t>
      </w:r>
      <w:r>
        <w:t xml:space="preserve"> </w:t>
      </w:r>
      <w:r>
        <w:rPr>
          <w:i/>
          <w:iCs/>
        </w:rPr>
        <w:t xml:space="preserve">Clever Hans (the horse of Mr. von Osten).</w:t>
      </w:r>
      <w:r>
        <w:t xml:space="preserve"> </w:t>
      </w:r>
      <w:r>
        <w:t xml:space="preserve">Henry Holt.</w:t>
      </w:r>
    </w:p>
    <w:p>
      <w:pPr>
        <w:pStyle w:val="BodyText"/>
      </w:pPr>
      <w:r>
        <w:t xml:space="preserve">Phipson, B., &amp; Smyth, G. K. (2010). Permutation p-values should never be zero.</w:t>
      </w:r>
      <w:r>
        <w:t xml:space="preserve"> </w:t>
      </w:r>
      <w:r>
        <w:rPr>
          <w:i/>
          <w:iCs/>
        </w:rPr>
        <w:t xml:space="preserve">Statistical Applications in Genetics and Molecular Biology, 9</w:t>
      </w:r>
      <w:r>
        <w:t xml:space="preserve">(1), Article 39.</w:t>
      </w:r>
    </w:p>
    <w:p>
      <w:pPr>
        <w:pStyle w:val="BodyText"/>
      </w:pPr>
      <w:r>
        <w:t xml:space="preserve">Quiroga, R. Q., &amp; Panzeri, S. (2009). Extracting information from neuronal populations: Information theory and decoding approaches.</w:t>
      </w:r>
      <w:r>
        <w:t xml:space="preserve"> </w:t>
      </w:r>
      <w:r>
        <w:rPr>
          <w:i/>
          <w:iCs/>
        </w:rPr>
        <w:t xml:space="preserve">Nature Reviews Neuroscience, 10</w:t>
      </w:r>
      <w:r>
        <w:t xml:space="preserve">(3), 173–185.</w:t>
      </w:r>
    </w:p>
    <w:p>
      <w:pPr>
        <w:pStyle w:val="BodyText"/>
      </w:pPr>
      <w:r>
        <w:t xml:space="preserve">Schlögl, A., Lee, F., Bischof, H., &amp; Pfurtscheller, G. (2005). Characterization of four-class motor imagery EEG data for the BCI-competition 2005.</w:t>
      </w:r>
      <w:r>
        <w:t xml:space="preserve"> </w:t>
      </w:r>
      <w:r>
        <w:rPr>
          <w:i/>
          <w:iCs/>
        </w:rPr>
        <w:t xml:space="preserve">Journal of Neural Engineering, 2</w:t>
      </w:r>
      <w:r>
        <w:t xml:space="preserve">(4), L14–L22.</w:t>
      </w:r>
    </w:p>
    <w:p>
      <w:pPr>
        <w:pStyle w:val="BodyText"/>
      </w:pPr>
      <w:r>
        <w:t xml:space="preserve">Sebeok, T. A., &amp; Rosenthal, R. (Eds.). (1981).</w:t>
      </w:r>
      <w:r>
        <w:t xml:space="preserve"> </w:t>
      </w:r>
      <w:r>
        <w:rPr>
          <w:i/>
          <w:iCs/>
        </w:rPr>
        <w:t xml:space="preserve">The Clever Hans phenomenon.</w:t>
      </w:r>
      <w:r>
        <w:t xml:space="preserve"> </w:t>
      </w:r>
      <w:r>
        <w:t xml:space="preserve">Annals of the New York Academy of Sciences, 364.</w:t>
      </w:r>
    </w:p>
    <w:p>
      <w:pPr>
        <w:pStyle w:val="BodyText"/>
      </w:pPr>
      <w:r>
        <w:t xml:space="preserve">Shannon, C. E. (1948). A mathematical theory of communication.</w:t>
      </w:r>
      <w:r>
        <w:t xml:space="preserve"> </w:t>
      </w:r>
      <w:r>
        <w:rPr>
          <w:i/>
          <w:iCs/>
        </w:rPr>
        <w:t xml:space="preserve">Bell System Technical Journal, 27</w:t>
      </w:r>
      <w:r>
        <w:t xml:space="preserve">(3), 379–423.</w:t>
      </w:r>
    </w:p>
    <w:p>
      <w:pPr>
        <w:pStyle w:val="BodyText"/>
      </w:pPr>
      <w:r>
        <w:t xml:space="preserve">Sokolova, M., &amp; Lapalme, G. (2009). A systematic analysis of performance measures for classification tasks.</w:t>
      </w:r>
      <w:r>
        <w:t xml:space="preserve"> </w:t>
      </w:r>
      <w:r>
        <w:rPr>
          <w:i/>
          <w:iCs/>
        </w:rPr>
        <w:t xml:space="preserve">Information Processing and Management, 45</w:t>
      </w:r>
      <w:r>
        <w:t xml:space="preserve">(4), 427–437.</w:t>
      </w:r>
    </w:p>
    <w:p>
      <w:pPr>
        <w:pStyle w:val="BodyText"/>
      </w:pPr>
      <w:r>
        <w:t xml:space="preserve">Tangermann, M., Müller, K. R., Aertsen, A., Birbaumer, N., Braun, C., Brunner, C., … Blankertz, B. (2012). Review of the BCI Competition IV.</w:t>
      </w:r>
      <w:r>
        <w:t xml:space="preserve"> </w:t>
      </w:r>
      <w:r>
        <w:rPr>
          <w:i/>
          <w:iCs/>
        </w:rPr>
        <w:t xml:space="preserve">Frontiers in Neuroscience, 6</w:t>
      </w:r>
      <w:r>
        <w:t xml:space="preserve">, 55.</w:t>
      </w:r>
    </w:p>
    <w:p>
      <w:pPr>
        <w:pStyle w:val="BodyText"/>
      </w:pPr>
      <w:r>
        <w:t xml:space="preserve">Thompson, D. E., Blain-Moraes, S., &amp; Bhardwaj, P. (2014). Performance assessment in brain–computer interface-based augmentative and alternative communication.</w:t>
      </w:r>
      <w:r>
        <w:t xml:space="preserve"> </w:t>
      </w:r>
      <w:r>
        <w:rPr>
          <w:i/>
          <w:iCs/>
        </w:rPr>
        <w:t xml:space="preserve">BioMedical Engineering OnLine, 13</w:t>
      </w:r>
      <w:r>
        <w:t xml:space="preserve">, 43.</w:t>
      </w:r>
    </w:p>
    <w:p>
      <w:pPr>
        <w:pStyle w:val="BodyText"/>
      </w:pPr>
      <w:r>
        <w:t xml:space="preserve">Treves, A., &amp; Panzeri, S. (1995). The upward bias in measures of information derived from limited data samples.</w:t>
      </w:r>
      <w:r>
        <w:t xml:space="preserve"> </w:t>
      </w:r>
      <w:r>
        <w:rPr>
          <w:i/>
          <w:iCs/>
        </w:rPr>
        <w:t xml:space="preserve">Neural Computation, 7</w:t>
      </w:r>
      <w:r>
        <w:t xml:space="preserve">(2), 399–407.</w:t>
      </w:r>
    </w:p>
    <w:p>
      <w:pPr>
        <w:pStyle w:val="BodyText"/>
      </w:pPr>
      <w:r>
        <w:t xml:space="preserve">Wolpaw, J. R., Birbaumer, N., McFarland, D. J., Pfurtscheller, G., &amp; Vaughan, T. M. (2002). Brain–computer interfaces for communication and control.</w:t>
      </w:r>
      <w:r>
        <w:t xml:space="preserve"> </w:t>
      </w:r>
      <w:r>
        <w:rPr>
          <w:i/>
          <w:iCs/>
        </w:rPr>
        <w:t xml:space="preserve">Clinical Neurophysiology, 113</w:t>
      </w:r>
      <w:r>
        <w:t xml:space="preserve">(6), 767–791.</w:t>
      </w:r>
    </w:p>
    <w:p>
      <w:pPr>
        <w:pStyle w:val="BodyText"/>
      </w:pPr>
      <w:r>
        <w:t xml:space="preserve">Wolpaw, J. R., Ramoser, H., McFarland, D. J., &amp; Pfurtscheller, G. (2000). EEG-based communication: Improved accuracy by response verification.</w:t>
      </w:r>
      <w:r>
        <w:t xml:space="preserve"> </w:t>
      </w:r>
      <w:r>
        <w:rPr>
          <w:i/>
          <w:iCs/>
        </w:rPr>
        <w:t xml:space="preserve">IEEE Transactions on Rehabilitation Engineering, 8</w:t>
      </w:r>
      <w:r>
        <w:t xml:space="preserve">(2), 164–173.</w:t>
      </w:r>
    </w:p>
    <w:p>
      <w:pPr>
        <w:pStyle w:val="BodyText"/>
      </w:pPr>
      <w:r>
        <w:t xml:space="preserve">Yuan, P., Gao, X., Allison, B., Wang, Y., Bin, G., &amp; Gao, S. (2013). A study of the existing problems of estimating the information transfer rate in online brain–computer interfaces.</w:t>
      </w:r>
      <w:r>
        <w:t xml:space="preserve"> </w:t>
      </w:r>
      <w:r>
        <w:rPr>
          <w:i/>
          <w:iCs/>
        </w:rPr>
        <w:t xml:space="preserve">Journal of Neural Engineering, 10</w:t>
      </w:r>
      <w:r>
        <w:t xml:space="preserve">(2), 026014.</w:t>
      </w:r>
    </w:p>
    <w:bookmarkEnd w:id="72"/>
    <w:bookmarkStart w:id="73" w:name="supplementary-material"/>
    <w:p>
      <w:pPr>
        <w:pStyle w:val="Heading2"/>
      </w:pPr>
      <w:r>
        <w:t xml:space="preserve">Supplementary Material</w:t>
      </w:r>
    </w:p>
    <w:p>
      <w:pPr>
        <w:pStyle w:val="FirstParagraph"/>
      </w:pPr>
      <w:r>
        <w:rPr>
          <w:b/>
          <w:bCs/>
        </w:rPr>
        <w:t xml:space="preserve">Code S1.</w:t>
      </w:r>
      <w:r>
        <w:t xml:space="preserve"> </w:t>
      </w:r>
      <w:r>
        <w:rPr>
          <w:rStyle w:val="VerbatimChar"/>
        </w:rPr>
        <w:t xml:space="preserve">engine_v2.py</w:t>
      </w:r>
      <w:r>
        <w:t xml:space="preserve"> </w:t>
      </w:r>
      <w:r>
        <w:t xml:space="preserve">(four-channel engine and agent specification),</w:t>
      </w:r>
      <w:r>
        <w:t xml:space="preserve"> </w:t>
      </w:r>
      <w:r>
        <w:rPr>
          <w:rStyle w:val="VerbatimChar"/>
        </w:rPr>
        <w:t xml:space="preserve">run_simulations.py</w:t>
      </w:r>
      <w:r>
        <w:t xml:space="preserve"> </w:t>
      </w:r>
      <w:r>
        <w:t xml:space="preserve">(Tables 1 and S1-S6; 480-cell grid),</w:t>
      </w:r>
      <w:r>
        <w:t xml:space="preserve"> </w:t>
      </w:r>
      <w:r>
        <w:rPr>
          <w:rStyle w:val="VerbatimChar"/>
        </w:rPr>
        <w:t xml:space="preserve">power_v3.py</w:t>
      </w:r>
      <w:r>
        <w:t xml:space="preserve"> </w:t>
      </w:r>
      <w:r>
        <w:t xml:space="preserve">(Tables 2a-2e and S7),</w:t>
      </w:r>
      <w:r>
        <w:t xml:space="preserve"> </w:t>
      </w:r>
      <w:r>
        <w:rPr>
          <w:rStyle w:val="VerbatimChar"/>
        </w:rPr>
        <w:t xml:space="preserve">metrics_u.py</w:t>
      </w:r>
      <w:r>
        <w:t xml:space="preserve"> </w:t>
      </w:r>
      <w:r>
        <w:t xml:space="preserve">(Eq. 6, coverage, and intervals),</w:t>
      </w:r>
      <w:r>
        <w:t xml:space="preserve"> </w:t>
      </w:r>
      <w:r>
        <w:rPr>
          <w:rStyle w:val="VerbatimChar"/>
        </w:rPr>
        <w:t xml:space="preserve">make_figures.py</w:t>
      </w:r>
      <w:r>
        <w:t xml:space="preserve">,</w:t>
      </w:r>
      <w:r>
        <w:t xml:space="preserve"> </w:t>
      </w:r>
      <w:r>
        <w:rPr>
          <w:rStyle w:val="VerbatimChar"/>
        </w:rPr>
        <w:t xml:space="preserve">reproduce_all.py</w:t>
      </w:r>
      <w:r>
        <w:t xml:space="preserve">,</w:t>
      </w:r>
      <w:r>
        <w:t xml:space="preserve"> </w:t>
      </w:r>
      <w:r>
        <w:rPr>
          <w:rStyle w:val="VerbatimChar"/>
        </w:rPr>
        <w:t xml:space="preserve">bci_pipeline.py</w:t>
      </w:r>
      <w:r>
        <w:t xml:space="preserve"> </w:t>
      </w:r>
      <w:r>
        <w:t xml:space="preserve">(S1b),</w:t>
      </w:r>
      <w:r>
        <w:t xml:space="preserve"> </w:t>
      </w:r>
      <w:r>
        <w:rPr>
          <w:rStyle w:val="VerbatimChar"/>
        </w:rPr>
        <w:t xml:space="preserve">validate_bci_output.py</w:t>
      </w:r>
      <w:r>
        <w:t xml:space="preserve">,</w:t>
      </w:r>
      <w:r>
        <w:t xml:space="preserve"> </w:t>
      </w:r>
      <w:r>
        <w:rPr>
          <w:rStyle w:val="VerbatimChar"/>
        </w:rPr>
        <w:t xml:space="preserve">requirements-simulation.txt</w:t>
      </w:r>
      <w:r>
        <w:t xml:space="preserve">, and</w:t>
      </w:r>
      <w:r>
        <w:t xml:space="preserve"> </w:t>
      </w:r>
      <w:r>
        <w:rPr>
          <w:rStyle w:val="VerbatimChar"/>
        </w:rPr>
        <w:t xml:space="preserve">requirements-bci.txt</w:t>
      </w:r>
      <w:r>
        <w:t xml:space="preserve">.</w:t>
      </w:r>
    </w:p>
    <w:p>
      <w:pPr>
        <w:pStyle w:val="BodyText"/>
      </w:pPr>
      <w:r>
        <w:rPr>
          <w:b/>
          <w:bCs/>
        </w:rPr>
        <w:t xml:space="preserve">Data S2.</w:t>
      </w:r>
      <w:r>
        <w:t xml:space="preserve"> </w:t>
      </w:r>
      <w:r>
        <w:t xml:space="preserve">Synthetic worked-example dataset with columns {episode_id, channel, ground_truth, decoded_intent, duration_min, is_training, correct, repair_outcome, recovered, abstained, forced_commit_error}.</w:t>
      </w:r>
    </w:p>
    <w:p>
      <w:pPr>
        <w:pStyle w:val="BodyText"/>
      </w:pPr>
      <w:r>
        <w:rPr>
          <w:b/>
          <w:bCs/>
        </w:rPr>
        <w:t xml:space="preserve">Tables S0-S8.</w:t>
      </w:r>
      <w:r>
        <w:t xml:space="preserve"> </w:t>
      </w:r>
      <w:r>
        <w:t xml:space="preserve">S0 agent specification; S1 core profiles; S2 counterexamples; S3 null models; S4 matched-base sweep; S5 parameter grid; S6 synthetic-population covariance; S7 power cells with Wilson intervals; S8 subject-level primary and FBCSP-style BCI results plus a reference-only micro-average after execution.</w:t>
      </w:r>
    </w:p>
    <w:p>
      <w:pPr>
        <w:pStyle w:val="BodyText"/>
      </w:pPr>
      <w:r>
        <w:rPr>
          <w:b/>
          <w:bCs/>
        </w:rPr>
        <w:t xml:space="preserve">Protocol S4.</w:t>
      </w:r>
      <w:r>
        <w:t xml:space="preserve"> </w:t>
      </w:r>
      <w:r>
        <w:t xml:space="preserve">Blinding checklist, pre-registration template, forced-commitment procedure for U, per-channel trial-budget planner keyed to Tables 2a–2e.</w:t>
      </w:r>
    </w:p>
    <w:p>
      <w:pPr>
        <w:pStyle w:val="BodyText"/>
      </w:pPr>
      <w:r>
        <w:rPr>
          <w:b/>
          <w:bCs/>
        </w:rPr>
        <w:t xml:space="preserve">Figures.</w:t>
      </w:r>
      <w:r>
        <w:t xml:space="preserve"> </w:t>
      </w:r>
      <w:r>
        <w:t xml:space="preserve">Fig. 1 measurement blind spot; Fig. 2 subject-level accuracy, full-cycle B_min, and V_eff threshold sensitivity after BCI execution; Fig. 3 matched-base knife; Fig. 4 per-subject BCI confusion matrices after execution; Fig. 5 rejection landscape with empirical-size rows.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2026-09-04T23:43:38Z</dcterms:created>
  <dcterms:modified xsi:type="dcterms:W3CDTF">2026-09-04T23:43:38Z</dcterms:modified>
</cp:coreProperties>
</file>

<file path=docProps/custom.xml><?xml version="1.0" encoding="utf-8"?>
<Properties xmlns="http://schemas.openxmlformats.org/officeDocument/2006/custom-properties" xmlns:vt="http://schemas.openxmlformats.org/officeDocument/2006/docPropsVTypes"/>
</file>