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b9f01966ad39402d4b0d9a18e6f9382e23945"/>
    <w:p>
      <w:pPr>
        <w:pStyle w:val="Heading1"/>
      </w:pPr>
      <w:r>
        <w:t xml:space="preserve">Supplementary Protocol S4: Adversarial Evaluation and Trial-Budget Checklist</w:t>
      </w:r>
    </w:p>
    <w:p>
      <w:pPr>
        <w:pStyle w:val="FirstParagraph"/>
      </w:pPr>
      <w:r>
        <w:t xml:space="preserve">Complete Sections A–J before data collection. Record deviations rather than silently changing the protocol.</w:t>
      </w:r>
    </w:p>
    <w:bookmarkStart w:id="20" w:name="a.-ontology-and-base-channel"/>
    <w:p>
      <w:pPr>
        <w:pStyle w:val="Heading2"/>
      </w:pPr>
      <w:r>
        <w:t xml:space="preserve">A. Ontology and base channel</w:t>
      </w:r>
    </w:p>
    <w:p>
      <w:pPr>
        <w:pStyle w:val="Compact"/>
        <w:numPr>
          <w:ilvl w:val="0"/>
          <w:numId w:val="1001"/>
        </w:numPr>
      </w:pPr>
      <w:r>
        <w:t xml:space="preserve">☐ Finite intent ontology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listed and preregistered;</w:t>
      </w:r>
      <w:r>
        <w:t xml:space="preserve"> </w:t>
      </w:r>
      <w:r>
        <w:rPr>
          <w:rStyle w:val="VerbatimChar"/>
        </w:rPr>
        <w:t xml:space="preserve">|Z| = ____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☐ Emission alphabet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listed with discriminability criteria.</w:t>
      </w:r>
    </w:p>
    <w:p>
      <w:pPr>
        <w:pStyle w:val="Compact"/>
        <w:numPr>
          <w:ilvl w:val="0"/>
          <w:numId w:val="1001"/>
        </w:numPr>
      </w:pPr>
      <w:r>
        <w:t xml:space="preserve">☐ Abstention is recorded separately from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☐ Base-channel episode ground truth is independently verifiable.</w:t>
      </w:r>
    </w:p>
    <w:p>
      <w:pPr>
        <w:pStyle w:val="Compact"/>
        <w:numPr>
          <w:ilvl w:val="0"/>
          <w:numId w:val="1001"/>
        </w:numPr>
      </w:pPr>
      <w:r>
        <w:t xml:space="preserve">☐ Decoder and decision rule are frozen before evaluation.</w:t>
      </w:r>
    </w:p>
    <w:p>
      <w:pPr>
        <w:pStyle w:val="Compact"/>
        <w:numPr>
          <w:ilvl w:val="0"/>
          <w:numId w:val="1001"/>
        </w:numPr>
      </w:pPr>
      <w:r>
        <w:t xml:space="preserve">☐ Episode duration definition is fixed:</w:t>
      </w:r>
    </w:p>
    <w:p>
      <w:pPr>
        <w:pStyle w:val="Compact"/>
        <w:numPr>
          <w:ilvl w:val="1"/>
          <w:numId w:val="1002"/>
        </w:numPr>
      </w:pPr>
      <w:r>
        <w:t xml:space="preserve">☐ externally paced: onset to next onset;</w:t>
      </w:r>
    </w:p>
    <w:p>
      <w:pPr>
        <w:pStyle w:val="Compact"/>
        <w:numPr>
          <w:ilvl w:val="1"/>
          <w:numId w:val="1002"/>
        </w:numPr>
      </w:pPr>
      <w:r>
        <w:t xml:space="preserve">☐ self-paced: onset to verified resolution or preregistered timeout.</w:t>
      </w:r>
    </w:p>
    <w:p>
      <w:pPr>
        <w:pStyle w:val="Compact"/>
        <w:numPr>
          <w:ilvl w:val="0"/>
          <w:numId w:val="1001"/>
        </w:numPr>
      </w:pPr>
      <w:r>
        <w:t xml:space="preserve">☐ Decoder analysis-window duration is not substituted for the full episode cycle.</w:t>
      </w:r>
    </w:p>
    <w:p>
      <w:pPr>
        <w:pStyle w:val="Compact"/>
        <w:numPr>
          <w:ilvl w:val="0"/>
          <w:numId w:val="1001"/>
        </w:numPr>
      </w:pPr>
      <w:r>
        <w:t xml:space="preserve">☐ Base class-allocation rule is specified.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β = ____</w:t>
      </w:r>
      <w:r>
        <w:t xml:space="preserve"> </w:t>
      </w:r>
      <w:r>
        <w:t xml:space="preserve">observations per intent; under controlled allocation,</w:t>
      </w:r>
      <w:r>
        <w:t xml:space="preserve"> </w:t>
      </w:r>
      <w:r>
        <w:rPr>
          <w:rStyle w:val="VerbatimChar"/>
        </w:rPr>
        <w:t xml:space="preserve">n_S ≥ β|Z|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☐ Reference F1 threshold</w:t>
      </w:r>
      <w:r>
        <w:t xml:space="preserve"> </w:t>
      </w:r>
      <w:r>
        <w:rPr>
          <w:rStyle w:val="VerbatimChar"/>
        </w:rPr>
        <w:t xml:space="preserve">α = ____</w:t>
      </w:r>
      <w:r>
        <w:t xml:space="preserve"> </w:t>
      </w:r>
      <w:r>
        <w:t xml:space="preserve">is application-specific and preregistered.</w:t>
      </w:r>
    </w:p>
    <w:p>
      <w:pPr>
        <w:pStyle w:val="Compact"/>
        <w:numPr>
          <w:ilvl w:val="0"/>
          <w:numId w:val="1001"/>
        </w:numPr>
      </w:pPr>
      <w:r>
        <w:t xml:space="preserve">☐ Full</w:t>
      </w:r>
      <w:r>
        <w:t xml:space="preserve"> </w:t>
      </w:r>
      <w:r>
        <w:rPr>
          <w:rStyle w:val="VerbatimChar"/>
        </w:rPr>
        <w:t xml:space="preserve">V_eff(α,β)</w:t>
      </w:r>
      <w:r>
        <w:t xml:space="preserve"> </w:t>
      </w:r>
      <w:r>
        <w:t xml:space="preserve">curve will be reported at</w:t>
      </w:r>
      <w:r>
        <w:t xml:space="preserve"> </w:t>
      </w:r>
      <w:r>
        <w:rPr>
          <w:rStyle w:val="VerbatimChar"/>
        </w:rPr>
        <w:t xml:space="preserve">α = .60, .70, .80, .90</w:t>
      </w:r>
      <w:r>
        <w:t xml:space="preserve"> </w:t>
      </w:r>
      <w:r>
        <w:t xml:space="preserve">plus the application threshold.</w:t>
      </w:r>
    </w:p>
    <w:bookmarkEnd w:id="20"/>
    <w:bookmarkStart w:id="21" w:name="b.-compositional-channel-c_k"/>
    <w:p>
      <w:pPr>
        <w:pStyle w:val="Heading2"/>
      </w:pPr>
      <w:r>
        <w:t xml:space="preserve">B. Compositional channel (</w:t>
      </w:r>
      <w:r>
        <w:rPr>
          <w:rStyle w:val="VerbatimChar"/>
        </w:rPr>
        <w:t xml:space="preserve">C_k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k = ____</w:t>
      </w:r>
      <w:r>
        <w:t xml:space="preserve">-slot grammar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is explicit.</w:t>
      </w:r>
    </w:p>
    <w:p>
      <w:pPr>
        <w:pStyle w:val="Compact"/>
        <w:numPr>
          <w:ilvl w:val="0"/>
          <w:numId w:val="1003"/>
        </w:numPr>
      </w:pPr>
      <w:r>
        <w:t xml:space="preserve">☐ Training set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 held-out set</w:t>
      </w:r>
      <w:r>
        <w:t xml:space="preserve"> </w:t>
      </w:r>
      <w:r>
        <w:rPr>
          <w:rStyle w:val="VerbatimChar"/>
        </w:rPr>
        <w:t xml:space="preserve">U = G \ T</w:t>
      </w:r>
      <w:r>
        <w:t xml:space="preserve"> </w:t>
      </w:r>
      <w:r>
        <w:t xml:space="preserve">are fixed before evaluation.</w:t>
      </w:r>
    </w:p>
    <w:p>
      <w:pPr>
        <w:pStyle w:val="Compact"/>
        <w:numPr>
          <w:ilvl w:val="0"/>
          <w:numId w:val="1003"/>
        </w:numPr>
      </w:pPr>
      <w:r>
        <w:t xml:space="preserve">☐ Every constituent element appears in both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☐ Held-out combination identities, not only held-out trial counts, are recorded.</w:t>
      </w:r>
    </w:p>
    <w:p>
      <w:pPr>
        <w:pStyle w:val="Compact"/>
        <w:numPr>
          <w:ilvl w:val="0"/>
          <w:numId w:val="1003"/>
        </w:numPr>
      </w:pPr>
      <w:r>
        <w:t xml:space="preserve">☐ Response space and chance model are specified.</w:t>
      </w:r>
    </w:p>
    <w:p>
      <w:pPr>
        <w:pStyle w:val="Compact"/>
        <w:numPr>
          <w:ilvl w:val="0"/>
          <w:numId w:val="1003"/>
        </w:numPr>
      </w:pPr>
      <w:r>
        <w:t xml:space="preserve">☐ Scoring is blinded to condition and training status.</w:t>
      </w:r>
    </w:p>
    <w:p>
      <w:pPr>
        <w:pStyle w:val="Compact"/>
        <w:numPr>
          <w:ilvl w:val="0"/>
          <w:numId w:val="1003"/>
        </w:numPr>
      </w:pPr>
      <w:r>
        <w:t xml:space="preserve">☐ Grammar structure, item difficulty, response space, and hold-out construction are reported so</w:t>
      </w:r>
      <w:r>
        <w:t xml:space="preserve"> </w:t>
      </w:r>
      <w:r>
        <w:rPr>
          <w:rStyle w:val="VerbatimChar"/>
        </w:rPr>
        <w:t xml:space="preserve">C_k</w:t>
      </w:r>
      <w:r>
        <w:t xml:space="preserve"> </w:t>
      </w:r>
      <w:r>
        <w:t xml:space="preserve">can be compared across studies.</w:t>
      </w:r>
    </w:p>
    <w:p>
      <w:pPr>
        <w:pStyle w:val="Compact"/>
        <w:numPr>
          <w:ilvl w:val="0"/>
          <w:numId w:val="1003"/>
        </w:numPr>
      </w:pPr>
      <w:r>
        <w:t xml:space="preserve">☐ Held-out evaluation trials per system:</w:t>
      </w:r>
      <w:r>
        <w:t xml:space="preserve"> </w:t>
      </w:r>
      <w:r>
        <w:rPr>
          <w:rStyle w:val="VerbatimChar"/>
        </w:rPr>
        <w:t xml:space="preserve">n_U = ____</w:t>
      </w:r>
      <w:r>
        <w:t xml:space="preserve">.</w:t>
      </w:r>
    </w:p>
    <w:p>
      <w:pPr>
        <w:pStyle w:val="FirstParagraph"/>
      </w:pPr>
      <w:r>
        <w:t xml:space="preserve">Power reference, two independent systems, baseline</w:t>
      </w:r>
      <w:r>
        <w:t xml:space="preserve"> </w:t>
      </w:r>
      <w:r>
        <w:rPr>
          <w:rStyle w:val="VerbatimChar"/>
        </w:rPr>
        <w:t xml:space="preserve">C_k=.50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Target difference</w:t>
            </w:r>
            <w:r>
              <w:t xml:space="preserve"> </w:t>
            </w:r>
            <w:r>
              <w:rPr>
                <w:rStyle w:val="VerbatimChar"/>
              </w:rPr>
              <w:t xml:space="preserve">δ_C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held-out trials per system for 80% power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1,600</w:t>
            </w:r>
          </w:p>
        </w:tc>
      </w:tr>
    </w:tbl>
    <w:p>
      <w:pPr>
        <w:pStyle w:val="BodyText"/>
      </w:pPr>
      <w:r>
        <w:t xml:space="preserve">The extreme chance-versus-.86 presence contrast reaches about 90% power at eight held-out trials per system. It is not a general sample-size recommendation.</w:t>
      </w:r>
    </w:p>
    <w:bookmarkEnd w:id="21"/>
    <w:bookmarkStart w:id="22" w:name="c.-repair-channel-r"/>
    <w:p>
      <w:pPr>
        <w:pStyle w:val="Heading2"/>
      </w:pPr>
      <w:r>
        <w:t xml:space="preserve">C. Repair channel (</w:t>
      </w:r>
      <w:r>
        <w:rPr>
          <w:rStyle w:val="VerbatimChar"/>
        </w:rPr>
        <w:t xml:space="preserve">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☐ Induced misunderstanding proportion:</w:t>
      </w:r>
      <w:r>
        <w:t xml:space="preserve"> </w:t>
      </w:r>
      <w:r>
        <w:rPr>
          <w:rStyle w:val="VerbatimChar"/>
        </w:rPr>
        <w:t xml:space="preserve">____%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☐ Induced errors are pseudorandom and unpredictable by the agent.</w:t>
      </w:r>
    </w:p>
    <w:p>
      <w:pPr>
        <w:pStyle w:val="Compact"/>
        <w:numPr>
          <w:ilvl w:val="0"/>
          <w:numId w:val="1004"/>
        </w:numPr>
      </w:pPr>
      <w:r>
        <w:t xml:space="preserve">☐ Observation window:</w:t>
      </w:r>
      <w:r>
        <w:t xml:space="preserve"> </w:t>
      </w:r>
      <w:r>
        <w:rPr>
          <w:rStyle w:val="VerbatimChar"/>
        </w:rPr>
        <w:t xml:space="preserve">n = ____</w:t>
      </w:r>
      <w:r>
        <w:t xml:space="preserve"> </w:t>
      </w:r>
      <w:r>
        <w:t xml:space="preserve">turns; timeout</w:t>
      </w:r>
      <w:r>
        <w:t xml:space="preserve"> </w:t>
      </w:r>
      <w:r>
        <w:rPr>
          <w:rStyle w:val="VerbatimChar"/>
        </w:rPr>
        <w:t xml:space="preserve">____</w:t>
      </w:r>
      <w:r>
        <w:t xml:space="preserve"> </w:t>
      </w:r>
      <w:r>
        <w:t xml:space="preserve">seconds/turn.</w:t>
      </w:r>
    </w:p>
    <w:p>
      <w:pPr>
        <w:pStyle w:val="Compact"/>
        <w:numPr>
          <w:ilvl w:val="0"/>
          <w:numId w:val="1004"/>
        </w:numPr>
      </w:pPr>
      <w:r>
        <w:t xml:space="preserve">☐ Outcomes are coded as Repeat / Modify / Escalate / Abandon.</w:t>
      </w:r>
    </w:p>
    <w:p>
      <w:pPr>
        <w:pStyle w:val="Compact"/>
        <w:numPr>
          <w:ilvl w:val="0"/>
          <w:numId w:val="1004"/>
        </w:numPr>
      </w:pPr>
      <w:r>
        <w:t xml:space="preserve">☐ Correct recovery is defined independently of the outcome category.</w:t>
      </w:r>
    </w:p>
    <w:p>
      <w:pPr>
        <w:pStyle w:val="Compact"/>
        <w:numPr>
          <w:ilvl w:val="0"/>
          <w:numId w:val="1004"/>
        </w:numPr>
      </w:pPr>
      <w:r>
        <w:t xml:space="preserve">☐ Blinded repair coders assigned; target reliability</w:t>
      </w:r>
      <w:r>
        <w:t xml:space="preserve"> </w:t>
      </w:r>
      <w:r>
        <w:rPr>
          <w:rStyle w:val="VerbatimChar"/>
        </w:rPr>
        <w:t xml:space="preserve">κ ≥ .75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☐ The repair null is derived from the actual receiver/decoder and repair policy.</w:t>
      </w:r>
    </w:p>
    <w:p>
      <w:pPr>
        <w:pStyle w:val="Compact"/>
        <w:numPr>
          <w:ilvl w:val="0"/>
          <w:numId w:val="1004"/>
        </w:numPr>
      </w:pPr>
      <w:r>
        <w:t xml:space="preserve">☐ If the independent-uniform null is used, state that assumption explicitly:</w:t>
      </w:r>
      <w:r>
        <w:t xml:space="preserve"> </w:t>
      </w:r>
      <w:r>
        <w:rPr>
          <w:rStyle w:val="VerbatimChar"/>
        </w:rPr>
        <w:t xml:space="preserve">1-(1-1/|Z|)^n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☐ Induced-error trials per system:</w:t>
      </w:r>
      <w:r>
        <w:t xml:space="preserve"> </w:t>
      </w:r>
      <w:r>
        <w:rPr>
          <w:rStyle w:val="VerbatimChar"/>
        </w:rPr>
        <w:t xml:space="preserve">n_R = ____</w:t>
      </w:r>
      <w:r>
        <w:t xml:space="preserve">.</w:t>
      </w:r>
    </w:p>
    <w:p>
      <w:pPr>
        <w:pStyle w:val="FirstParagraph"/>
      </w:pPr>
      <w:r>
        <w:t xml:space="preserve">Power reference at independent-uniform baseline</w:t>
      </w:r>
      <w:r>
        <w:t xml:space="preserve"> </w:t>
      </w:r>
      <w:r>
        <w:rPr>
          <w:rStyle w:val="VerbatimChar"/>
        </w:rPr>
        <w:t xml:space="preserve">.160</w:t>
      </w:r>
      <w:r>
        <w:t xml:space="preserve">, two systems: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Target difference</w:t>
            </w:r>
            <w:r>
              <w:t xml:space="preserve"> </w:t>
            </w:r>
            <w:r>
              <w:rPr>
                <w:rStyle w:val="VerbatimChar"/>
              </w:rPr>
              <w:t xml:space="preserve">δ_R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induced-error trials per system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gives about .97 power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gives about .88 power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gives about .91 power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More than 400 required</w:t>
            </w:r>
          </w:p>
        </w:tc>
      </w:tr>
    </w:tbl>
    <w:bookmarkEnd w:id="22"/>
    <w:bookmarkStart w:id="23" w:name="d.-uncertainty-channel-u"/>
    <w:p>
      <w:pPr>
        <w:pStyle w:val="Heading2"/>
      </w:pPr>
      <w:r>
        <w:t xml:space="preserve">D. Uncertainty channel (</w:t>
      </w:r>
      <w:r>
        <w:rPr>
          <w:rStyle w:val="VerbatimChar"/>
        </w:rPr>
        <w:t xml:space="preserve">U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☐ UNKNOWN/abstain is available before forced commitment.</w:t>
      </w:r>
    </w:p>
    <w:p>
      <w:pPr>
        <w:pStyle w:val="Compact"/>
        <w:numPr>
          <w:ilvl w:val="0"/>
          <w:numId w:val="1005"/>
        </w:numPr>
      </w:pPr>
      <w:r>
        <w:t xml:space="preserve">☐ The same stimulus remains in view or otherwise unchanged.</w:t>
      </w:r>
    </w:p>
    <w:p>
      <w:pPr>
        <w:pStyle w:val="Compact"/>
        <w:numPr>
          <w:ilvl w:val="0"/>
          <w:numId w:val="1005"/>
        </w:numPr>
      </w:pPr>
      <w:r>
        <w:t xml:space="preserve">☐ No additional task-relevant information is supplied between abstention and forced commitment.</w:t>
      </w:r>
    </w:p>
    <w:p>
      <w:pPr>
        <w:pStyle w:val="Compact"/>
        <w:numPr>
          <w:ilvl w:val="0"/>
          <w:numId w:val="1005"/>
        </w:numPr>
      </w:pPr>
      <w:r>
        <w:t xml:space="preserve">☐ Forced commitment follows after a fixed short delay of</w:t>
      </w:r>
      <w:r>
        <w:t xml:space="preserve"> </w:t>
      </w:r>
      <w:r>
        <w:rPr>
          <w:rStyle w:val="VerbatimChar"/>
        </w:rPr>
        <w:t xml:space="preserve">____</w:t>
      </w:r>
      <w:r>
        <w:t xml:space="preserve"> </w:t>
      </w:r>
      <w:r>
        <w:t xml:space="preserve">seconds.</w:t>
      </w:r>
    </w:p>
    <w:p>
      <w:pPr>
        <w:pStyle w:val="Compact"/>
        <w:numPr>
          <w:ilvl w:val="0"/>
          <w:numId w:val="1005"/>
        </w:numPr>
      </w:pPr>
      <w:r>
        <w:t xml:space="preserve">☐ Outcome feedback occurs only after forced commitment.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a_i</w:t>
      </w:r>
      <w:r>
        <w:t xml:space="preserve"> </w:t>
      </w:r>
      <w:r>
        <w:t xml:space="preserve">records abstention and</w:t>
      </w:r>
      <w:r>
        <w:t xml:space="preserve"> </w:t>
      </w:r>
      <w:r>
        <w:rPr>
          <w:rStyle w:val="VerbatimChar"/>
        </w:rPr>
        <w:t xml:space="preserve">e_i</w:t>
      </w:r>
      <w:r>
        <w:t xml:space="preserve"> </w:t>
      </w:r>
      <w:r>
        <w:t xml:space="preserve">records forced-commitment error on every uncertainty trial.</w:t>
      </w:r>
    </w:p>
    <w:p>
      <w:pPr>
        <w:pStyle w:val="Compact"/>
        <w:numPr>
          <w:ilvl w:val="0"/>
          <w:numId w:val="1005"/>
        </w:numPr>
      </w:pPr>
      <w:r>
        <w:t xml:space="preserve">☐ Both</w:t>
      </w:r>
      <w:r>
        <w:t xml:space="preserve"> </w:t>
      </w:r>
      <w:r>
        <w:rPr>
          <w:rStyle w:val="VerbatimChar"/>
        </w:rPr>
        <w:t xml:space="preserve">e=1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e=0</w:t>
      </w:r>
      <w:r>
        <w:t xml:space="preserve"> </w:t>
      </w:r>
      <w:r>
        <w:t xml:space="preserve">strata are expected to be populated.</w:t>
      </w:r>
    </w:p>
    <w:p>
      <w:pPr>
        <w:pStyle w:val="Compact"/>
        <w:numPr>
          <w:ilvl w:val="0"/>
          <w:numId w:val="1005"/>
        </w:numPr>
      </w:pPr>
      <w:r>
        <w:t xml:space="preserve">☐ Report</w:t>
      </w:r>
      <w:r>
        <w:t xml:space="preserve"> </w:t>
      </w:r>
      <w:r>
        <w:rPr>
          <w:rStyle w:val="VerbatimChar"/>
        </w:rPr>
        <w:t xml:space="preserve">U</w:t>
      </w:r>
      <w:r>
        <w:t xml:space="preserve">, its interval, abstention rate/coverage,</w:t>
      </w:r>
      <w:r>
        <w:t xml:space="preserve"> </w:t>
      </w:r>
      <w:r>
        <w:rPr>
          <w:rStyle w:val="VerbatimChar"/>
        </w:rPr>
        <w:t xml:space="preserve">n_{e=1}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n_{e=0}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☐ For graded confidence, report risk–coverage and AURC; assess calibration separately with a proper score.</w:t>
      </w:r>
    </w:p>
    <w:p>
      <w:pPr>
        <w:pStyle w:val="Compact"/>
        <w:numPr>
          <w:ilvl w:val="0"/>
          <w:numId w:val="1005"/>
        </w:numPr>
      </w:pPr>
      <w:r>
        <w:t xml:space="preserve">☐ Uncertainty trials:</w:t>
      </w:r>
      <w:r>
        <w:t xml:space="preserve"> </w:t>
      </w:r>
      <w:r>
        <w:rPr>
          <w:rStyle w:val="VerbatimChar"/>
        </w:rPr>
        <w:t xml:space="preserve">n_A = ____</w:t>
      </w:r>
      <w:r>
        <w:t xml:space="preserve">; anticipated error fraction</w:t>
      </w:r>
      <w:r>
        <w:t xml:space="preserve"> </w:t>
      </w:r>
      <w:r>
        <w:rPr>
          <w:rStyle w:val="VerbatimChar"/>
        </w:rPr>
        <w:t xml:space="preserve">π_e = ____</w:t>
      </w:r>
      <w:r>
        <w:t xml:space="preserve">.</w:t>
      </w:r>
    </w:p>
    <w:p>
      <w:pPr>
        <w:pStyle w:val="FirstParagraph"/>
      </w:pPr>
      <w:r>
        <w:t xml:space="preserve">Power reference for non-error abstention</w:t>
      </w:r>
      <w:r>
        <w:t xml:space="preserve"> </w:t>
      </w:r>
      <w:r>
        <w:rPr>
          <w:rStyle w:val="VerbatimChar"/>
        </w:rPr>
        <w:t xml:space="preserve">.10</w:t>
      </w:r>
      <w:r>
        <w:t xml:space="preserve"> </w:t>
      </w:r>
      <w:r>
        <w:t xml:space="preserve">and error fraction</w:t>
      </w:r>
      <w:r>
        <w:t xml:space="preserve"> </w:t>
      </w:r>
      <w:r>
        <w:rPr>
          <w:rStyle w:val="VerbatimChar"/>
        </w:rPr>
        <w:t xml:space="preserve">.20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Target selectivity</w:t>
            </w:r>
            <w:r>
              <w:t xml:space="preserve"> </w:t>
            </w:r>
            <w:r>
              <w:rPr>
                <w:rStyle w:val="VerbatimChar"/>
              </w:rPr>
              <w:t xml:space="preserve">δ_U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uncertainty trials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gives about .96 power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gives about .86 power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gives about .81 power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 gives about .95 power</w:t>
            </w:r>
          </w:p>
        </w:tc>
      </w:tr>
    </w:tbl>
    <w:p>
      <w:pPr>
        <w:pStyle w:val="BodyText"/>
      </w:pPr>
      <w:r>
        <w:t xml:space="preserve">Power changes materially with the error fraction. Use the complete Table S7 rather than a fixed minimum.</w:t>
      </w:r>
    </w:p>
    <w:bookmarkEnd w:id="23"/>
    <w:bookmarkStart w:id="24" w:name="e.-blinding-and-anti-cueing"/>
    <w:p>
      <w:pPr>
        <w:pStyle w:val="Heading2"/>
      </w:pPr>
      <w:r>
        <w:t xml:space="preserve">E. Blinding and anti-cueing</w:t>
      </w:r>
    </w:p>
    <w:p>
      <w:pPr>
        <w:pStyle w:val="Compact"/>
        <w:numPr>
          <w:ilvl w:val="0"/>
          <w:numId w:val="1006"/>
        </w:numPr>
      </w:pPr>
      <w:r>
        <w:t xml:space="preserve">☐ Handler is blind to target intent.</w:t>
      </w:r>
    </w:p>
    <w:p>
      <w:pPr>
        <w:pStyle w:val="Compact"/>
        <w:numPr>
          <w:ilvl w:val="0"/>
          <w:numId w:val="1006"/>
        </w:numPr>
      </w:pPr>
      <w:r>
        <w:t xml:space="preserve">☐ Target is set by an independent experimenter or automated system.</w:t>
      </w:r>
    </w:p>
    <w:p>
      <w:pPr>
        <w:pStyle w:val="Compact"/>
        <w:numPr>
          <w:ilvl w:val="0"/>
          <w:numId w:val="1006"/>
        </w:numPr>
      </w:pPr>
      <w:r>
        <w:t xml:space="preserve">☐ No setter–handler communication occurs during trials.</w:t>
      </w:r>
    </w:p>
    <w:p>
      <w:pPr>
        <w:pStyle w:val="Compact"/>
        <w:numPr>
          <w:ilvl w:val="0"/>
          <w:numId w:val="1006"/>
        </w:numPr>
      </w:pPr>
      <w:r>
        <w:t xml:space="preserve">☐ Handler behavior is video recorded.</w:t>
      </w:r>
    </w:p>
    <w:p>
      <w:pPr>
        <w:pStyle w:val="Compact"/>
        <w:numPr>
          <w:ilvl w:val="0"/>
          <w:numId w:val="1006"/>
        </w:numPr>
      </w:pPr>
      <w:r>
        <w:t xml:space="preserve">☐ A blinded coder reviews cue leakage.</w:t>
      </w:r>
    </w:p>
    <w:p>
      <w:pPr>
        <w:pStyle w:val="Compact"/>
        <w:numPr>
          <w:ilvl w:val="0"/>
          <w:numId w:val="1006"/>
        </w:numPr>
      </w:pPr>
      <w:r>
        <w:t xml:space="preserve">☐ Decoder output is logged before human observation.</w:t>
      </w:r>
    </w:p>
    <w:p>
      <w:pPr>
        <w:pStyle w:val="Compact"/>
        <w:numPr>
          <w:ilvl w:val="0"/>
          <w:numId w:val="1006"/>
        </w:numPr>
      </w:pPr>
      <w:r>
        <w:t xml:space="preserve">☐ Clever Hans controls are described for interactive animal paradigms.</w:t>
      </w:r>
    </w:p>
    <w:bookmarkEnd w:id="24"/>
    <w:bookmarkStart w:id="25" w:name="f.-automated-logging-and-data-schema"/>
    <w:p>
      <w:pPr>
        <w:pStyle w:val="Heading2"/>
      </w:pPr>
      <w:r>
        <w:t xml:space="preserve">F. Automated logging and data schema</w:t>
      </w:r>
    </w:p>
    <w:p>
      <w:pPr>
        <w:pStyle w:val="Compact"/>
        <w:numPr>
          <w:ilvl w:val="0"/>
          <w:numId w:val="1007"/>
        </w:numPr>
      </w:pPr>
      <w:r>
        <w:t xml:space="preserve">☐ All emissions, decoder outputs, targets, abstentions, forced commitments, repair turns, and timestamps are logged automatically.</w:t>
      </w:r>
    </w:p>
    <w:p>
      <w:pPr>
        <w:pStyle w:val="Compact"/>
        <w:numPr>
          <w:ilvl w:val="0"/>
          <w:numId w:val="1007"/>
        </w:numPr>
      </w:pPr>
      <w:r>
        <w:t xml:space="preserve">☐ Raw and processed data retain stable episode identifiers.</w:t>
      </w:r>
    </w:p>
    <w:p>
      <w:pPr>
        <w:pStyle w:val="Compact"/>
        <w:numPr>
          <w:ilvl w:val="0"/>
          <w:numId w:val="1007"/>
        </w:numPr>
      </w:pPr>
      <w:r>
        <w:t xml:space="preserve">☐ Exclusions preserve an audit trail and reason code.</w:t>
      </w:r>
    </w:p>
    <w:p>
      <w:pPr>
        <w:pStyle w:val="Compact"/>
        <w:numPr>
          <w:ilvl w:val="0"/>
          <w:numId w:val="1007"/>
        </w:numPr>
      </w:pPr>
      <w:r>
        <w:t xml:space="preserve">☐ The released schema contains at least:</w:t>
      </w:r>
      <w:r>
        <w:t xml:space="preserve"> </w:t>
      </w:r>
      <w:r>
        <w:rPr>
          <w:rStyle w:val="VerbatimChar"/>
        </w:rPr>
        <w:t xml:space="preserve">episode_id, channel, ground_truth, decoded_intent, onset, resolution_or_next_onset, duration_min, is_training, combination_id, correct, repair_outcome, recovered, abstained, forced_commit_error</w:t>
      </w:r>
      <w:r>
        <w:t xml:space="preserve">.</w:t>
      </w:r>
    </w:p>
    <w:bookmarkEnd w:id="25"/>
    <w:bookmarkStart w:id="26" w:name="g.-ground-truth-and-measurement-error"/>
    <w:p>
      <w:pPr>
        <w:pStyle w:val="Heading2"/>
      </w:pPr>
      <w:r>
        <w:t xml:space="preserve">G. Ground truth and measurement error</w:t>
      </w:r>
    </w:p>
    <w:p>
      <w:pPr>
        <w:pStyle w:val="Compact"/>
        <w:numPr>
          <w:ilvl w:val="0"/>
          <w:numId w:val="1008"/>
        </w:numPr>
      </w:pPr>
      <w:r>
        <w:t xml:space="preserve">☐ Ground truth is not inferred from the decoder or handler narrative.</w:t>
      </w:r>
    </w:p>
    <w:p>
      <w:pPr>
        <w:pStyle w:val="Compact"/>
        <w:numPr>
          <w:ilvl w:val="0"/>
          <w:numId w:val="1008"/>
        </w:numPr>
      </w:pPr>
      <w:r>
        <w:t xml:space="preserve">☐ Spontaneous-intent coding uses at least two blinded judges and target</w:t>
      </w:r>
      <w:r>
        <w:t xml:space="preserve"> </w:t>
      </w:r>
      <w:r>
        <w:rPr>
          <w:rStyle w:val="VerbatimChar"/>
        </w:rPr>
        <w:t xml:space="preserve">κ ≥ .80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☐ Indeterminate episodes are flagged before analysis; exclusion rate reported.</w:t>
      </w:r>
    </w:p>
    <w:p>
      <w:pPr>
        <w:pStyle w:val="Compact"/>
        <w:numPr>
          <w:ilvl w:val="0"/>
          <w:numId w:val="1008"/>
        </w:numPr>
      </w:pPr>
      <w:r>
        <w:t xml:space="preserve">☐ A sensitivity analysis is specified when estimated label error exceeds .10.</w:t>
      </w:r>
    </w:p>
    <w:p>
      <w:pPr>
        <w:pStyle w:val="Compact"/>
        <w:numPr>
          <w:ilvl w:val="0"/>
          <w:numId w:val="1008"/>
        </w:numPr>
      </w:pPr>
      <w:r>
        <w:t xml:space="preserve">☐ For</w:t>
      </w:r>
      <w:r>
        <w:t xml:space="preserve"> </w:t>
      </w:r>
      <w:r>
        <w:rPr>
          <w:rStyle w:val="VerbatimChar"/>
        </w:rPr>
        <w:t xml:space="preserve">U</w:t>
      </w:r>
      <w:r>
        <w:t xml:space="preserve">, distinguish nondifferential forced-commitment outcome error, which generally attenuates selectivity, from differential error, which can bias either direction.</w:t>
      </w:r>
    </w:p>
    <w:bookmarkEnd w:id="26"/>
    <w:bookmarkStart w:id="27" w:name="h.-statistical-analysis"/>
    <w:p>
      <w:pPr>
        <w:pStyle w:val="Heading2"/>
      </w:pPr>
      <w:r>
        <w:t xml:space="preserve">H. Statistical analysis</w:t>
      </w:r>
    </w:p>
    <w:p>
      <w:pPr>
        <w:pStyle w:val="Compact"/>
        <w:numPr>
          <w:ilvl w:val="0"/>
          <w:numId w:val="1009"/>
        </w:numPr>
      </w:pPr>
      <w:r>
        <w:t xml:space="preserve">☐ Miller–Madow correction uses observed support:</w:t>
      </w:r>
      <w:r>
        <w:t xml:space="preserve"> </w:t>
      </w:r>
      <w:r>
        <w:rPr>
          <w:rStyle w:val="VerbatimChar"/>
        </w:rPr>
        <w:t xml:space="preserve">(K_yz - K_y - K_z + 1)/(2N ln 2)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☐ Corrected MI is not truncated at zero for inference.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 </w:t>
      </w:r>
      <w:r>
        <w:t xml:space="preserve">descriptive interval uses bias correction inside every bootstrap sample.</w:t>
      </w:r>
    </w:p>
    <w:p>
      <w:pPr>
        <w:pStyle w:val="Compact"/>
        <w:numPr>
          <w:ilvl w:val="0"/>
          <w:numId w:val="1009"/>
        </w:numPr>
      </w:pPr>
      <w:r>
        <w:t xml:space="preserve">☐ Confirmatory one-system MI test permutes decoded outputs relative to ground truth.</w:t>
      </w:r>
    </w:p>
    <w:p>
      <w:pPr>
        <w:pStyle w:val="Compact"/>
        <w:numPr>
          <w:ilvl w:val="0"/>
          <w:numId w:val="1009"/>
        </w:numPr>
      </w:pPr>
      <w:r>
        <w:t xml:space="preserve">☐ Confirmatory two-system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 </w:t>
      </w:r>
      <w:r>
        <w:t xml:space="preserve">test permutes system labels on complete episode records; paired systems use within-episode swaps.</w:t>
      </w:r>
    </w:p>
    <w:p>
      <w:pPr>
        <w:pStyle w:val="Compact"/>
        <w:numPr>
          <w:ilvl w:val="0"/>
          <w:numId w:val="1009"/>
        </w:numPr>
      </w:pPr>
      <w:r>
        <w:t xml:space="preserve">☐ Permutation p-values use</w:t>
      </w:r>
      <w:r>
        <w:t xml:space="preserve"> </w:t>
      </w:r>
      <w:r>
        <w:rPr>
          <w:rStyle w:val="VerbatimChar"/>
        </w:rPr>
        <w:t xml:space="preserve">(b+1)/(B+1)</w:t>
      </w:r>
      <w:r>
        <w:t xml:space="preserve"> </w:t>
      </w:r>
      <w:r>
        <w:t xml:space="preserve">with at least 1,000 permutations.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C_k</w:t>
      </w:r>
      <w:r>
        <w:t xml:space="preserve"> </w:t>
      </w:r>
      <w:r>
        <w:t xml:space="preserve">reports exact binomial interval and</w:t>
      </w:r>
      <w:r>
        <w:t xml:space="preserve"> </w:t>
      </w:r>
      <w:r>
        <w:rPr>
          <w:rStyle w:val="VerbatimChar"/>
        </w:rPr>
        <w:t xml:space="preserve">n_U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reports interval, null model,</w:t>
      </w:r>
      <w:r>
        <w:t xml:space="preserve"> </w:t>
      </w:r>
      <w:r>
        <w:rPr>
          <w:rStyle w:val="VerbatimChar"/>
        </w:rPr>
        <w:t xml:space="preserve">n_R</w:t>
      </w:r>
      <w:r>
        <w:t xml:space="preserve">, and full outcome distribution.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reports a Newcombe or stratified-bootstrap interval and error-stratum counts.</w:t>
      </w:r>
    </w:p>
    <w:p>
      <w:pPr>
        <w:pStyle w:val="Compact"/>
        <w:numPr>
          <w:ilvl w:val="0"/>
          <w:numId w:val="1009"/>
        </w:numPr>
      </w:pPr>
      <w:r>
        <w:t xml:space="preserve">☐ Multiplicity procedure is specified when making subject-level or class-level claims.</w:t>
      </w:r>
    </w:p>
    <w:bookmarkEnd w:id="27"/>
    <w:bookmarkStart w:id="28" w:name="i.-cross-context-transfer"/>
    <w:p>
      <w:pPr>
        <w:pStyle w:val="Heading2"/>
      </w:pPr>
      <w:r>
        <w:t xml:space="preserve">I. Cross-context transfer</w:t>
      </w:r>
    </w:p>
    <w:p>
      <w:pPr>
        <w:pStyle w:val="Compact"/>
        <w:numPr>
          <w:ilvl w:val="0"/>
          <w:numId w:val="1010"/>
        </w:numPr>
      </w:pPr>
      <w:r>
        <w:t xml:space="preserve">☐ Novel context and/or handler is defined in advance.</w:t>
      </w:r>
    </w:p>
    <w:p>
      <w:pPr>
        <w:pStyle w:val="Compact"/>
        <w:numPr>
          <w:ilvl w:val="0"/>
          <w:numId w:val="1010"/>
        </w:numPr>
      </w:pPr>
      <w:r>
        <w:t xml:space="preserve">☐ Transfer-trial proportion:</w:t>
      </w:r>
      <w:r>
        <w:t xml:space="preserve"> </w:t>
      </w:r>
      <w:r>
        <w:rPr>
          <w:rStyle w:val="VerbatimChar"/>
        </w:rPr>
        <w:t xml:space="preserve">____%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☐ Training-context and transfer-context results are reported separately.</w:t>
      </w:r>
    </w:p>
    <w:p>
      <w:pPr>
        <w:pStyle w:val="Compact"/>
        <w:numPr>
          <w:ilvl w:val="0"/>
          <w:numId w:val="1010"/>
        </w:numPr>
      </w:pPr>
      <w:r>
        <w:t xml:space="preserve">☐ A decrement qualifies the capacity estimate rather than being silently pooled away.</w:t>
      </w:r>
    </w:p>
    <w:bookmarkEnd w:id="28"/>
    <w:bookmarkStart w:id="29" w:name="j.-reproducibility-and-reporting"/>
    <w:p>
      <w:pPr>
        <w:pStyle w:val="Heading2"/>
      </w:pPr>
      <w:r>
        <w:t xml:space="preserve">J. Reproducibility and reporting</w:t>
      </w:r>
    </w:p>
    <w:p>
      <w:pPr>
        <w:pStyle w:val="Compact"/>
        <w:numPr>
          <w:ilvl w:val="0"/>
          <w:numId w:val="1011"/>
        </w:numPr>
      </w:pPr>
      <w:r>
        <w:t xml:space="preserve">☐ Random seeds and software versions are frozen.</w:t>
      </w:r>
    </w:p>
    <w:p>
      <w:pPr>
        <w:pStyle w:val="Compact"/>
        <w:numPr>
          <w:ilvl w:val="0"/>
          <w:numId w:val="1011"/>
        </w:numPr>
      </w:pPr>
      <w:r>
        <w:t xml:space="preserve">☐ A clean environment can execute</w:t>
      </w:r>
      <w:r>
        <w:t xml:space="preserve"> </w:t>
      </w:r>
      <w:r>
        <w:rPr>
          <w:rStyle w:val="VerbatimChar"/>
        </w:rPr>
        <w:t xml:space="preserve">python reproduce_all.py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☐ Every table and figure is generated from machine-readable results.</w:t>
      </w:r>
    </w:p>
    <w:p>
      <w:pPr>
        <w:pStyle w:val="Compact"/>
        <w:numPr>
          <w:ilvl w:val="0"/>
          <w:numId w:val="1011"/>
        </w:numPr>
      </w:pPr>
      <w:r>
        <w:t xml:space="preserve">☐ Base, compositional, repair, and uncertainty channels remain separate in code.</w:t>
      </w:r>
    </w:p>
    <w:p>
      <w:pPr>
        <w:pStyle w:val="Compact"/>
        <w:numPr>
          <w:ilvl w:val="0"/>
          <w:numId w:val="1011"/>
        </w:numPr>
      </w:pPr>
      <w:r>
        <w:t xml:space="preserve">☐ No pooled confusion matrix across heterogeneous subject-specific systems is interpreted as an operating system.</w:t>
      </w:r>
    </w:p>
    <w:p>
      <w:pPr>
        <w:pStyle w:val="Compact"/>
        <w:numPr>
          <w:ilvl w:val="0"/>
          <w:numId w:val="1011"/>
        </w:numPr>
      </w:pPr>
      <w:r>
        <w:t xml:space="preserve">☐ Accuracy, MI,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, per-class precision/recall/F1, and the</w:t>
      </w:r>
      <w:r>
        <w:t xml:space="preserve"> </w:t>
      </w:r>
      <w:r>
        <w:rPr>
          <w:rStyle w:val="VerbatimChar"/>
        </w:rPr>
        <w:t xml:space="preserve">V_eff</w:t>
      </w:r>
      <w:r>
        <w:t xml:space="preserve"> </w:t>
      </w:r>
      <w:r>
        <w:t xml:space="preserve">curve are reported together.</w:t>
      </w:r>
    </w:p>
    <w:p>
      <w:pPr>
        <w:pStyle w:val="Compact"/>
        <w:numPr>
          <w:ilvl w:val="0"/>
          <w:numId w:val="1011"/>
        </w:numPr>
      </w:pPr>
      <w:r>
        <w:t xml:space="preserve">☐ Metrics not computable from the design are explicitly marked not measurable.</w:t>
      </w:r>
    </w:p>
    <w:p>
      <w:pPr>
        <w:pStyle w:val="Compact"/>
        <w:numPr>
          <w:ilvl w:val="0"/>
          <w:numId w:val="1011"/>
        </w:numPr>
      </w:pPr>
      <w:r>
        <w:t xml:space="preserve">☐ Claims about internal representation, conceptual understanding, or consciousness are excluded unless independently tested.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2026-09-04T23:31:46Z</dcterms:created>
  <dcterms:modified xsi:type="dcterms:W3CDTF">2026-09-04T23:31:46Z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