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upplementary-tables-s0-s8-revision-4"/>
    <w:p>
      <w:pPr>
        <w:pStyle w:val="Heading1"/>
      </w:pPr>
      <w:r>
        <w:t xml:space="preserve">Supplementary Tables S0-S8 — Revision 4</w:t>
      </w:r>
    </w:p>
    <w:p>
      <w:pPr>
        <w:pStyle w:val="FirstParagraph"/>
      </w:pPr>
      <w:r>
        <w:t xml:space="preserve">All simulation tables are machine-generated from seed 42. Table S8 is an execution-gated BCI shell and must be replaced only from a validated</w:t>
      </w:r>
      <w:r>
        <w:t xml:space="preserve"> </w:t>
      </w:r>
      <w:r>
        <w:rPr>
          <w:rStyle w:val="VerbatimChar"/>
        </w:rPr>
        <w:t xml:space="preserve">bci_real_application_v4.json</w:t>
      </w:r>
      <w:r>
        <w:t xml:space="preserve">.</w:t>
      </w:r>
    </w:p>
    <w:bookmarkStart w:id="20" w:name="table-s0.-programmed-agent-specification"/>
    <w:p>
      <w:pPr>
        <w:pStyle w:val="Heading2"/>
      </w:pPr>
      <w:r>
        <w:t xml:space="preserve">Table S0. Programmed-agent specification</w:t>
      </w:r>
    </w:p>
    <w:p>
      <w:pPr>
        <w:pStyle w:val="FirstParagraph"/>
      </w:pPr>
      <w:r>
        <w:rPr>
          <w:b/>
          <w:bCs/>
        </w:rPr>
        <w:t xml:space="preserve">Table S0a. Base, compositional, and uncertainty-channel parameters.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p_single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p_heldout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Abstain hard/easy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Forced-commit error hard/easy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.30/.30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.50/.50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Class-Biased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 on top 3; uniform otherwise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 when not dominant-output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Memorizer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.60/.10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.25/.05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.70; cyclic-neighbor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.45/.10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S0b. Repair policies and programmed role.</w:t>
      </w:r>
      <w:r>
        <w:t xml:space="preserve"> </w:t>
      </w:r>
      <w:r>
        <w:t xml:space="preserve">Policies are ordered Repeat/Modify/Escalate/Abandon. The recovery reference is the independent-uniform two-attempt simulation null, not a universal empirical chance rate.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.25/.25/.25/.25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null for every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response; abstention independent of error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.30/.20/.10/.40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only on the three most frequent intents.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.30/.20/.10/.40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Emits the most frequent intent on 70% of trials.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at simulation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Trained-combination success; held-out performance at chance; never abstains.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.20/.45/.20/.15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Repeat: null; Modify: .55; Escalate: .35; Abandon: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Generalizes on held-out trials, repairs, and abstains selectively.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at simulation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MI with chance C2.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at simulation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MI and C2 with R at the simulation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.30/.20/.10/.40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cyclic-neighbor errors rather than uniform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.20/.45/.20/.15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Repeat: null; Modify: .55; Escalate: .35; Abandon: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MI, C2, and R; U=0 because it never abstains.</w:t>
            </w:r>
          </w:p>
        </w:tc>
      </w:tr>
    </w:tbl>
    <w:bookmarkEnd w:id="20"/>
    <w:bookmarkStart w:id="21" w:name="X45b53fcb152e8aa17f859e8f7bcbf3103104d4d"/>
    <w:p>
      <w:pPr>
        <w:pStyle w:val="Heading2"/>
      </w:pPr>
      <w:r>
        <w:t xml:space="preserve">Table S1. Core agent profiles (400 runs, |Z| = 12, N = 1000; base channel 500 trials). Mean (SD).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(bits)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B_min (bpm)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V_eff(.60)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V_eff(.80)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 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 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 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 (0.062)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1.178 (0.116)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 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 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 (0.071)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1.418 (0.134)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 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 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 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2.572 (0.096)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4.748 (0.199)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11.79 (0.47)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 (1.27)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 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 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2.572 (0.096)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4.748 (0.199)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11.79 (0.47)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 (1.27)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 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 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 (0.132)</w:t>
            </w:r>
          </w:p>
        </w:tc>
      </w:tr>
    </w:tbl>
    <w:p>
      <w:pPr>
        <w:pStyle w:val="BodyText"/>
      </w:pPr>
      <w:r>
        <w:t xml:space="preserve">Reference values: C2 = 1/12 = 0.083 under uniform response; R = 1 - (11/12)^2 = 0.160 under the simulation’s independent-uniform receiver null; U = 0 under abstention-error independence.</w:t>
      </w:r>
    </w:p>
    <w:bookmarkEnd w:id="21"/>
    <w:bookmarkStart w:id="22" w:name="table-s2.-counterexamples-400-runs"/>
    <w:p>
      <w:pPr>
        <w:pStyle w:val="Heading2"/>
      </w:pPr>
      <w:r>
        <w:t xml:space="preserve">Table S2. Counterexamples (400 runs)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Verification: {</w:t>
      </w:r>
      <w:r>
        <w:t xml:space="preserve">‘</w:t>
      </w:r>
      <w:r>
        <w:t xml:space="preserve">ce1_high_mi_chance_c2</w:t>
      </w:r>
      <w:r>
        <w:t xml:space="preserve">’</w:t>
      </w:r>
      <w:r>
        <w:t xml:space="preserve">: True,</w:t>
      </w:r>
      <w:r>
        <w:t xml:space="preserve"> </w:t>
      </w:r>
      <w:r>
        <w:t xml:space="preserve">‘</w:t>
      </w:r>
      <w:r>
        <w:t xml:space="preserve">ce2_high_c2_chance_r</w:t>
      </w:r>
      <w:r>
        <w:t xml:space="preserve">’</w:t>
      </w:r>
      <w:r>
        <w:t xml:space="preserve">: True,</w:t>
      </w:r>
      <w:r>
        <w:t xml:space="preserve"> </w:t>
      </w:r>
      <w:r>
        <w:t xml:space="preserve">‘</w:t>
      </w:r>
      <w:r>
        <w:t xml:space="preserve">ce3_high_r_zero_u</w:t>
      </w:r>
      <w:r>
        <w:t xml:space="preserve">’</w:t>
      </w:r>
      <w:r>
        <w:t xml:space="preserve">: True}</w:t>
      </w:r>
    </w:p>
    <w:bookmarkEnd w:id="22"/>
    <w:bookmarkStart w:id="23" w:name="Xee8a4b0e65ca0409dda3cca5c2e24aee59cc838"/>
    <w:p>
      <w:pPr>
        <w:pStyle w:val="Heading2"/>
      </w:pPr>
      <w:r>
        <w:t xml:space="preserve">Table S3. Null models under Zipf imbalance (400 runs)</w:t>
      </w:r>
    </w:p>
    <w:p>
      <w:pPr>
        <w:pStyle w:val="FirstParagraph"/>
      </w:pPr>
      <w:r>
        <w:rPr>
          <w:b/>
          <w:bCs/>
        </w:rPr>
        <w:t xml:space="preserve">class_biased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Zipf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V_eff(.60)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V_eff(.80)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overproduction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Zipf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V_eff(.60)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V_eff(.80)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Expected class-biased accuracy at s = 1 under the response rule: 0.566.</w:t>
      </w:r>
    </w:p>
    <w:p>
      <w:pPr>
        <w:pStyle w:val="BodyText"/>
      </w:pPr>
      <w:r>
        <w:rPr>
          <w:b/>
          <w:bCs/>
        </w:rPr>
        <w:t xml:space="preserve">strategic_random</w:t>
      </w:r>
      <w:r>
        <w:t xml:space="preserve">: Acc 0.699, MI 2.402, B_min 4.439, V_eff(.60) 11.12, V_eff(.80) 0.34, C2 0.083, R 0.160.</w:t>
      </w:r>
    </w:p>
    <w:bookmarkEnd w:id="23"/>
    <w:bookmarkStart w:id="24" w:name="X10b4bc90a7d09755e0c148aae4295dafe0976ab"/>
    <w:p>
      <w:pPr>
        <w:pStyle w:val="Heading2"/>
      </w:pPr>
      <w:r>
        <w:t xml:space="preserve">Table S4. Equal-p sweep: memorizer vs compositional (300 runs)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base (mem/comp)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acc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B_min (mem/comp)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(mem/comp)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 / 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1.684 / 1.684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 / 0.497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 / 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 / 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 / 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 / 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3.263 / 3.263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 / 0.697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 / 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4.213 / 4.213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 / 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 / 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5.312 / 5.312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 / 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 / 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5.950 / 5.950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 / 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</w:tbl>
    <w:bookmarkEnd w:id="24"/>
    <w:bookmarkStart w:id="25" w:name="table-s5.-parameter-grid-summary"/>
    <w:p>
      <w:pPr>
        <w:pStyle w:val="Heading2"/>
      </w:pPr>
      <w:r>
        <w:t xml:space="preserve">Table S5. Parameter grid summary</w:t>
      </w:r>
    </w:p>
    <w:p>
      <w:pPr>
        <w:pStyle w:val="FirstParagraph"/>
      </w:pPr>
      <w:r>
        <w:t xml:space="preserve">Cells: 480 (|Z| in {6,12,24,48} x p in {.5,…,.95} x Zipf s in {0,.5,1,1.5} x N in {100,…,2000}), 100 paired runs each. The manuscript protocol assumes an 80/20 grammar partition, but this Bernoulli engine does not represent combination identities or a split parameter; held-out-labelled trials receive 50% of compositional evaluation allocations.</w:t>
      </w:r>
    </w:p>
    <w:p>
      <w:pPr>
        <w:pStyle w:val="Compact"/>
        <w:numPr>
          <w:ilvl w:val="0"/>
          <w:numId w:val="1001"/>
        </w:numPr>
      </w:pPr>
      <w:r>
        <w:t xml:space="preserve">C2 separation (Cohen’s d, compositional - memorizer): min 1.80, median 11.48; min by N: {</w:t>
      </w:r>
      <w:r>
        <w:t xml:space="preserve">‘</w:t>
      </w:r>
      <w:r>
        <w:t xml:space="preserve">100</w:t>
      </w:r>
      <w:r>
        <w:t xml:space="preserve">’</w:t>
      </w:r>
      <w:r>
        <w:t xml:space="preserve">: 1.7990665645732073,</w:t>
      </w:r>
      <w:r>
        <w:t xml:space="preserve"> </w:t>
      </w:r>
      <w:r>
        <w:t xml:space="preserve">‘</w:t>
      </w:r>
      <w:r>
        <w:t xml:space="preserve">200</w:t>
      </w:r>
      <w:r>
        <w:t xml:space="preserve">’</w:t>
      </w:r>
      <w:r>
        <w:t xml:space="preserve">: 2.7242138168288235,</w:t>
      </w:r>
      <w:r>
        <w:t xml:space="preserve"> </w:t>
      </w:r>
      <w:r>
        <w:t xml:space="preserve">‘</w:t>
      </w:r>
      <w:r>
        <w:t xml:space="preserve">500</w:t>
      </w:r>
      <w:r>
        <w:t xml:space="preserve">’</w:t>
      </w:r>
      <w:r>
        <w:t xml:space="preserve">: 4.220398527339975,</w:t>
      </w:r>
      <w:r>
        <w:t xml:space="preserve"> </w:t>
      </w:r>
      <w:r>
        <w:t xml:space="preserve">‘</w:t>
      </w:r>
      <w:r>
        <w:t xml:space="preserve">1000</w:t>
      </w:r>
      <w:r>
        <w:t xml:space="preserve">’</w:t>
      </w:r>
      <w:r>
        <w:t xml:space="preserve">: 6.333734862636938,</w:t>
      </w:r>
      <w:r>
        <w:t xml:space="preserve"> </w:t>
      </w:r>
      <w:r>
        <w:t xml:space="preserve">‘</w:t>
      </w:r>
      <w:r>
        <w:t xml:space="preserve">2000</w:t>
      </w:r>
      <w:r>
        <w:t xml:space="preserve">’</w:t>
      </w:r>
      <w:r>
        <w:t xml:space="preserve">: 9.048569524065496}</w:t>
      </w:r>
    </w:p>
    <w:p>
      <w:pPr>
        <w:pStyle w:val="Compact"/>
        <w:numPr>
          <w:ilvl w:val="0"/>
          <w:numId w:val="1001"/>
        </w:numPr>
      </w:pPr>
      <w:r>
        <w:t xml:space="preserve">R separation (Cohen’s d): min 0.53, median 4.36; min by N: {</w:t>
      </w:r>
      <w:r>
        <w:t xml:space="preserve">‘</w:t>
      </w:r>
      <w:r>
        <w:t xml:space="preserve">100</w:t>
      </w:r>
      <w:r>
        <w:t xml:space="preserve">’</w:t>
      </w:r>
      <w:r>
        <w:t xml:space="preserve">: 0.5277612371335976,</w:t>
      </w:r>
      <w:r>
        <w:t xml:space="preserve"> </w:t>
      </w:r>
      <w:r>
        <w:t xml:space="preserve">‘</w:t>
      </w:r>
      <w:r>
        <w:t xml:space="preserve">200</w:t>
      </w:r>
      <w:r>
        <w:t xml:space="preserve">’</w:t>
      </w:r>
      <w:r>
        <w:t xml:space="preserve">: 0.8737678708074401,</w:t>
      </w:r>
      <w:r>
        <w:t xml:space="preserve"> </w:t>
      </w:r>
      <w:r>
        <w:t xml:space="preserve">‘</w:t>
      </w:r>
      <w:r>
        <w:t xml:space="preserve">500</w:t>
      </w:r>
      <w:r>
        <w:t xml:space="preserve">’</w:t>
      </w:r>
      <w:r>
        <w:t xml:space="preserve">: 1.3214000868061868,</w:t>
      </w:r>
      <w:r>
        <w:t xml:space="preserve"> </w:t>
      </w:r>
      <w:r>
        <w:t xml:space="preserve">‘</w:t>
      </w:r>
      <w:r>
        <w:t xml:space="preserve">1000</w:t>
      </w:r>
      <w:r>
        <w:t xml:space="preserve">’</w:t>
      </w:r>
      <w:r>
        <w:t xml:space="preserve">: 1.8231103604460055,</w:t>
      </w:r>
      <w:r>
        <w:t xml:space="preserve"> </w:t>
      </w:r>
      <w:r>
        <w:t xml:space="preserve">‘</w:t>
      </w:r>
      <w:r>
        <w:t xml:space="preserve">2000</w:t>
      </w:r>
      <w:r>
        <w:t xml:space="preserve">’</w:t>
      </w:r>
      <w:r>
        <w:t xml:space="preserve">: 2.6774108619382155}</w:t>
      </w:r>
    </w:p>
    <w:p>
      <w:pPr>
        <w:pStyle w:val="Compact"/>
        <w:numPr>
          <w:ilvl w:val="0"/>
          <w:numId w:val="1001"/>
        </w:numPr>
      </w:pPr>
      <w:r>
        <w:t xml:space="preserve">B_min non-decreasing in p in 98.8% of (|Z|, s, N) series (Proposition 1)</w:t>
      </w:r>
    </w:p>
    <w:p>
      <w:pPr>
        <w:pStyle w:val="Compact"/>
        <w:numPr>
          <w:ilvl w:val="0"/>
          <w:numId w:val="1001"/>
        </w:numPr>
      </w:pPr>
      <w:r>
        <w:t xml:space="preserve">V_eff(.80) &lt;= V_eff(.60) in every cell: True (Proposition 2)</w:t>
      </w:r>
    </w:p>
    <w:bookmarkEnd w:id="25"/>
    <w:bookmarkStart w:id="26" w:name="X9c5ff97c277e758acf865b1ab2c571627cae9c4"/>
    <w:p>
      <w:pPr>
        <w:pStyle w:val="Heading2"/>
      </w:pPr>
      <w:r>
        <w:t xml:space="preserve">Table S6. Covariation in a continuously parameterized synthetic population (1,000 agents): Spearman rho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Eigenvalues: [2.262, 1.033, 0.973, 0.626, 0.106]; cumulative variance: [0.452, 0.659, 0.854, 0.979, 1.0].</w:t>
      </w:r>
    </w:p>
    <w:p>
      <w:pPr>
        <w:pStyle w:val="BodyText"/>
      </w:pPr>
      <w:r>
        <w:t xml:space="preserve">All cells use 1000 Monte Carlo replications. C2, R, and U use two-sided Fisher exact tests. B_min uses 1000 system-label permutations per replication.</w:t>
      </w:r>
    </w:p>
    <w:bookmarkEnd w:id="26"/>
    <w:bookmarkStart w:id="27" w:name="s7a.-c2-degree-comparison"/>
    <w:p>
      <w:pPr>
        <w:pStyle w:val="Heading2"/>
      </w:pPr>
      <w:r>
        <w:t xml:space="preserve">S7a. C2 degree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[0.009, 0.025]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[0.024, 0.047]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 [0.031, 0.056]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[0.035, 0.062]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[0.035, 0.062]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 [0.036, 0.063]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[0.020, 0.041]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[0.038, 0.065]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[0.067, 0.101]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 [0.112, 0.154]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 [0.227, 0.281]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 [0.759, 0.810]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 [0.023, 0.045]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 [0.082, 0.119]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 [0.180, 0.230]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 [0.327, 0.386]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 [0.769, 0.819]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 [0.086, 0.123]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 [0.302, 0.361]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 [0.627, 0.686]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 [0.912, 0.944]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 [0.519, 0.581]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 [0.960, 0.981]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</w:tbl>
    <w:bookmarkEnd w:id="27"/>
    <w:bookmarkStart w:id="28" w:name="s7b.-repair-efficiency"/>
    <w:p>
      <w:pPr>
        <w:pStyle w:val="Heading2"/>
      </w:pPr>
      <w:r>
        <w:t xml:space="preserve">S7b. Repair efficiency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 [0.014, 0.032]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[0.019, 0.040]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[0.028, 0.052]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[0.035, 0.062]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 [0.025, 0.048]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[0.024, 0.047]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[0.038, 0.065]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 [0.074, 0.109]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 [0.176, 0.226]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 [0.379, 0.440]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 [0.048, 0.078]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 [0.122, 0.165]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0.352 [0.323, 0.382]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 [0.601, 0.660]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 [0.891, 0.926]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 [0.193, 0.244]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0.444 [0.413, 0.475]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 [0.853, 0.894]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[0.990, 0.998]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 [0.269, 0.325]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 [0.587, 0.647]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 [0.962, 0.982]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 [0.994,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</w:tbl>
    <w:bookmarkEnd w:id="28"/>
    <w:bookmarkStart w:id="29" w:name="X99b0603357d806507ad460bc538372ac8cebb89"/>
    <w:p>
      <w:pPr>
        <w:pStyle w:val="Heading2"/>
      </w:pPr>
      <w:r>
        <w:t xml:space="preserve">S7c. Uncertainty selectivity (error fraction 0.20)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[0.011, 0.027]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[0.028, 0.052]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 [0.032, 0.057]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 [0.022, 0.044]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 [0.186, 0.236]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 [0.335, 0.394]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 [0.698, 0.753]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 [0.935, 0.962]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 [0.538, 0.599]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 [0.779, 0.828]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 [0.987, 0.997]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 [0.838, 0.881]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 [0.975, 0.991]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 [0.946, 0.971]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</w:tbl>
    <w:bookmarkEnd w:id="29"/>
    <w:bookmarkStart w:id="30" w:name="s7d.-effective-information-rate"/>
    <w:p>
      <w:pPr>
        <w:pStyle w:val="Heading2"/>
      </w:pPr>
      <w:r>
        <w:t xml:space="preserve">S7d. Effective information rate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[0.038, 0.065]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 [0.029, 0.053]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 [0.033, 0.059]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 [0.044, 0.073]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[0.040, 0.068]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[0.035, 0.062]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[0.035, 0.062]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 [0.047, 0.076]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 [0.057, 0.089]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 [0.066, 0.100]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 [0.070, 0.105]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 [0.111, 0.152]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 [0.089, 0.128]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 [0.107, 0.148]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 [0.262, 0.318]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 [0.336, 0.395]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0.488 [0.457, 0.519]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 [0.772, 0.822]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 [0.134, 0.179]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 [0.282, 0.339]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 [0.635, 0.694]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 [0.798, 0.845]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 [0.911, 0.943]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 [0.625, 0.684]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 [0.885, 0.922]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[0.996, 1.000]</w:t>
            </w:r>
          </w:p>
        </w:tc>
      </w:tr>
    </w:tbl>
    <w:bookmarkEnd w:id="30"/>
    <w:bookmarkStart w:id="31" w:name="population-effect-scale-for-b_min"/>
    <w:p>
      <w:pPr>
        <w:pStyle w:val="Heading2"/>
      </w:pPr>
      <w:r>
        <w:t xml:space="preserve">Population effect scale for B_min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Delta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B_min (bits/min)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1.339</w:t>
            </w:r>
          </w:p>
        </w:tc>
      </w:tr>
    </w:tbl>
    <w:bookmarkEnd w:id="31"/>
    <w:bookmarkStart w:id="32" w:name="Xa4e9fc1ae359f98709d69b8f0889f9c12939b9a"/>
    <w:p>
      <w:pPr>
        <w:pStyle w:val="Heading2"/>
      </w:pPr>
      <w:r>
        <w:t xml:space="preserve">Table S8. BCI execution-gated supplementary report</w:t>
      </w:r>
    </w:p>
    <w:p>
      <w:pPr>
        <w:pStyle w:val="FirstParagraph"/>
      </w:pPr>
      <w:r>
        <w:t xml:space="preserve">This table is not populated in the pre-execution revision. After</w:t>
      </w:r>
      <w:r>
        <w:t xml:space="preserve"> </w:t>
      </w:r>
      <w:r>
        <w:rPr>
          <w:rStyle w:val="VerbatimChar"/>
        </w:rPr>
        <w:t xml:space="preserve">validate_bci_output.py</w:t>
      </w:r>
      <w:r>
        <w:t xml:space="preserve"> </w:t>
      </w:r>
      <w:r>
        <w:t xml:space="preserve">passes, report for each subject and both decoders: all/clean/excluded trials by class, software versions, filter specification, selected hyperparameters, accuracy and kappa with intervals, plug-in MI, correction amount, corrected MI with interval, raw and Holm-adjusted permutation p-values, full-cycle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, conventional ITR, class precision/recall/F1,</w:t>
      </w:r>
      <w:r>
        <w:t xml:space="preserve"> </w:t>
      </w:r>
      <w:r>
        <w:rPr>
          <w:rStyle w:val="VerbatimChar"/>
        </w:rPr>
        <w:t xml:space="preserve">V_eff(.40-.90,30)</w:t>
      </w:r>
      <w:r>
        <w:t xml:space="preserve">, and the complete confusion matrix. A micro-average may be included only as a reference aggregation and must not be interpreted as an operating subject-specific system.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2026-09-04T23:37:16Z</dcterms:created>
  <dcterms:modified xsi:type="dcterms:W3CDTF">2026-09-04T23:37:16Z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