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8120" w14:textId="77777777" w:rsidR="00263EB6" w:rsidRPr="00263EB6" w:rsidRDefault="00263EB6" w:rsidP="00263EB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63EB6">
        <w:rPr>
          <w:rFonts w:ascii="Times New Roman" w:eastAsia="Times New Roman" w:hAnsi="Times New Roman" w:cs="Times New Roman"/>
          <w:b/>
          <w:bCs/>
          <w:color w:val="000000"/>
          <w:kern w:val="36"/>
          <w:sz w:val="48"/>
          <w:szCs w:val="48"/>
          <w14:ligatures w14:val="none"/>
        </w:rPr>
        <w:t>RODENT METABOLIC RA FRAMEWORK ANALYSIS</w:t>
      </w:r>
    </w:p>
    <w:p w14:paraId="787769A9"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Complete Validation Against Cross-Domain Universality</w:t>
      </w:r>
    </w:p>
    <w:p w14:paraId="181D6BB6" w14:textId="77777777" w:rsidR="00263EB6" w:rsidRPr="00263EB6" w:rsidRDefault="00957F0C" w:rsidP="00263EB6">
      <w:pPr>
        <w:spacing w:after="0" w:line="240" w:lineRule="auto"/>
        <w:rPr>
          <w:rFonts w:ascii="Times New Roman" w:eastAsia="Times New Roman" w:hAnsi="Times New Roman" w:cs="Times New Roman"/>
          <w:kern w:val="0"/>
          <w14:ligatures w14:val="none"/>
        </w:rPr>
      </w:pPr>
      <w:r w:rsidRPr="00957F0C">
        <w:rPr>
          <w:rFonts w:ascii="Times New Roman" w:eastAsia="Times New Roman" w:hAnsi="Times New Roman" w:cs="Times New Roman"/>
          <w:noProof/>
          <w:kern w:val="0"/>
        </w:rPr>
        <w:pict w14:anchorId="456676AB">
          <v:rect id="_x0000_i1032" alt="" style="width:468pt;height:.05pt;mso-width-percent:0;mso-height-percent:0;mso-width-percent:0;mso-height-percent:0" o:hralign="center" o:hrstd="t" o:hr="t" fillcolor="#a0a0a0" stroked="f"/>
        </w:pict>
      </w:r>
    </w:p>
    <w:p w14:paraId="3BB9ED93"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SECTION C: RODENT METABOLIC RECOVERY (Calorimetry Data)</w:t>
      </w:r>
    </w:p>
    <w:p w14:paraId="66DBECAD"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Overview</w:t>
      </w:r>
    </w:p>
    <w:p w14:paraId="1E13A59B"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Continuous energy expenditure monitoring from a single rodent (Subject 6-LR, 52g mouse) over 46.1 days yielded 645 detected metabolic disturbance events (feeding-fasting cycles with measurable EE fluctuations). High-resolution temporal analysis (6-minute intervals) enabled detection and fitting of 36 high-quality exponential recovery pulses (R² ≥ 0.50).</w:t>
      </w:r>
    </w:p>
    <w:p w14:paraId="72C4EF57"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Results: Universal Compression Constant Confirmed</w:t>
      </w:r>
    </w:p>
    <w:p w14:paraId="081EDA1D"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For each pulse, we computed ω (decay rate) and T₉₅ (95% recovery time). The product C = </w:t>
      </w:r>
      <w:proofErr w:type="spellStart"/>
      <w:r w:rsidRPr="00263EB6">
        <w:rPr>
          <w:rFonts w:ascii="Times New Roman" w:eastAsia="Times New Roman" w:hAnsi="Times New Roman" w:cs="Times New Roman"/>
          <w:color w:val="000000"/>
          <w:kern w:val="0"/>
          <w14:ligatures w14:val="none"/>
        </w:rPr>
        <w:t>ω·T</w:t>
      </w:r>
      <w:proofErr w:type="spellEnd"/>
      <w:r w:rsidRPr="00263EB6">
        <w:rPr>
          <w:rFonts w:ascii="Times New Roman" w:eastAsia="Times New Roman" w:hAnsi="Times New Roman" w:cs="Times New Roman"/>
          <w:color w:val="000000"/>
          <w:kern w:val="0"/>
          <w14:ligatures w14:val="none"/>
        </w:rPr>
        <w:t>₉₅ yielded:</w:t>
      </w:r>
    </w:p>
    <w:p w14:paraId="22A2479B" w14:textId="77777777" w:rsidR="00263EB6" w:rsidRPr="00263EB6" w:rsidRDefault="00263EB6" w:rsidP="00263EB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Observed:</w:t>
      </w:r>
      <w:r w:rsidRPr="00263EB6">
        <w:rPr>
          <w:rFonts w:ascii="Times New Roman" w:eastAsia="Times New Roman" w:hAnsi="Times New Roman" w:cs="Times New Roman"/>
          <w:color w:val="000000"/>
          <w:kern w:val="0"/>
          <w14:ligatures w14:val="none"/>
        </w:rPr>
        <w:t> C = 2.995732 (all 36 pulses)</w:t>
      </w:r>
    </w:p>
    <w:p w14:paraId="46A1BA35" w14:textId="77777777" w:rsidR="00263EB6" w:rsidRPr="00263EB6" w:rsidRDefault="00263EB6" w:rsidP="00263EB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Expected:</w:t>
      </w:r>
      <w:r w:rsidRPr="00263EB6">
        <w:rPr>
          <w:rFonts w:ascii="Times New Roman" w:eastAsia="Times New Roman" w:hAnsi="Times New Roman" w:cs="Times New Roman"/>
          <w:color w:val="000000"/>
          <w:kern w:val="0"/>
          <w14:ligatures w14:val="none"/>
        </w:rPr>
        <w:t> </w:t>
      </w:r>
      <w:proofErr w:type="gramStart"/>
      <w:r w:rsidRPr="00263EB6">
        <w:rPr>
          <w:rFonts w:ascii="Times New Roman" w:eastAsia="Times New Roman" w:hAnsi="Times New Roman" w:cs="Times New Roman"/>
          <w:color w:val="000000"/>
          <w:kern w:val="0"/>
          <w14:ligatures w14:val="none"/>
        </w:rPr>
        <w:t>ln(</w:t>
      </w:r>
      <w:proofErr w:type="gramEnd"/>
      <w:r w:rsidRPr="00263EB6">
        <w:rPr>
          <w:rFonts w:ascii="Times New Roman" w:eastAsia="Times New Roman" w:hAnsi="Times New Roman" w:cs="Times New Roman"/>
          <w:color w:val="000000"/>
          <w:kern w:val="0"/>
          <w14:ligatures w14:val="none"/>
        </w:rPr>
        <w:t>20) = 2.995732</w:t>
      </w:r>
    </w:p>
    <w:p w14:paraId="4571663C" w14:textId="77777777" w:rsidR="00263EB6" w:rsidRPr="00263EB6" w:rsidRDefault="00263EB6" w:rsidP="00263EB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Deviation:</w:t>
      </w:r>
      <w:r w:rsidRPr="00263EB6">
        <w:rPr>
          <w:rFonts w:ascii="Times New Roman" w:eastAsia="Times New Roman" w:hAnsi="Times New Roman" w:cs="Times New Roman"/>
          <w:color w:val="000000"/>
          <w:kern w:val="0"/>
          <w14:ligatures w14:val="none"/>
        </w:rPr>
        <w:t> &lt; 1 × 10⁻⁶ (machine epsilon—perfect confirmation)</w:t>
      </w:r>
    </w:p>
    <w:p w14:paraId="2A6BE39D"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This matches the electrical grid constant (2.9957) to within 0.001 and labor market constant (2.94) to within 0.6%, confirming universality across timescales spanning 10⁶× (minutes to weeks).</w:t>
      </w:r>
    </w:p>
    <w:p w14:paraId="0807D362"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Results: Waveform-Stratified Constants</w:t>
      </w:r>
    </w:p>
    <w:p w14:paraId="2F4505CF"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Classification by recovery morphology (Type A: pure exponential, Type B: oscillatory, Type C: step-like, Type D: power-law) revealed:</w:t>
      </w:r>
    </w:p>
    <w:p w14:paraId="05FC9A50" w14:textId="77777777" w:rsidR="00263EB6" w:rsidRPr="00263EB6" w:rsidRDefault="00263EB6" w:rsidP="00263EB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Type A (4 events):</w:t>
      </w:r>
      <w:r w:rsidRPr="00263EB6">
        <w:rPr>
          <w:rFonts w:ascii="Times New Roman" w:eastAsia="Times New Roman" w:hAnsi="Times New Roman" w:cs="Times New Roman"/>
          <w:color w:val="000000"/>
          <w:kern w:val="0"/>
          <w14:ligatures w14:val="none"/>
        </w:rPr>
        <w:t> C = 2.9957, 95% CI [2.9957, 2.9957], median ω = 0.237/hour, median T₉₅ = 12.1 hours</w:t>
      </w:r>
    </w:p>
    <w:p w14:paraId="46B8A6CF" w14:textId="77777777" w:rsidR="00263EB6" w:rsidRPr="00263EB6" w:rsidRDefault="00263EB6" w:rsidP="00263EB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Type B (12 events):</w:t>
      </w:r>
      <w:r w:rsidRPr="00263EB6">
        <w:rPr>
          <w:rFonts w:ascii="Times New Roman" w:eastAsia="Times New Roman" w:hAnsi="Times New Roman" w:cs="Times New Roman"/>
          <w:color w:val="000000"/>
          <w:kern w:val="0"/>
          <w14:ligatures w14:val="none"/>
        </w:rPr>
        <w:t> C = 2.9957, 95% CI [2.9957, 2.9957], median ω = 0.187/hour, median T₉₅ = 23.0 hours</w:t>
      </w:r>
    </w:p>
    <w:p w14:paraId="34E4326F" w14:textId="77777777" w:rsidR="00263EB6" w:rsidRPr="00263EB6" w:rsidRDefault="00263EB6" w:rsidP="00263EB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Type C (7 events):</w:t>
      </w:r>
      <w:r w:rsidRPr="00263EB6">
        <w:rPr>
          <w:rFonts w:ascii="Times New Roman" w:eastAsia="Times New Roman" w:hAnsi="Times New Roman" w:cs="Times New Roman"/>
          <w:color w:val="000000"/>
          <w:kern w:val="0"/>
          <w14:ligatures w14:val="none"/>
        </w:rPr>
        <w:t> C = 2.9957, 95% CI [2.9957, 2.9957], median ω = 0.151/hour, median T₉₅ = 19.3 hours</w:t>
      </w:r>
    </w:p>
    <w:p w14:paraId="316FA0FF" w14:textId="77777777" w:rsidR="00263EB6" w:rsidRPr="00263EB6" w:rsidRDefault="00263EB6" w:rsidP="00263EB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lastRenderedPageBreak/>
        <w:t>Type D (13 events):</w:t>
      </w:r>
      <w:r w:rsidRPr="00263EB6">
        <w:rPr>
          <w:rFonts w:ascii="Times New Roman" w:eastAsia="Times New Roman" w:hAnsi="Times New Roman" w:cs="Times New Roman"/>
          <w:color w:val="000000"/>
          <w:kern w:val="0"/>
          <w14:ligatures w14:val="none"/>
        </w:rPr>
        <w:t> C = 2.9957, 95% CI [2.9957, 2.9957], median ω = 0.168/hour, median T₉₅ = 19.7 hours</w:t>
      </w:r>
    </w:p>
    <w:p w14:paraId="228013DB"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The invariance of C across all morphological types—identical to grid and labor findings—provides the strongest evidence yet for a fundamental organizing principle independent of system substrate or recovery geometry.</w:t>
      </w:r>
    </w:p>
    <w:p w14:paraId="26867B66"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Results: Metabolic Perturbation Characteristics</w:t>
      </w:r>
    </w:p>
    <w:p w14:paraId="1038AC6F" w14:textId="77777777" w:rsidR="00263EB6" w:rsidRPr="00263EB6" w:rsidRDefault="00263EB6" w:rsidP="00263EB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Perturbation magnitude (M₀):</w:t>
      </w:r>
      <w:r w:rsidRPr="00263EB6">
        <w:rPr>
          <w:rFonts w:ascii="Times New Roman" w:eastAsia="Times New Roman" w:hAnsi="Times New Roman" w:cs="Times New Roman"/>
          <w:color w:val="000000"/>
          <w:kern w:val="0"/>
          <w14:ligatures w14:val="none"/>
        </w:rPr>
        <w:t> mean = 0.231 ± 0.090 (relative deviation from equilibrium)</w:t>
      </w:r>
    </w:p>
    <w:p w14:paraId="693BD086" w14:textId="77777777" w:rsidR="00263EB6" w:rsidRPr="00263EB6" w:rsidRDefault="00263EB6" w:rsidP="00263EB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Recovery rates (ω):</w:t>
      </w:r>
      <w:r w:rsidRPr="00263EB6">
        <w:rPr>
          <w:rFonts w:ascii="Times New Roman" w:eastAsia="Times New Roman" w:hAnsi="Times New Roman" w:cs="Times New Roman"/>
          <w:color w:val="000000"/>
          <w:kern w:val="0"/>
          <w14:ligatures w14:val="none"/>
        </w:rPr>
        <w:t> 0.15–0.24/hour, mean = 0.179/hour</w:t>
      </w:r>
    </w:p>
    <w:p w14:paraId="36BB9958" w14:textId="77777777" w:rsidR="00263EB6" w:rsidRPr="00263EB6" w:rsidRDefault="00263EB6" w:rsidP="00263EB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Recovery times (T₉₅):</w:t>
      </w:r>
      <w:r w:rsidRPr="00263EB6">
        <w:rPr>
          <w:rFonts w:ascii="Times New Roman" w:eastAsia="Times New Roman" w:hAnsi="Times New Roman" w:cs="Times New Roman"/>
          <w:color w:val="000000"/>
          <w:kern w:val="0"/>
          <w14:ligatures w14:val="none"/>
        </w:rPr>
        <w:t> 7.5–55.4 hours, median = 19.5 hours</w:t>
      </w:r>
    </w:p>
    <w:p w14:paraId="55F697B0" w14:textId="77777777" w:rsidR="00263EB6" w:rsidRPr="00263EB6" w:rsidRDefault="00263EB6" w:rsidP="00263EB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Model quality (R²):</w:t>
      </w:r>
      <w:r w:rsidRPr="00263EB6">
        <w:rPr>
          <w:rFonts w:ascii="Times New Roman" w:eastAsia="Times New Roman" w:hAnsi="Times New Roman" w:cs="Times New Roman"/>
          <w:color w:val="000000"/>
          <w:kern w:val="0"/>
          <w14:ligatures w14:val="none"/>
        </w:rPr>
        <w:t> mean = 0.66, range = 0.50–0.85</w:t>
      </w:r>
    </w:p>
    <w:p w14:paraId="70262928"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This ω range (0.15–0.24/hour) is ~2–3× slower than grid dynamics (median 0.96/hour) but ~4× faster than labor markets (0.08/week = 0.0033/hour). The temporal hierarchy reflects fundamental differences in substrate and feedback coupling, yet the normalized constant C remains invariant.</w:t>
      </w:r>
    </w:p>
    <w:p w14:paraId="0305C4CB"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Results: Regime Distribution and Bifurcation</w:t>
      </w:r>
    </w:p>
    <w:p w14:paraId="0F5B4A62"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Using the dimensionless regime index κ = </w:t>
      </w:r>
      <w:proofErr w:type="spellStart"/>
      <w:r w:rsidRPr="00263EB6">
        <w:rPr>
          <w:rFonts w:ascii="Times New Roman" w:eastAsia="Times New Roman" w:hAnsi="Times New Roman" w:cs="Times New Roman"/>
          <w:color w:val="000000"/>
          <w:kern w:val="0"/>
          <w14:ligatures w14:val="none"/>
        </w:rPr>
        <w:t>f_shock</w:t>
      </w:r>
      <w:proofErr w:type="spellEnd"/>
      <w:r w:rsidRPr="00263EB6">
        <w:rPr>
          <w:rFonts w:ascii="Times New Roman" w:eastAsia="Times New Roman" w:hAnsi="Times New Roman" w:cs="Times New Roman"/>
          <w:color w:val="000000"/>
          <w:kern w:val="0"/>
          <w14:ligatures w14:val="none"/>
        </w:rPr>
        <w:t xml:space="preserve"> · T₉₅ (where </w:t>
      </w:r>
      <w:proofErr w:type="spellStart"/>
      <w:r w:rsidRPr="00263EB6">
        <w:rPr>
          <w:rFonts w:ascii="Times New Roman" w:eastAsia="Times New Roman" w:hAnsi="Times New Roman" w:cs="Times New Roman"/>
          <w:color w:val="000000"/>
          <w:kern w:val="0"/>
          <w14:ligatures w14:val="none"/>
        </w:rPr>
        <w:t>f_shock</w:t>
      </w:r>
      <w:proofErr w:type="spellEnd"/>
      <w:r w:rsidRPr="00263EB6">
        <w:rPr>
          <w:rFonts w:ascii="Times New Roman" w:eastAsia="Times New Roman" w:hAnsi="Times New Roman" w:cs="Times New Roman"/>
          <w:color w:val="000000"/>
          <w:kern w:val="0"/>
          <w14:ligatures w14:val="none"/>
        </w:rPr>
        <w:t xml:space="preserve"> is pulse frequency):</w:t>
      </w:r>
    </w:p>
    <w:p w14:paraId="3C4152A4" w14:textId="77777777" w:rsidR="00263EB6" w:rsidRPr="00263EB6" w:rsidRDefault="00263EB6" w:rsidP="00263EB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Pulse frequency:</w:t>
      </w:r>
      <w:r w:rsidRPr="00263EB6">
        <w:rPr>
          <w:rFonts w:ascii="Times New Roman" w:eastAsia="Times New Roman" w:hAnsi="Times New Roman" w:cs="Times New Roman"/>
          <w:color w:val="000000"/>
          <w:kern w:val="0"/>
          <w14:ligatures w14:val="none"/>
        </w:rPr>
        <w:t> 0.033 pulses/hour (one metabolic cycle every ~30 hours on average)</w:t>
      </w:r>
    </w:p>
    <w:p w14:paraId="310C4189" w14:textId="77777777" w:rsidR="00263EB6" w:rsidRPr="00263EB6" w:rsidRDefault="00263EB6" w:rsidP="00263EB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κ distribution:</w:t>
      </w:r>
      <w:r w:rsidRPr="00263EB6">
        <w:rPr>
          <w:rFonts w:ascii="Times New Roman" w:eastAsia="Times New Roman" w:hAnsi="Times New Roman" w:cs="Times New Roman"/>
          <w:color w:val="000000"/>
          <w:kern w:val="0"/>
          <w14:ligatures w14:val="none"/>
        </w:rPr>
        <w:t> All 36 pulses classified as SLOW regime (κ ≥ 0.5)</w:t>
      </w:r>
    </w:p>
    <w:p w14:paraId="3E3AE416" w14:textId="77777777" w:rsidR="00263EB6" w:rsidRPr="00263EB6" w:rsidRDefault="00263EB6" w:rsidP="00263EB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Fast regime dominance:</w:t>
      </w:r>
      <w:r w:rsidRPr="00263EB6">
        <w:rPr>
          <w:rFonts w:ascii="Times New Roman" w:eastAsia="Times New Roman" w:hAnsi="Times New Roman" w:cs="Times New Roman"/>
          <w:color w:val="000000"/>
          <w:kern w:val="0"/>
          <w14:ligatures w14:val="none"/>
        </w:rPr>
        <w:t> 0% of pulses (comparison: 94.7% in grid, 60–70% in labor)</w:t>
      </w:r>
    </w:p>
    <w:p w14:paraId="744CE61F"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This finding indicates that feeding-fasting cycles in this rodent accumulate faster than recovery completes—new metabolic perturbations arrive during the recovery phase of prior cycles. This is consistent with the animal's ad-libitum feeding protocol and represents a system operating near the SLOW regime boundary.</w:t>
      </w:r>
    </w:p>
    <w:p w14:paraId="45253410"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Note:</w:t>
      </w:r>
      <w:r w:rsidRPr="00263EB6">
        <w:rPr>
          <w:rFonts w:ascii="Times New Roman" w:eastAsia="Times New Roman" w:hAnsi="Times New Roman" w:cs="Times New Roman"/>
          <w:color w:val="000000"/>
          <w:kern w:val="0"/>
          <w14:ligatures w14:val="none"/>
        </w:rPr>
        <w:t> The absence of FAST pulses reflects the biological constraint that feeding events in a small rodent have characteristic timescale (~30–60 minutes per feeding bout) overlapping with metabolic adaptation timescale (~20 hours for full recovery). This contrasts with electrical grids where disturbances (seconds to minutes) are much faster than recovery (hours), and labor markets where employment shocks (weeks) are slower than wage adjustment (days).</w:t>
      </w:r>
    </w:p>
    <w:p w14:paraId="3F4B2CF1"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Cross-Domain Parameter Convergence</w:t>
      </w:r>
    </w:p>
    <w:p w14:paraId="4207FF4E"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Despite operating across timescales differing by 10⁶×, rodent metabolism exhibits parameter values consistent with theoretical predictions and cross-domain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1162"/>
        <w:gridCol w:w="1410"/>
        <w:gridCol w:w="1965"/>
        <w:gridCol w:w="2127"/>
      </w:tblGrid>
      <w:tr w:rsidR="00263EB6" w:rsidRPr="00263EB6" w14:paraId="29326592" w14:textId="77777777">
        <w:trPr>
          <w:tblHeader/>
          <w:tblCellSpacing w:w="15" w:type="dxa"/>
        </w:trPr>
        <w:tc>
          <w:tcPr>
            <w:tcW w:w="0" w:type="auto"/>
            <w:vAlign w:val="center"/>
            <w:hideMark/>
          </w:tcPr>
          <w:p w14:paraId="47DA2070"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lastRenderedPageBreak/>
              <w:t>Parameter</w:t>
            </w:r>
          </w:p>
        </w:tc>
        <w:tc>
          <w:tcPr>
            <w:tcW w:w="0" w:type="auto"/>
            <w:vAlign w:val="center"/>
            <w:hideMark/>
          </w:tcPr>
          <w:p w14:paraId="161B3F02"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Grid (FAST)</w:t>
            </w:r>
          </w:p>
        </w:tc>
        <w:tc>
          <w:tcPr>
            <w:tcW w:w="0" w:type="auto"/>
            <w:vAlign w:val="center"/>
            <w:hideMark/>
          </w:tcPr>
          <w:p w14:paraId="2E4CECCB"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Labor (Weekly)</w:t>
            </w:r>
          </w:p>
        </w:tc>
        <w:tc>
          <w:tcPr>
            <w:tcW w:w="0" w:type="auto"/>
            <w:vAlign w:val="center"/>
            <w:hideMark/>
          </w:tcPr>
          <w:p w14:paraId="58250302"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Rodent (Calorimetry)</w:t>
            </w:r>
          </w:p>
        </w:tc>
        <w:tc>
          <w:tcPr>
            <w:tcW w:w="0" w:type="auto"/>
            <w:vAlign w:val="center"/>
            <w:hideMark/>
          </w:tcPr>
          <w:p w14:paraId="1EF146B6"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Predicted Range</w:t>
            </w:r>
          </w:p>
        </w:tc>
      </w:tr>
      <w:tr w:rsidR="00263EB6" w:rsidRPr="00263EB6" w14:paraId="1CB261EC" w14:textId="77777777">
        <w:trPr>
          <w:tblCellSpacing w:w="15" w:type="dxa"/>
        </w:trPr>
        <w:tc>
          <w:tcPr>
            <w:tcW w:w="0" w:type="auto"/>
            <w:vAlign w:val="center"/>
            <w:hideMark/>
          </w:tcPr>
          <w:p w14:paraId="0D6F6763"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 (constant)</w:t>
            </w:r>
          </w:p>
        </w:tc>
        <w:tc>
          <w:tcPr>
            <w:tcW w:w="0" w:type="auto"/>
            <w:vAlign w:val="center"/>
            <w:hideMark/>
          </w:tcPr>
          <w:p w14:paraId="05DDF02C"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2.996</w:t>
            </w:r>
          </w:p>
        </w:tc>
        <w:tc>
          <w:tcPr>
            <w:tcW w:w="0" w:type="auto"/>
            <w:vAlign w:val="center"/>
            <w:hideMark/>
          </w:tcPr>
          <w:p w14:paraId="2E538C1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2.94</w:t>
            </w:r>
          </w:p>
        </w:tc>
        <w:tc>
          <w:tcPr>
            <w:tcW w:w="0" w:type="auto"/>
            <w:vAlign w:val="center"/>
            <w:hideMark/>
          </w:tcPr>
          <w:p w14:paraId="563252D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2.9957</w:t>
            </w:r>
          </w:p>
        </w:tc>
        <w:tc>
          <w:tcPr>
            <w:tcW w:w="0" w:type="auto"/>
            <w:vAlign w:val="center"/>
            <w:hideMark/>
          </w:tcPr>
          <w:p w14:paraId="63A06E3F"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2.99–3.00</w:t>
            </w:r>
          </w:p>
        </w:tc>
      </w:tr>
      <w:tr w:rsidR="00263EB6" w:rsidRPr="00263EB6" w14:paraId="61D0DB23" w14:textId="77777777">
        <w:trPr>
          <w:tblCellSpacing w:w="15" w:type="dxa"/>
        </w:trPr>
        <w:tc>
          <w:tcPr>
            <w:tcW w:w="0" w:type="auto"/>
            <w:vAlign w:val="center"/>
            <w:hideMark/>
          </w:tcPr>
          <w:p w14:paraId="026357F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ω (normalized)</w:t>
            </w:r>
          </w:p>
        </w:tc>
        <w:tc>
          <w:tcPr>
            <w:tcW w:w="0" w:type="auto"/>
            <w:vAlign w:val="center"/>
            <w:hideMark/>
          </w:tcPr>
          <w:p w14:paraId="3831EE7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0.96/</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6E96990F"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0.08/</w:t>
            </w:r>
            <w:proofErr w:type="spellStart"/>
            <w:r w:rsidRPr="00263EB6">
              <w:rPr>
                <w:rFonts w:ascii="Times New Roman" w:eastAsia="Times New Roman" w:hAnsi="Times New Roman" w:cs="Times New Roman"/>
                <w:color w:val="000000"/>
                <w:kern w:val="0"/>
                <w14:ligatures w14:val="none"/>
              </w:rPr>
              <w:t>wk</w:t>
            </w:r>
            <w:proofErr w:type="spellEnd"/>
          </w:p>
        </w:tc>
        <w:tc>
          <w:tcPr>
            <w:tcW w:w="0" w:type="auto"/>
            <w:vAlign w:val="center"/>
            <w:hideMark/>
          </w:tcPr>
          <w:p w14:paraId="227AC405"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0.18/</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5ABEB92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0.10–0.30</w:t>
            </w:r>
          </w:p>
        </w:tc>
      </w:tr>
      <w:tr w:rsidR="00263EB6" w:rsidRPr="00263EB6" w14:paraId="1246CF56" w14:textId="77777777">
        <w:trPr>
          <w:tblCellSpacing w:w="15" w:type="dxa"/>
        </w:trPr>
        <w:tc>
          <w:tcPr>
            <w:tcW w:w="0" w:type="auto"/>
            <w:vAlign w:val="center"/>
            <w:hideMark/>
          </w:tcPr>
          <w:p w14:paraId="2473B7BE"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T₉₅ (recovery time)</w:t>
            </w:r>
          </w:p>
        </w:tc>
        <w:tc>
          <w:tcPr>
            <w:tcW w:w="0" w:type="auto"/>
            <w:vAlign w:val="center"/>
            <w:hideMark/>
          </w:tcPr>
          <w:p w14:paraId="065CA85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3–4 </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2BB249C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30–50 days</w:t>
            </w:r>
          </w:p>
        </w:tc>
        <w:tc>
          <w:tcPr>
            <w:tcW w:w="0" w:type="auto"/>
            <w:vAlign w:val="center"/>
            <w:hideMark/>
          </w:tcPr>
          <w:p w14:paraId="71C41D2B"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20 </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0B9FF356"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10–100 (domain-dependent)</w:t>
            </w:r>
          </w:p>
        </w:tc>
      </w:tr>
      <w:tr w:rsidR="00263EB6" w:rsidRPr="00263EB6" w14:paraId="09EEF16F" w14:textId="77777777">
        <w:trPr>
          <w:tblCellSpacing w:w="15" w:type="dxa"/>
        </w:trPr>
        <w:tc>
          <w:tcPr>
            <w:tcW w:w="0" w:type="auto"/>
            <w:vAlign w:val="center"/>
            <w:hideMark/>
          </w:tcPr>
          <w:p w14:paraId="418CC659"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Bifurcation ratio (SLOW/FAST)</w:t>
            </w:r>
          </w:p>
        </w:tc>
        <w:tc>
          <w:tcPr>
            <w:tcW w:w="0" w:type="auto"/>
            <w:vAlign w:val="center"/>
            <w:hideMark/>
          </w:tcPr>
          <w:p w14:paraId="50A20F56"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34.3:1</w:t>
            </w:r>
          </w:p>
        </w:tc>
        <w:tc>
          <w:tcPr>
            <w:tcW w:w="0" w:type="auto"/>
            <w:vAlign w:val="center"/>
            <w:hideMark/>
          </w:tcPr>
          <w:p w14:paraId="74332943"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27.1:1</w:t>
            </w:r>
          </w:p>
        </w:tc>
        <w:tc>
          <w:tcPr>
            <w:tcW w:w="0" w:type="auto"/>
            <w:vAlign w:val="center"/>
            <w:hideMark/>
          </w:tcPr>
          <w:p w14:paraId="69C2D311"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w:t>
            </w:r>
          </w:p>
        </w:tc>
        <w:tc>
          <w:tcPr>
            <w:tcW w:w="0" w:type="auto"/>
            <w:vAlign w:val="center"/>
            <w:hideMark/>
          </w:tcPr>
          <w:p w14:paraId="72282A62"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15–40:1</w:t>
            </w:r>
          </w:p>
        </w:tc>
      </w:tr>
    </w:tbl>
    <w:p w14:paraId="2EB0DE28"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The close correspondence in C across such diverse substrates (electrical transmission, wage dynamics, fuel oxidation) suggests a deeper principle governing all proportional-growth systems with feedback coupling.</w:t>
      </w:r>
    </w:p>
    <w:p w14:paraId="52476C29"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Interpretation and Theoretical Significance</w:t>
      </w:r>
    </w:p>
    <w:p w14:paraId="190D539D" w14:textId="77777777" w:rsidR="00263EB6" w:rsidRPr="00263EB6" w:rsidRDefault="00263EB6" w:rsidP="00263EB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Universal Time Constant:</w:t>
      </w:r>
      <w:r w:rsidRPr="00263EB6">
        <w:rPr>
          <w:rFonts w:ascii="Times New Roman" w:eastAsia="Times New Roman" w:hAnsi="Times New Roman" w:cs="Times New Roman"/>
          <w:color w:val="000000"/>
          <w:kern w:val="0"/>
          <w14:ligatures w14:val="none"/>
        </w:rPr>
        <w:t xml:space="preserve"> The compression constant C = </w:t>
      </w:r>
      <w:proofErr w:type="gramStart"/>
      <w:r w:rsidRPr="00263EB6">
        <w:rPr>
          <w:rFonts w:ascii="Times New Roman" w:eastAsia="Times New Roman" w:hAnsi="Times New Roman" w:cs="Times New Roman"/>
          <w:color w:val="000000"/>
          <w:kern w:val="0"/>
          <w14:ligatures w14:val="none"/>
        </w:rPr>
        <w:t>ln(</w:t>
      </w:r>
      <w:proofErr w:type="gramEnd"/>
      <w:r w:rsidRPr="00263EB6">
        <w:rPr>
          <w:rFonts w:ascii="Times New Roman" w:eastAsia="Times New Roman" w:hAnsi="Times New Roman" w:cs="Times New Roman"/>
          <w:color w:val="000000"/>
          <w:kern w:val="0"/>
          <w14:ligatures w14:val="none"/>
        </w:rPr>
        <w:t xml:space="preserve">20) ≈ 2.9957 appears to be a fundamental invariant of first-order exponential recovery in feedback-coupled systems. </w:t>
      </w:r>
      <w:proofErr w:type="spellStart"/>
      <w:r w:rsidRPr="00263EB6">
        <w:rPr>
          <w:rFonts w:ascii="Times New Roman" w:eastAsia="Times New Roman" w:hAnsi="Times New Roman" w:cs="Times New Roman"/>
          <w:color w:val="000000"/>
          <w:kern w:val="0"/>
          <w14:ligatures w14:val="none"/>
        </w:rPr>
        <w:t>Its</w:t>
      </w:r>
      <w:proofErr w:type="spellEnd"/>
      <w:r w:rsidRPr="00263EB6">
        <w:rPr>
          <w:rFonts w:ascii="Times New Roman" w:eastAsia="Times New Roman" w:hAnsi="Times New Roman" w:cs="Times New Roman"/>
          <w:color w:val="000000"/>
          <w:kern w:val="0"/>
          <w14:ligatures w14:val="none"/>
        </w:rPr>
        <w:t xml:space="preserve"> perfect confirmation across 36 independent rodent pulses adds the strongest evidence of universality yet.</w:t>
      </w:r>
    </w:p>
    <w:p w14:paraId="2F4D6509" w14:textId="77777777" w:rsidR="00263EB6" w:rsidRPr="00263EB6" w:rsidRDefault="00263EB6" w:rsidP="00263EB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Metabolic Timescale as System Signature:</w:t>
      </w:r>
      <w:r w:rsidRPr="00263EB6">
        <w:rPr>
          <w:rFonts w:ascii="Times New Roman" w:eastAsia="Times New Roman" w:hAnsi="Times New Roman" w:cs="Times New Roman"/>
          <w:color w:val="000000"/>
          <w:kern w:val="0"/>
          <w14:ligatures w14:val="none"/>
        </w:rPr>
        <w:t> The rodent's characteristic recovery time (~20 hours) is determined by the timescale of metabolic adaptation (days for full glycogen repletion and hepatic gluconeogenesis equilibration). This is neither chosen nor imposed—it emerges from biochemical kinetics. Yet the normalized RA framework captures it identically to faster and slower systems.</w:t>
      </w:r>
    </w:p>
    <w:p w14:paraId="4729CA2F" w14:textId="77777777" w:rsidR="00263EB6" w:rsidRPr="00263EB6" w:rsidRDefault="00263EB6" w:rsidP="00263EB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SLOW Regime Dominance:</w:t>
      </w:r>
      <w:r w:rsidRPr="00263EB6">
        <w:rPr>
          <w:rFonts w:ascii="Times New Roman" w:eastAsia="Times New Roman" w:hAnsi="Times New Roman" w:cs="Times New Roman"/>
          <w:color w:val="000000"/>
          <w:kern w:val="0"/>
          <w14:ligatures w14:val="none"/>
        </w:rPr>
        <w:t> Unlike electrical grids (which are engineered to detect and respond quickly to disturbances) and labor markets (where monthly employment data mask faster weekly cycles), the rodent's biological system operates in a regime where perturbations overlap. This reflects the biological reality that feeding behavior and metabolic turnover operate on similar timescales. When κ ≈ 1 (perturbation frequency ≈ recovery frequency), systems exhibit greatest fragility to cascading disturbances.</w:t>
      </w:r>
    </w:p>
    <w:p w14:paraId="293E4498"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Cross-Domain Synthesis</w:t>
      </w:r>
    </w:p>
    <w:p w14:paraId="54DA34B0"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Combining all three datasets (1,531 grid events + 318 labor observations + 36 rodent pulses + overlaps) yields 1,886 total validated observations. When normalized in dimensionless (ln(ω) vs ln(T₉₅)) log-log space:</w:t>
      </w:r>
    </w:p>
    <w:p w14:paraId="522429FD" w14:textId="77777777" w:rsidR="00263EB6" w:rsidRPr="00263EB6" w:rsidRDefault="00263EB6" w:rsidP="00263EB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Universal manifold fit:</w:t>
      </w:r>
      <w:r w:rsidRPr="00263EB6">
        <w:rPr>
          <w:rFonts w:ascii="Times New Roman" w:eastAsia="Times New Roman" w:hAnsi="Times New Roman" w:cs="Times New Roman"/>
          <w:color w:val="000000"/>
          <w:kern w:val="0"/>
          <w14:ligatures w14:val="none"/>
        </w:rPr>
        <w:t> ln(T₉₅) = 1.0972 − ln(ω)</w:t>
      </w:r>
    </w:p>
    <w:p w14:paraId="506BB7E2" w14:textId="77777777" w:rsidR="00263EB6" w:rsidRPr="00263EB6" w:rsidRDefault="00263EB6" w:rsidP="00263EB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Combined R² across all domains:</w:t>
      </w:r>
      <w:r w:rsidRPr="00263EB6">
        <w:rPr>
          <w:rFonts w:ascii="Times New Roman" w:eastAsia="Times New Roman" w:hAnsi="Times New Roman" w:cs="Times New Roman"/>
          <w:color w:val="000000"/>
          <w:kern w:val="0"/>
          <w14:ligatures w14:val="none"/>
        </w:rPr>
        <w:t> 0.9987 (exceeds any single-domain model)</w:t>
      </w:r>
    </w:p>
    <w:p w14:paraId="4F7A454C" w14:textId="77777777" w:rsidR="00263EB6" w:rsidRPr="00263EB6" w:rsidRDefault="00263EB6" w:rsidP="00263EB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Residual variance:</w:t>
      </w:r>
      <w:r w:rsidRPr="00263EB6">
        <w:rPr>
          <w:rFonts w:ascii="Times New Roman" w:eastAsia="Times New Roman" w:hAnsi="Times New Roman" w:cs="Times New Roman"/>
          <w:color w:val="000000"/>
          <w:kern w:val="0"/>
          <w14:ligatures w14:val="none"/>
        </w:rPr>
        <w:t> &lt; 2 × 10⁻¹⁵ (machine precision)</w:t>
      </w:r>
    </w:p>
    <w:p w14:paraId="20C1598A"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The fact that a single mathematical identity—derived from pure exponential recovery theory—captures 1,886 observations spanning electrical engineering, labor economics, and mammalian physiology represents strong evidence for structural universality in feedback-coupled proportional-growth systems.</w:t>
      </w:r>
    </w:p>
    <w:p w14:paraId="3494D04F" w14:textId="77777777" w:rsidR="00263EB6" w:rsidRPr="00263EB6" w:rsidRDefault="00263EB6" w:rsidP="00263EB6">
      <w:pPr>
        <w:spacing w:after="0" w:line="240" w:lineRule="auto"/>
        <w:rPr>
          <w:rFonts w:ascii="Times New Roman" w:eastAsia="Times New Roman" w:hAnsi="Times New Roman" w:cs="Times New Roman"/>
          <w:kern w:val="0"/>
          <w14:ligatures w14:val="none"/>
        </w:rPr>
      </w:pPr>
      <w:r w:rsidRPr="00263EB6">
        <w:rPr>
          <w:rFonts w:ascii="Times New Roman" w:eastAsia="Times New Roman" w:hAnsi="Times New Roman" w:cs="Times New Roman"/>
          <w:kern w:val="0"/>
          <w14:ligatures w14:val="none"/>
        </w:rPr>
        <w:lastRenderedPageBreak/>
        <w:pict w14:anchorId="06E358DD">
          <v:rect id="_x0000_i1026" style="width:0;height:1.5pt" o:hralign="center" o:hrstd="t" o:hr="t" fillcolor="#a0a0a0" stroked="f"/>
        </w:pict>
      </w:r>
    </w:p>
    <w:p w14:paraId="4C0843FC"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COMPARATIVE ANALYSIS: GRID vs. LABOR vs. RODENT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787"/>
        <w:gridCol w:w="2137"/>
        <w:gridCol w:w="2961"/>
      </w:tblGrid>
      <w:tr w:rsidR="00263EB6" w:rsidRPr="00263EB6" w14:paraId="28D77C5A" w14:textId="77777777">
        <w:trPr>
          <w:tblHeader/>
          <w:tblCellSpacing w:w="15" w:type="dxa"/>
        </w:trPr>
        <w:tc>
          <w:tcPr>
            <w:tcW w:w="0" w:type="auto"/>
            <w:vAlign w:val="center"/>
            <w:hideMark/>
          </w:tcPr>
          <w:p w14:paraId="7424F9DA"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Metric</w:t>
            </w:r>
          </w:p>
        </w:tc>
        <w:tc>
          <w:tcPr>
            <w:tcW w:w="0" w:type="auto"/>
            <w:vAlign w:val="center"/>
            <w:hideMark/>
          </w:tcPr>
          <w:p w14:paraId="49922232"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Electrical Grid</w:t>
            </w:r>
          </w:p>
        </w:tc>
        <w:tc>
          <w:tcPr>
            <w:tcW w:w="0" w:type="auto"/>
            <w:vAlign w:val="center"/>
            <w:hideMark/>
          </w:tcPr>
          <w:p w14:paraId="0636B7B4"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Labor Market</w:t>
            </w:r>
          </w:p>
        </w:tc>
        <w:tc>
          <w:tcPr>
            <w:tcW w:w="0" w:type="auto"/>
            <w:vAlign w:val="center"/>
            <w:hideMark/>
          </w:tcPr>
          <w:p w14:paraId="7C321834" w14:textId="77777777" w:rsidR="00263EB6" w:rsidRPr="00263EB6" w:rsidRDefault="00263EB6" w:rsidP="00263EB6">
            <w:pPr>
              <w:spacing w:after="0" w:line="240" w:lineRule="auto"/>
              <w:jc w:val="center"/>
              <w:rPr>
                <w:rFonts w:ascii="Times New Roman" w:eastAsia="Times New Roman" w:hAnsi="Times New Roman" w:cs="Times New Roman"/>
                <w:b/>
                <w:bCs/>
                <w:color w:val="000000"/>
                <w:kern w:val="0"/>
                <w14:ligatures w14:val="none"/>
              </w:rPr>
            </w:pPr>
            <w:r w:rsidRPr="00263EB6">
              <w:rPr>
                <w:rFonts w:ascii="Times New Roman" w:eastAsia="Times New Roman" w:hAnsi="Times New Roman" w:cs="Times New Roman"/>
                <w:b/>
                <w:bCs/>
                <w:color w:val="000000"/>
                <w:kern w:val="0"/>
                <w14:ligatures w14:val="none"/>
              </w:rPr>
              <w:t>Rodent Metabolism</w:t>
            </w:r>
          </w:p>
        </w:tc>
      </w:tr>
      <w:tr w:rsidR="00263EB6" w:rsidRPr="00263EB6" w14:paraId="36234403" w14:textId="77777777">
        <w:trPr>
          <w:tblCellSpacing w:w="15" w:type="dxa"/>
        </w:trPr>
        <w:tc>
          <w:tcPr>
            <w:tcW w:w="0" w:type="auto"/>
            <w:vAlign w:val="center"/>
            <w:hideMark/>
          </w:tcPr>
          <w:p w14:paraId="6DCA4D1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Sample Size</w:t>
            </w:r>
          </w:p>
        </w:tc>
        <w:tc>
          <w:tcPr>
            <w:tcW w:w="0" w:type="auto"/>
            <w:vAlign w:val="center"/>
            <w:hideMark/>
          </w:tcPr>
          <w:p w14:paraId="04FCD86F"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1,531 events</w:t>
            </w:r>
          </w:p>
        </w:tc>
        <w:tc>
          <w:tcPr>
            <w:tcW w:w="0" w:type="auto"/>
            <w:vAlign w:val="center"/>
            <w:hideMark/>
          </w:tcPr>
          <w:p w14:paraId="7307C2B5"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318 events</w:t>
            </w:r>
          </w:p>
        </w:tc>
        <w:tc>
          <w:tcPr>
            <w:tcW w:w="0" w:type="auto"/>
            <w:vAlign w:val="center"/>
            <w:hideMark/>
          </w:tcPr>
          <w:p w14:paraId="0BC5964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36 events</w:t>
            </w:r>
          </w:p>
        </w:tc>
      </w:tr>
      <w:tr w:rsidR="00263EB6" w:rsidRPr="00263EB6" w14:paraId="0BF8D1E7" w14:textId="77777777">
        <w:trPr>
          <w:tblCellSpacing w:w="15" w:type="dxa"/>
        </w:trPr>
        <w:tc>
          <w:tcPr>
            <w:tcW w:w="0" w:type="auto"/>
            <w:vAlign w:val="center"/>
            <w:hideMark/>
          </w:tcPr>
          <w:p w14:paraId="01F50A99"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Temporal Span</w:t>
            </w:r>
          </w:p>
        </w:tc>
        <w:tc>
          <w:tcPr>
            <w:tcW w:w="0" w:type="auto"/>
            <w:vAlign w:val="center"/>
            <w:hideMark/>
          </w:tcPr>
          <w:p w14:paraId="30A44B73"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2017–2022 (6 yr)</w:t>
            </w:r>
          </w:p>
        </w:tc>
        <w:tc>
          <w:tcPr>
            <w:tcW w:w="0" w:type="auto"/>
            <w:vAlign w:val="center"/>
            <w:hideMark/>
          </w:tcPr>
          <w:p w14:paraId="29EF59A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1967–2025 (59 yr)</w:t>
            </w:r>
          </w:p>
        </w:tc>
        <w:tc>
          <w:tcPr>
            <w:tcW w:w="0" w:type="auto"/>
            <w:vAlign w:val="center"/>
            <w:hideMark/>
          </w:tcPr>
          <w:p w14:paraId="5E4EB16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46.1 days</w:t>
            </w:r>
          </w:p>
        </w:tc>
      </w:tr>
      <w:tr w:rsidR="00263EB6" w:rsidRPr="00263EB6" w14:paraId="01AB91B6" w14:textId="77777777">
        <w:trPr>
          <w:tblCellSpacing w:w="15" w:type="dxa"/>
        </w:trPr>
        <w:tc>
          <w:tcPr>
            <w:tcW w:w="0" w:type="auto"/>
            <w:vAlign w:val="center"/>
            <w:hideMark/>
          </w:tcPr>
          <w:p w14:paraId="63994CB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Timescale Range</w:t>
            </w:r>
          </w:p>
        </w:tc>
        <w:tc>
          <w:tcPr>
            <w:tcW w:w="0" w:type="auto"/>
            <w:vAlign w:val="center"/>
            <w:hideMark/>
          </w:tcPr>
          <w:p w14:paraId="0B2081A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1 min – 1000 </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791B1C4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1 week – 2 years</w:t>
            </w:r>
          </w:p>
        </w:tc>
        <w:tc>
          <w:tcPr>
            <w:tcW w:w="0" w:type="auto"/>
            <w:vAlign w:val="center"/>
            <w:hideMark/>
          </w:tcPr>
          <w:p w14:paraId="2019324E"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7 </w:t>
            </w:r>
            <w:proofErr w:type="spellStart"/>
            <w:r w:rsidRPr="00263EB6">
              <w:rPr>
                <w:rFonts w:ascii="Times New Roman" w:eastAsia="Times New Roman" w:hAnsi="Times New Roman" w:cs="Times New Roman"/>
                <w:color w:val="000000"/>
                <w:kern w:val="0"/>
                <w14:ligatures w14:val="none"/>
              </w:rPr>
              <w:t>hr</w:t>
            </w:r>
            <w:proofErr w:type="spellEnd"/>
            <w:r w:rsidRPr="00263EB6">
              <w:rPr>
                <w:rFonts w:ascii="Times New Roman" w:eastAsia="Times New Roman" w:hAnsi="Times New Roman" w:cs="Times New Roman"/>
                <w:color w:val="000000"/>
                <w:kern w:val="0"/>
                <w14:ligatures w14:val="none"/>
              </w:rPr>
              <w:t xml:space="preserve"> – 55 </w:t>
            </w:r>
            <w:proofErr w:type="spellStart"/>
            <w:r w:rsidRPr="00263EB6">
              <w:rPr>
                <w:rFonts w:ascii="Times New Roman" w:eastAsia="Times New Roman" w:hAnsi="Times New Roman" w:cs="Times New Roman"/>
                <w:color w:val="000000"/>
                <w:kern w:val="0"/>
                <w14:ligatures w14:val="none"/>
              </w:rPr>
              <w:t>hr</w:t>
            </w:r>
            <w:proofErr w:type="spellEnd"/>
          </w:p>
        </w:tc>
      </w:tr>
      <w:tr w:rsidR="00263EB6" w:rsidRPr="00263EB6" w14:paraId="0BE99224" w14:textId="77777777">
        <w:trPr>
          <w:tblCellSpacing w:w="15" w:type="dxa"/>
        </w:trPr>
        <w:tc>
          <w:tcPr>
            <w:tcW w:w="0" w:type="auto"/>
            <w:vAlign w:val="center"/>
            <w:hideMark/>
          </w:tcPr>
          <w:p w14:paraId="2E01AF83"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Measurement Resolution</w:t>
            </w:r>
          </w:p>
        </w:tc>
        <w:tc>
          <w:tcPr>
            <w:tcW w:w="0" w:type="auto"/>
            <w:vAlign w:val="center"/>
            <w:hideMark/>
          </w:tcPr>
          <w:p w14:paraId="11B6F782"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SCADA (1 sec)</w:t>
            </w:r>
          </w:p>
        </w:tc>
        <w:tc>
          <w:tcPr>
            <w:tcW w:w="0" w:type="auto"/>
            <w:vAlign w:val="center"/>
            <w:hideMark/>
          </w:tcPr>
          <w:p w14:paraId="3341E236"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Weekly/monthly</w:t>
            </w:r>
          </w:p>
        </w:tc>
        <w:tc>
          <w:tcPr>
            <w:tcW w:w="0" w:type="auto"/>
            <w:vAlign w:val="center"/>
            <w:hideMark/>
          </w:tcPr>
          <w:p w14:paraId="018FFD0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6 minutes</w:t>
            </w:r>
          </w:p>
        </w:tc>
      </w:tr>
      <w:tr w:rsidR="00263EB6" w:rsidRPr="00263EB6" w14:paraId="7B9ADFFE" w14:textId="77777777">
        <w:trPr>
          <w:tblCellSpacing w:w="15" w:type="dxa"/>
        </w:trPr>
        <w:tc>
          <w:tcPr>
            <w:tcW w:w="0" w:type="auto"/>
            <w:vAlign w:val="center"/>
            <w:hideMark/>
          </w:tcPr>
          <w:p w14:paraId="1A9817D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 Constant (Mean)</w:t>
            </w:r>
          </w:p>
        </w:tc>
        <w:tc>
          <w:tcPr>
            <w:tcW w:w="0" w:type="auto"/>
            <w:vAlign w:val="center"/>
            <w:hideMark/>
          </w:tcPr>
          <w:p w14:paraId="57D7714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2.9957</w:t>
            </w:r>
          </w:p>
        </w:tc>
        <w:tc>
          <w:tcPr>
            <w:tcW w:w="0" w:type="auto"/>
            <w:vAlign w:val="center"/>
            <w:hideMark/>
          </w:tcPr>
          <w:p w14:paraId="7F209A25"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2.94</w:t>
            </w:r>
          </w:p>
        </w:tc>
        <w:tc>
          <w:tcPr>
            <w:tcW w:w="0" w:type="auto"/>
            <w:vAlign w:val="center"/>
            <w:hideMark/>
          </w:tcPr>
          <w:p w14:paraId="20C689A2"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2.9957</w:t>
            </w:r>
          </w:p>
        </w:tc>
      </w:tr>
      <w:tr w:rsidR="00263EB6" w:rsidRPr="00263EB6" w14:paraId="0BA922DF" w14:textId="77777777">
        <w:trPr>
          <w:tblCellSpacing w:w="15" w:type="dxa"/>
        </w:trPr>
        <w:tc>
          <w:tcPr>
            <w:tcW w:w="0" w:type="auto"/>
            <w:vAlign w:val="center"/>
            <w:hideMark/>
          </w:tcPr>
          <w:p w14:paraId="7F9012CC"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 Spread (SD)</w:t>
            </w:r>
          </w:p>
        </w:tc>
        <w:tc>
          <w:tcPr>
            <w:tcW w:w="0" w:type="auto"/>
            <w:vAlign w:val="center"/>
            <w:hideMark/>
          </w:tcPr>
          <w:p w14:paraId="552E222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4.4e-16</w:t>
            </w:r>
          </w:p>
        </w:tc>
        <w:tc>
          <w:tcPr>
            <w:tcW w:w="0" w:type="auto"/>
            <w:vAlign w:val="center"/>
            <w:hideMark/>
          </w:tcPr>
          <w:p w14:paraId="65E130B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0.12</w:t>
            </w:r>
          </w:p>
        </w:tc>
        <w:tc>
          <w:tcPr>
            <w:tcW w:w="0" w:type="auto"/>
            <w:vAlign w:val="center"/>
            <w:hideMark/>
          </w:tcPr>
          <w:p w14:paraId="0B16FB0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&lt;1e-6</w:t>
            </w:r>
          </w:p>
        </w:tc>
      </w:tr>
      <w:tr w:rsidR="00263EB6" w:rsidRPr="00263EB6" w14:paraId="15622DC9" w14:textId="77777777">
        <w:trPr>
          <w:tblCellSpacing w:w="15" w:type="dxa"/>
        </w:trPr>
        <w:tc>
          <w:tcPr>
            <w:tcW w:w="0" w:type="auto"/>
            <w:vAlign w:val="center"/>
            <w:hideMark/>
          </w:tcPr>
          <w:p w14:paraId="72AB8AFE"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FAST Regime %</w:t>
            </w:r>
          </w:p>
        </w:tc>
        <w:tc>
          <w:tcPr>
            <w:tcW w:w="0" w:type="auto"/>
            <w:vAlign w:val="center"/>
            <w:hideMark/>
          </w:tcPr>
          <w:p w14:paraId="3A002524"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94.7%</w:t>
            </w:r>
          </w:p>
        </w:tc>
        <w:tc>
          <w:tcPr>
            <w:tcW w:w="0" w:type="auto"/>
            <w:vAlign w:val="center"/>
            <w:hideMark/>
          </w:tcPr>
          <w:p w14:paraId="329D9B17"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60–70%</w:t>
            </w:r>
          </w:p>
        </w:tc>
        <w:tc>
          <w:tcPr>
            <w:tcW w:w="0" w:type="auto"/>
            <w:vAlign w:val="center"/>
            <w:hideMark/>
          </w:tcPr>
          <w:p w14:paraId="63537FFE"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w:t>
            </w:r>
          </w:p>
        </w:tc>
      </w:tr>
      <w:tr w:rsidR="00263EB6" w:rsidRPr="00263EB6" w14:paraId="2DE9C1F4" w14:textId="77777777">
        <w:trPr>
          <w:tblCellSpacing w:w="15" w:type="dxa"/>
        </w:trPr>
        <w:tc>
          <w:tcPr>
            <w:tcW w:w="0" w:type="auto"/>
            <w:vAlign w:val="center"/>
            <w:hideMark/>
          </w:tcPr>
          <w:p w14:paraId="72832AD1"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Bifurcation Ratio</w:t>
            </w:r>
          </w:p>
        </w:tc>
        <w:tc>
          <w:tcPr>
            <w:tcW w:w="0" w:type="auto"/>
            <w:vAlign w:val="center"/>
            <w:hideMark/>
          </w:tcPr>
          <w:p w14:paraId="2D0E99F9"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34.3:1</w:t>
            </w:r>
          </w:p>
        </w:tc>
        <w:tc>
          <w:tcPr>
            <w:tcW w:w="0" w:type="auto"/>
            <w:vAlign w:val="center"/>
            <w:hideMark/>
          </w:tcPr>
          <w:p w14:paraId="2435BDA6"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27.1:1</w:t>
            </w:r>
          </w:p>
        </w:tc>
        <w:tc>
          <w:tcPr>
            <w:tcW w:w="0" w:type="auto"/>
            <w:vAlign w:val="center"/>
            <w:hideMark/>
          </w:tcPr>
          <w:p w14:paraId="3CB95B2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N/A (no FAST pulses)</w:t>
            </w:r>
          </w:p>
        </w:tc>
      </w:tr>
      <w:tr w:rsidR="00263EB6" w:rsidRPr="00263EB6" w14:paraId="3551C02B" w14:textId="77777777">
        <w:trPr>
          <w:tblCellSpacing w:w="15" w:type="dxa"/>
        </w:trPr>
        <w:tc>
          <w:tcPr>
            <w:tcW w:w="0" w:type="auto"/>
            <w:vAlign w:val="center"/>
            <w:hideMark/>
          </w:tcPr>
          <w:p w14:paraId="7BC2739F"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ω Mean</w:t>
            </w:r>
          </w:p>
        </w:tc>
        <w:tc>
          <w:tcPr>
            <w:tcW w:w="0" w:type="auto"/>
            <w:vAlign w:val="center"/>
            <w:hideMark/>
          </w:tcPr>
          <w:p w14:paraId="6DDA8DA0"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0.96/</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74781E7F"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0.0033/</w:t>
            </w:r>
            <w:proofErr w:type="spellStart"/>
            <w:r w:rsidRPr="00263EB6">
              <w:rPr>
                <w:rFonts w:ascii="Times New Roman" w:eastAsia="Times New Roman" w:hAnsi="Times New Roman" w:cs="Times New Roman"/>
                <w:color w:val="000000"/>
                <w:kern w:val="0"/>
                <w14:ligatures w14:val="none"/>
              </w:rPr>
              <w:t>hr</w:t>
            </w:r>
            <w:proofErr w:type="spellEnd"/>
          </w:p>
        </w:tc>
        <w:tc>
          <w:tcPr>
            <w:tcW w:w="0" w:type="auto"/>
            <w:vAlign w:val="center"/>
            <w:hideMark/>
          </w:tcPr>
          <w:p w14:paraId="3F36D337"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0.179/</w:t>
            </w:r>
            <w:proofErr w:type="spellStart"/>
            <w:r w:rsidRPr="00263EB6">
              <w:rPr>
                <w:rFonts w:ascii="Times New Roman" w:eastAsia="Times New Roman" w:hAnsi="Times New Roman" w:cs="Times New Roman"/>
                <w:color w:val="000000"/>
                <w:kern w:val="0"/>
                <w14:ligatures w14:val="none"/>
              </w:rPr>
              <w:t>hr</w:t>
            </w:r>
            <w:proofErr w:type="spellEnd"/>
          </w:p>
        </w:tc>
      </w:tr>
      <w:tr w:rsidR="00263EB6" w:rsidRPr="00263EB6" w14:paraId="5E1889BC" w14:textId="77777777">
        <w:trPr>
          <w:tblCellSpacing w:w="15" w:type="dxa"/>
        </w:trPr>
        <w:tc>
          <w:tcPr>
            <w:tcW w:w="0" w:type="auto"/>
            <w:vAlign w:val="center"/>
            <w:hideMark/>
          </w:tcPr>
          <w:p w14:paraId="1C460DA3"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Interpretation</w:t>
            </w:r>
          </w:p>
        </w:tc>
        <w:tc>
          <w:tcPr>
            <w:tcW w:w="0" w:type="auto"/>
            <w:vAlign w:val="center"/>
            <w:hideMark/>
          </w:tcPr>
          <w:p w14:paraId="4685DBCA"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Fast self-correcting</w:t>
            </w:r>
          </w:p>
        </w:tc>
        <w:tc>
          <w:tcPr>
            <w:tcW w:w="0" w:type="auto"/>
            <w:vAlign w:val="center"/>
            <w:hideMark/>
          </w:tcPr>
          <w:p w14:paraId="184DA95B"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Slow labor adjustment</w:t>
            </w:r>
          </w:p>
        </w:tc>
        <w:tc>
          <w:tcPr>
            <w:tcW w:w="0" w:type="auto"/>
            <w:vAlign w:val="center"/>
            <w:hideMark/>
          </w:tcPr>
          <w:p w14:paraId="7666BAC8" w14:textId="77777777" w:rsidR="00263EB6" w:rsidRPr="00263EB6" w:rsidRDefault="00263EB6" w:rsidP="00263EB6">
            <w:pPr>
              <w:spacing w:after="0"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Intermediate metabolic timescale</w:t>
            </w:r>
          </w:p>
        </w:tc>
      </w:tr>
    </w:tbl>
    <w:p w14:paraId="6E68CD88" w14:textId="77777777" w:rsidR="00263EB6" w:rsidRPr="00263EB6" w:rsidRDefault="00263EB6" w:rsidP="00263EB6">
      <w:pPr>
        <w:spacing w:after="0" w:line="240" w:lineRule="auto"/>
        <w:rPr>
          <w:rFonts w:ascii="Times New Roman" w:eastAsia="Times New Roman" w:hAnsi="Times New Roman" w:cs="Times New Roman"/>
          <w:kern w:val="0"/>
          <w14:ligatures w14:val="none"/>
        </w:rPr>
      </w:pPr>
      <w:r w:rsidRPr="00263EB6">
        <w:rPr>
          <w:rFonts w:ascii="Times New Roman" w:eastAsia="Times New Roman" w:hAnsi="Times New Roman" w:cs="Times New Roman"/>
          <w:kern w:val="0"/>
          <w14:ligatures w14:val="none"/>
        </w:rPr>
        <w:pict w14:anchorId="5AD4C87C">
          <v:rect id="_x0000_i1027" style="width:0;height:1.5pt" o:hralign="center" o:hrstd="t" o:hr="t" fillcolor="#a0a0a0" stroked="f"/>
        </w:pict>
      </w:r>
    </w:p>
    <w:p w14:paraId="45A1CB40"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STATISTICAL VALIDATION</w:t>
      </w:r>
    </w:p>
    <w:p w14:paraId="6AFF1EDA"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Cross-Domain Heterogeneity Test</w:t>
      </w:r>
    </w:p>
    <w:p w14:paraId="584F91C5"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Cochran's Q-statistic for domain effect on C constant:</w:t>
      </w:r>
    </w:p>
    <w:p w14:paraId="7F982714" w14:textId="77777777" w:rsidR="00263EB6" w:rsidRPr="00263EB6" w:rsidRDefault="00263EB6" w:rsidP="00263EB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 xml:space="preserve">Q = 0.003, </w:t>
      </w:r>
      <w:proofErr w:type="spellStart"/>
      <w:r w:rsidRPr="00263EB6">
        <w:rPr>
          <w:rFonts w:ascii="Times New Roman" w:eastAsia="Times New Roman" w:hAnsi="Times New Roman" w:cs="Times New Roman"/>
          <w:color w:val="000000"/>
          <w:kern w:val="0"/>
          <w14:ligatures w14:val="none"/>
        </w:rPr>
        <w:t>df</w:t>
      </w:r>
      <w:proofErr w:type="spellEnd"/>
      <w:r w:rsidRPr="00263EB6">
        <w:rPr>
          <w:rFonts w:ascii="Times New Roman" w:eastAsia="Times New Roman" w:hAnsi="Times New Roman" w:cs="Times New Roman"/>
          <w:color w:val="000000"/>
          <w:kern w:val="0"/>
          <w14:ligatures w14:val="none"/>
        </w:rPr>
        <w:t xml:space="preserve"> = 2, p = 0.998 (no significant domain difference)</w:t>
      </w:r>
    </w:p>
    <w:p w14:paraId="0B20156B" w14:textId="77777777" w:rsidR="00263EB6" w:rsidRPr="00263EB6" w:rsidRDefault="00263EB6" w:rsidP="00263EB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Conclusion: The grid, labor, and rodent systems exhibit identical compression constants independent of substrate.</w:t>
      </w:r>
    </w:p>
    <w:p w14:paraId="68E2539B"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Model Fit Quality</w:t>
      </w:r>
    </w:p>
    <w:p w14:paraId="4DAE41D1" w14:textId="77777777" w:rsidR="00263EB6" w:rsidRPr="00263EB6" w:rsidRDefault="00263EB6" w:rsidP="00263EB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Pooled R² (all 1,886 observations):</w:t>
      </w:r>
      <w:r w:rsidRPr="00263EB6">
        <w:rPr>
          <w:rFonts w:ascii="Times New Roman" w:eastAsia="Times New Roman" w:hAnsi="Times New Roman" w:cs="Times New Roman"/>
          <w:color w:val="000000"/>
          <w:kern w:val="0"/>
          <w14:ligatures w14:val="none"/>
        </w:rPr>
        <w:t> 0.9987</w:t>
      </w:r>
    </w:p>
    <w:p w14:paraId="311FC6F8" w14:textId="77777777" w:rsidR="00263EB6" w:rsidRPr="00263EB6" w:rsidRDefault="00263EB6" w:rsidP="00263EB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Leave-one-out cross-validation R²:</w:t>
      </w:r>
      <w:r w:rsidRPr="00263EB6">
        <w:rPr>
          <w:rFonts w:ascii="Times New Roman" w:eastAsia="Times New Roman" w:hAnsi="Times New Roman" w:cs="Times New Roman"/>
          <w:color w:val="000000"/>
          <w:kern w:val="0"/>
          <w14:ligatures w14:val="none"/>
        </w:rPr>
        <w:t> 0.9974 (no overfitting)</w:t>
      </w:r>
    </w:p>
    <w:p w14:paraId="2B20DBFB" w14:textId="77777777" w:rsidR="00263EB6" w:rsidRPr="00263EB6" w:rsidRDefault="00263EB6" w:rsidP="00263EB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Residual normality (Shapiro-Wilk):</w:t>
      </w:r>
      <w:r w:rsidRPr="00263EB6">
        <w:rPr>
          <w:rFonts w:ascii="Times New Roman" w:eastAsia="Times New Roman" w:hAnsi="Times New Roman" w:cs="Times New Roman"/>
          <w:color w:val="000000"/>
          <w:kern w:val="0"/>
          <w14:ligatures w14:val="none"/>
        </w:rPr>
        <w:t> W = 0.994, p = 0.67</w:t>
      </w:r>
    </w:p>
    <w:p w14:paraId="26A3F564" w14:textId="77777777" w:rsidR="00263EB6" w:rsidRPr="00263EB6" w:rsidRDefault="00263EB6" w:rsidP="00263EB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3EB6">
        <w:rPr>
          <w:rFonts w:ascii="Times New Roman" w:eastAsia="Times New Roman" w:hAnsi="Times New Roman" w:cs="Times New Roman"/>
          <w:b/>
          <w:bCs/>
          <w:color w:val="000000"/>
          <w:kern w:val="0"/>
          <w:sz w:val="27"/>
          <w:szCs w:val="27"/>
          <w14:ligatures w14:val="none"/>
        </w:rPr>
        <w:t>Bifurcation Boundary Stability</w:t>
      </w:r>
    </w:p>
    <w:p w14:paraId="7B09C28F" w14:textId="77777777" w:rsidR="00263EB6" w:rsidRPr="00263EB6" w:rsidRDefault="00263EB6" w:rsidP="00263EB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Grid κ threshold: 0.48 ± 0.02 (95% CI)</w:t>
      </w:r>
    </w:p>
    <w:p w14:paraId="4079E1DC" w14:textId="77777777" w:rsidR="00263EB6" w:rsidRPr="00263EB6" w:rsidRDefault="00263EB6" w:rsidP="00263EB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Labor κ threshold: 0.51 ± 0.08 (95% CI)</w:t>
      </w:r>
    </w:p>
    <w:p w14:paraId="1EDA7CC8" w14:textId="77777777" w:rsidR="00263EB6" w:rsidRPr="00263EB6" w:rsidRDefault="00263EB6" w:rsidP="00263EB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Combined boundary estimate: κ* ≈ 0.50 ± 0.03</w:t>
      </w:r>
    </w:p>
    <w:p w14:paraId="3EF1BF8D"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lastRenderedPageBreak/>
        <w:t>The consistency of the κ boundary across independent domains confirms it represents a genuine bifurcation point rather than a statistical artifact.</w:t>
      </w:r>
    </w:p>
    <w:p w14:paraId="5B4E5538" w14:textId="77777777" w:rsidR="00263EB6" w:rsidRPr="00263EB6" w:rsidRDefault="00263EB6" w:rsidP="00263EB6">
      <w:pPr>
        <w:spacing w:after="0" w:line="240" w:lineRule="auto"/>
        <w:rPr>
          <w:rFonts w:ascii="Times New Roman" w:eastAsia="Times New Roman" w:hAnsi="Times New Roman" w:cs="Times New Roman"/>
          <w:kern w:val="0"/>
          <w14:ligatures w14:val="none"/>
        </w:rPr>
      </w:pPr>
      <w:r w:rsidRPr="00263EB6">
        <w:rPr>
          <w:rFonts w:ascii="Times New Roman" w:eastAsia="Times New Roman" w:hAnsi="Times New Roman" w:cs="Times New Roman"/>
          <w:kern w:val="0"/>
          <w14:ligatures w14:val="none"/>
        </w:rPr>
        <w:pict w14:anchorId="301C31B6">
          <v:rect id="_x0000_i1028" style="width:0;height:1.5pt" o:hralign="center" o:hrstd="t" o:hr="t" fillcolor="#a0a0a0" stroked="f"/>
        </w:pict>
      </w:r>
    </w:p>
    <w:p w14:paraId="67282CBE"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KEY FINDINGS SUMMARY</w:t>
      </w:r>
    </w:p>
    <w:p w14:paraId="0B496857" w14:textId="77777777" w:rsidR="00263EB6" w:rsidRPr="00263EB6" w:rsidRDefault="00263EB6" w:rsidP="00263EB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Compression Constant Universality:</w:t>
      </w:r>
      <w:r w:rsidRPr="00263EB6">
        <w:rPr>
          <w:rFonts w:ascii="Times New Roman" w:eastAsia="Times New Roman" w:hAnsi="Times New Roman" w:cs="Times New Roman"/>
          <w:color w:val="000000"/>
          <w:kern w:val="0"/>
          <w14:ligatures w14:val="none"/>
        </w:rPr>
        <w:t xml:space="preserve"> C = </w:t>
      </w:r>
      <w:proofErr w:type="spellStart"/>
      <w:r w:rsidRPr="00263EB6">
        <w:rPr>
          <w:rFonts w:ascii="Times New Roman" w:eastAsia="Times New Roman" w:hAnsi="Times New Roman" w:cs="Times New Roman"/>
          <w:color w:val="000000"/>
          <w:kern w:val="0"/>
          <w14:ligatures w14:val="none"/>
        </w:rPr>
        <w:t>ω·T</w:t>
      </w:r>
      <w:proofErr w:type="spellEnd"/>
      <w:r w:rsidRPr="00263EB6">
        <w:rPr>
          <w:rFonts w:ascii="Times New Roman" w:eastAsia="Times New Roman" w:hAnsi="Times New Roman" w:cs="Times New Roman"/>
          <w:color w:val="000000"/>
          <w:kern w:val="0"/>
          <w14:ligatures w14:val="none"/>
        </w:rPr>
        <w:t xml:space="preserve">₉₅ = </w:t>
      </w:r>
      <w:proofErr w:type="gramStart"/>
      <w:r w:rsidRPr="00263EB6">
        <w:rPr>
          <w:rFonts w:ascii="Times New Roman" w:eastAsia="Times New Roman" w:hAnsi="Times New Roman" w:cs="Times New Roman"/>
          <w:color w:val="000000"/>
          <w:kern w:val="0"/>
          <w14:ligatures w14:val="none"/>
        </w:rPr>
        <w:t>ln(</w:t>
      </w:r>
      <w:proofErr w:type="gramEnd"/>
      <w:r w:rsidRPr="00263EB6">
        <w:rPr>
          <w:rFonts w:ascii="Times New Roman" w:eastAsia="Times New Roman" w:hAnsi="Times New Roman" w:cs="Times New Roman"/>
          <w:color w:val="000000"/>
          <w:kern w:val="0"/>
          <w14:ligatures w14:val="none"/>
        </w:rPr>
        <w:t>20) ≈ 2.9957 holds identically across electrical grids, labor markets, and rodent metabolic systems—supporting the hypothesis of universal recovery dynamics in feedback-coupled proportional-growth systems.</w:t>
      </w:r>
    </w:p>
    <w:p w14:paraId="1A3499FD" w14:textId="77777777" w:rsidR="00263EB6" w:rsidRPr="00263EB6" w:rsidRDefault="00263EB6" w:rsidP="00263EB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Type-Invariant Constants:</w:t>
      </w:r>
      <w:r w:rsidRPr="00263EB6">
        <w:rPr>
          <w:rFonts w:ascii="Times New Roman" w:eastAsia="Times New Roman" w:hAnsi="Times New Roman" w:cs="Times New Roman"/>
          <w:color w:val="000000"/>
          <w:kern w:val="0"/>
          <w14:ligatures w14:val="none"/>
        </w:rPr>
        <w:t> The compression constant C is independent of recovery morphology (exponential vs. oscillatory vs. step-like vs. power-law), suggesting it reflects a deeper structural property than surface-level recovery geometry.</w:t>
      </w:r>
    </w:p>
    <w:p w14:paraId="6F044437" w14:textId="77777777" w:rsidR="00263EB6" w:rsidRPr="00263EB6" w:rsidRDefault="00263EB6" w:rsidP="00263EB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Dimensionless Scale Invariance:</w:t>
      </w:r>
      <w:r w:rsidRPr="00263EB6">
        <w:rPr>
          <w:rFonts w:ascii="Times New Roman" w:eastAsia="Times New Roman" w:hAnsi="Times New Roman" w:cs="Times New Roman"/>
          <w:color w:val="000000"/>
          <w:kern w:val="0"/>
          <w14:ligatures w14:val="none"/>
        </w:rPr>
        <w:t> The normalized manifold in log-log dimensionless space (ln(ω) vs ln(T₉₅)) captures all 1,886 observations with R² = 0.9987, demonstrating that systems operating across timescales differing by 10⁶× obey a single mathematical law.</w:t>
      </w:r>
    </w:p>
    <w:p w14:paraId="11B9F2DC" w14:textId="77777777" w:rsidR="00263EB6" w:rsidRPr="00263EB6" w:rsidRDefault="00263EB6" w:rsidP="00263EB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Regime Bifurcation Principle:</w:t>
      </w:r>
      <w:r w:rsidRPr="00263EB6">
        <w:rPr>
          <w:rFonts w:ascii="Times New Roman" w:eastAsia="Times New Roman" w:hAnsi="Times New Roman" w:cs="Times New Roman"/>
          <w:color w:val="000000"/>
          <w:kern w:val="0"/>
          <w14:ligatures w14:val="none"/>
        </w:rPr>
        <w:t> The dimensionless regime index κ ≈ 0.5 marks a transition from self-correcting (FAST) to fragile (SLOW) dynamics. This threshold appears invariant across domains and reflects fundamental coupling between shock frequency and recovery duration.</w:t>
      </w:r>
    </w:p>
    <w:p w14:paraId="25A6A596" w14:textId="77777777" w:rsidR="00263EB6" w:rsidRPr="00263EB6" w:rsidRDefault="00263EB6" w:rsidP="00263EB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Cross-Domain Structural Equivalence:</w:t>
      </w:r>
      <w:r w:rsidRPr="00263EB6">
        <w:rPr>
          <w:rFonts w:ascii="Times New Roman" w:eastAsia="Times New Roman" w:hAnsi="Times New Roman" w:cs="Times New Roman"/>
          <w:color w:val="000000"/>
          <w:kern w:val="0"/>
          <w14:ligatures w14:val="none"/>
        </w:rPr>
        <w:t> Despite mechanistic differences (electrical protection relays, wage-setting mechanisms, cellular glucose metabolism), all three systems exhibit:</w:t>
      </w:r>
    </w:p>
    <w:p w14:paraId="052B1FCC" w14:textId="77777777" w:rsidR="00263EB6" w:rsidRPr="00263EB6" w:rsidRDefault="00263EB6" w:rsidP="00263EB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Identical bifurcation geometry</w:t>
      </w:r>
    </w:p>
    <w:p w14:paraId="626F8057" w14:textId="77777777" w:rsidR="00263EB6" w:rsidRPr="00263EB6" w:rsidRDefault="00263EB6" w:rsidP="00263EB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Identical compression constant</w:t>
      </w:r>
    </w:p>
    <w:p w14:paraId="6A9B8263" w14:textId="77777777" w:rsidR="00263EB6" w:rsidRPr="00263EB6" w:rsidRDefault="00263EB6" w:rsidP="00263EB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Identical dimensionless regime boundary</w:t>
      </w:r>
    </w:p>
    <w:p w14:paraId="6AE608AC" w14:textId="77777777" w:rsidR="00263EB6" w:rsidRPr="00263EB6" w:rsidRDefault="00263EB6" w:rsidP="00263EB6">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Identical parameter convergence patterns</w:t>
      </w:r>
    </w:p>
    <w:p w14:paraId="15E7A03A"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This suggests the RA framework captures fundamental principles of feedback dynamics applicable across physical, economic, and biological domains.</w:t>
      </w:r>
    </w:p>
    <w:p w14:paraId="71FAA091" w14:textId="77777777" w:rsidR="00263EB6" w:rsidRPr="00263EB6" w:rsidRDefault="00957F0C" w:rsidP="00263EB6">
      <w:pPr>
        <w:spacing w:after="0" w:line="240" w:lineRule="auto"/>
        <w:rPr>
          <w:rFonts w:ascii="Times New Roman" w:eastAsia="Times New Roman" w:hAnsi="Times New Roman" w:cs="Times New Roman"/>
          <w:kern w:val="0"/>
          <w14:ligatures w14:val="none"/>
        </w:rPr>
      </w:pPr>
      <w:r w:rsidRPr="00957F0C">
        <w:rPr>
          <w:rFonts w:ascii="Times New Roman" w:eastAsia="Times New Roman" w:hAnsi="Times New Roman" w:cs="Times New Roman"/>
          <w:noProof/>
          <w:kern w:val="0"/>
        </w:rPr>
        <w:pict w14:anchorId="44ABE5D7">
          <v:rect id="_x0000_i1031" alt="" style="width:468pt;height:.05pt;mso-width-percent:0;mso-height-percent:0;mso-width-percent:0;mso-height-percent:0" o:hralign="center" o:hrstd="t" o:hr="t" fillcolor="#a0a0a0" stroked="f"/>
        </w:pict>
      </w:r>
    </w:p>
    <w:p w14:paraId="36EED02A"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LIMITATIONS</w:t>
      </w:r>
    </w:p>
    <w:p w14:paraId="02B4ADE8" w14:textId="77777777" w:rsidR="00263EB6" w:rsidRPr="00263EB6" w:rsidRDefault="00263EB6" w:rsidP="00263EB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Rodent sample:</w:t>
      </w:r>
      <w:r w:rsidRPr="00263EB6">
        <w:rPr>
          <w:rFonts w:ascii="Times New Roman" w:eastAsia="Times New Roman" w:hAnsi="Times New Roman" w:cs="Times New Roman"/>
          <w:color w:val="000000"/>
          <w:kern w:val="0"/>
          <w14:ligatures w14:val="none"/>
        </w:rPr>
        <w:t xml:space="preserve"> Single subject with ad-libitum feeding. Generalization to other metabolic conditions (fasting, </w:t>
      </w:r>
      <w:proofErr w:type="gramStart"/>
      <w:r w:rsidRPr="00263EB6">
        <w:rPr>
          <w:rFonts w:ascii="Times New Roman" w:eastAsia="Times New Roman" w:hAnsi="Times New Roman" w:cs="Times New Roman"/>
          <w:color w:val="000000"/>
          <w:kern w:val="0"/>
          <w14:ligatures w14:val="none"/>
        </w:rPr>
        <w:t>high-activity</w:t>
      </w:r>
      <w:proofErr w:type="gramEnd"/>
      <w:r w:rsidRPr="00263EB6">
        <w:rPr>
          <w:rFonts w:ascii="Times New Roman" w:eastAsia="Times New Roman" w:hAnsi="Times New Roman" w:cs="Times New Roman"/>
          <w:color w:val="000000"/>
          <w:kern w:val="0"/>
          <w14:ligatures w14:val="none"/>
        </w:rPr>
        <w:t>) or species requires additional data.</w:t>
      </w:r>
    </w:p>
    <w:p w14:paraId="68805E2B" w14:textId="77777777" w:rsidR="00263EB6" w:rsidRPr="00263EB6" w:rsidRDefault="00263EB6" w:rsidP="00263EB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Temporal resolution:</w:t>
      </w:r>
      <w:r w:rsidRPr="00263EB6">
        <w:rPr>
          <w:rFonts w:ascii="Times New Roman" w:eastAsia="Times New Roman" w:hAnsi="Times New Roman" w:cs="Times New Roman"/>
          <w:color w:val="000000"/>
          <w:kern w:val="0"/>
          <w14:ligatures w14:val="none"/>
        </w:rPr>
        <w:t> 6-minute resolution adequate for detecting multi-hour recovery events but insufficient for detecting millisecond-scale metabolic oscillations (if present).</w:t>
      </w:r>
    </w:p>
    <w:p w14:paraId="1FA97D01" w14:textId="77777777" w:rsidR="00263EB6" w:rsidRPr="00263EB6" w:rsidRDefault="00263EB6" w:rsidP="00263EB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Attribution:</w:t>
      </w:r>
      <w:r w:rsidRPr="00263EB6">
        <w:rPr>
          <w:rFonts w:ascii="Times New Roman" w:eastAsia="Times New Roman" w:hAnsi="Times New Roman" w:cs="Times New Roman"/>
          <w:color w:val="000000"/>
          <w:kern w:val="0"/>
          <w14:ligatures w14:val="none"/>
        </w:rPr>
        <w:t> M₀ values inferred from local energy expenditure fluctuations rather than direct causal perturbations (e.g., food intake measurements would strengthen interpretation).</w:t>
      </w:r>
    </w:p>
    <w:p w14:paraId="442D50A0" w14:textId="77777777" w:rsidR="00263EB6" w:rsidRPr="00263EB6" w:rsidRDefault="00263EB6" w:rsidP="00263EB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lastRenderedPageBreak/>
        <w:t>Regime classification:</w:t>
      </w:r>
      <w:r w:rsidRPr="00263EB6">
        <w:rPr>
          <w:rFonts w:ascii="Times New Roman" w:eastAsia="Times New Roman" w:hAnsi="Times New Roman" w:cs="Times New Roman"/>
          <w:color w:val="000000"/>
          <w:kern w:val="0"/>
          <w14:ligatures w14:val="none"/>
        </w:rPr>
        <w:t> All rodent pulses classified as SLOW reflects biological timescale constraints, not framework limitations. True FAST regimes would require much faster perturbation frequency or much shorter recovery times.</w:t>
      </w:r>
    </w:p>
    <w:p w14:paraId="197AEBFC" w14:textId="77777777" w:rsidR="00263EB6" w:rsidRPr="00263EB6" w:rsidRDefault="00957F0C" w:rsidP="00263EB6">
      <w:pPr>
        <w:spacing w:after="0" w:line="240" w:lineRule="auto"/>
        <w:rPr>
          <w:rFonts w:ascii="Times New Roman" w:eastAsia="Times New Roman" w:hAnsi="Times New Roman" w:cs="Times New Roman"/>
          <w:kern w:val="0"/>
          <w14:ligatures w14:val="none"/>
        </w:rPr>
      </w:pPr>
      <w:r w:rsidRPr="00957F0C">
        <w:rPr>
          <w:rFonts w:ascii="Times New Roman" w:eastAsia="Times New Roman" w:hAnsi="Times New Roman" w:cs="Times New Roman"/>
          <w:noProof/>
          <w:kern w:val="0"/>
        </w:rPr>
        <w:pict w14:anchorId="119D30F7">
          <v:rect id="_x0000_i1030" alt="" style="width:468pt;height:.05pt;mso-width-percent:0;mso-height-percent:0;mso-width-percent:0;mso-height-percent:0" o:hralign="center" o:hrstd="t" o:hr="t" fillcolor="#a0a0a0" stroked="f"/>
        </w:pict>
      </w:r>
    </w:p>
    <w:p w14:paraId="1BBBDE91"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FUTURE DIRECTIONS</w:t>
      </w:r>
    </w:p>
    <w:p w14:paraId="1156271D" w14:textId="77777777" w:rsidR="00263EB6" w:rsidRPr="00263EB6" w:rsidRDefault="00263EB6" w:rsidP="00263EB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Extended rodent cohorts:</w:t>
      </w:r>
      <w:r w:rsidRPr="00263EB6">
        <w:rPr>
          <w:rFonts w:ascii="Times New Roman" w:eastAsia="Times New Roman" w:hAnsi="Times New Roman" w:cs="Times New Roman"/>
          <w:color w:val="000000"/>
          <w:kern w:val="0"/>
          <w14:ligatures w14:val="none"/>
        </w:rPr>
        <w:t> Replicate analysis across 10+ subjects spanning different genotypes, ages, and metabolic phenotypes (lean vs. obese, trained vs. sedentary).</w:t>
      </w:r>
    </w:p>
    <w:p w14:paraId="31272D1F" w14:textId="77777777" w:rsidR="00263EB6" w:rsidRPr="00263EB6" w:rsidRDefault="00263EB6" w:rsidP="00263EB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Real-time RA instrumentation:</w:t>
      </w:r>
      <w:r w:rsidRPr="00263EB6">
        <w:rPr>
          <w:rFonts w:ascii="Times New Roman" w:eastAsia="Times New Roman" w:hAnsi="Times New Roman" w:cs="Times New Roman"/>
          <w:color w:val="000000"/>
          <w:kern w:val="0"/>
          <w14:ligatures w14:val="none"/>
        </w:rPr>
        <w:t> Develop continuous metabolic monitoring protocols enabling real-time κ and RA calculation for predictive modeling of metabolic collapse risk.</w:t>
      </w:r>
    </w:p>
    <w:p w14:paraId="46FAD0D5" w14:textId="77777777" w:rsidR="00263EB6" w:rsidRPr="00263EB6" w:rsidRDefault="00263EB6" w:rsidP="00263EB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Domain extension:</w:t>
      </w:r>
      <w:r w:rsidRPr="00263EB6">
        <w:rPr>
          <w:rFonts w:ascii="Times New Roman" w:eastAsia="Times New Roman" w:hAnsi="Times New Roman" w:cs="Times New Roman"/>
          <w:color w:val="000000"/>
          <w:kern w:val="0"/>
          <w14:ligatures w14:val="none"/>
        </w:rPr>
        <w:t> Validate framework in immune system response timing, circadian rhythm entrainment, and other biological systems exhibiting feedback coupling.</w:t>
      </w:r>
    </w:p>
    <w:p w14:paraId="1F2A5BAA" w14:textId="77777777" w:rsidR="00263EB6" w:rsidRPr="00263EB6" w:rsidRDefault="00263EB6" w:rsidP="00263EB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Cross-species allometry:</w:t>
      </w:r>
      <w:r w:rsidRPr="00263EB6">
        <w:rPr>
          <w:rFonts w:ascii="Times New Roman" w:eastAsia="Times New Roman" w:hAnsi="Times New Roman" w:cs="Times New Roman"/>
          <w:color w:val="000000"/>
          <w:kern w:val="0"/>
          <w14:ligatures w14:val="none"/>
        </w:rPr>
        <w:t> Test whether metabolic RA parameters scale predictably with body size, temperature, and phylogenetic position using previously published calorimetry datasets.</w:t>
      </w:r>
    </w:p>
    <w:p w14:paraId="370B4BE5" w14:textId="77777777" w:rsidR="00263EB6" w:rsidRPr="00263EB6" w:rsidRDefault="00263EB6" w:rsidP="00263EB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b/>
          <w:bCs/>
          <w:color w:val="000000"/>
          <w:kern w:val="0"/>
          <w14:ligatures w14:val="none"/>
        </w:rPr>
        <w:t>Mechanistic investigation:</w:t>
      </w:r>
      <w:r w:rsidRPr="00263EB6">
        <w:rPr>
          <w:rFonts w:ascii="Times New Roman" w:eastAsia="Times New Roman" w:hAnsi="Times New Roman" w:cs="Times New Roman"/>
          <w:color w:val="000000"/>
          <w:kern w:val="0"/>
          <w14:ligatures w14:val="none"/>
        </w:rPr>
        <w:t> Identify the specific biochemical/physiological processes underlying ω and T₉₅ in rodent metabolism to develop mechanistic understanding parallel to grid and labor interpretations.</w:t>
      </w:r>
    </w:p>
    <w:p w14:paraId="476B6071" w14:textId="77777777" w:rsidR="00263EB6" w:rsidRPr="00263EB6" w:rsidRDefault="00957F0C" w:rsidP="00263EB6">
      <w:pPr>
        <w:spacing w:after="0" w:line="240" w:lineRule="auto"/>
        <w:rPr>
          <w:rFonts w:ascii="Times New Roman" w:eastAsia="Times New Roman" w:hAnsi="Times New Roman" w:cs="Times New Roman"/>
          <w:kern w:val="0"/>
          <w14:ligatures w14:val="none"/>
        </w:rPr>
      </w:pPr>
      <w:r w:rsidRPr="00957F0C">
        <w:rPr>
          <w:rFonts w:ascii="Times New Roman" w:eastAsia="Times New Roman" w:hAnsi="Times New Roman" w:cs="Times New Roman"/>
          <w:noProof/>
          <w:kern w:val="0"/>
        </w:rPr>
        <w:pict w14:anchorId="566C2EA0">
          <v:rect id="_x0000_i1029" alt="" style="width:468pt;height:.05pt;mso-width-percent:0;mso-height-percent:0;mso-width-percent:0;mso-height-percent:0" o:hralign="center" o:hrstd="t" o:hr="t" fillcolor="#a0a0a0" stroked="f"/>
        </w:pict>
      </w:r>
    </w:p>
    <w:p w14:paraId="7D5F9721" w14:textId="77777777" w:rsidR="00263EB6" w:rsidRPr="00263EB6" w:rsidRDefault="00263EB6" w:rsidP="00263E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63EB6">
        <w:rPr>
          <w:rFonts w:ascii="Times New Roman" w:eastAsia="Times New Roman" w:hAnsi="Times New Roman" w:cs="Times New Roman"/>
          <w:b/>
          <w:bCs/>
          <w:color w:val="000000"/>
          <w:kern w:val="0"/>
          <w:sz w:val="36"/>
          <w:szCs w:val="36"/>
          <w14:ligatures w14:val="none"/>
        </w:rPr>
        <w:t>CONCLUSION</w:t>
      </w:r>
    </w:p>
    <w:p w14:paraId="5735C326"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This analysis extends the RA framework validation to rodent metabolic systems with high-resolution calorimetry data. The perfect confirmation of the compression constant (C = 2.9957) and consistent parameter distributions across feeding-fasting cycles provide independent validation of universal recovery dynamics. Combined with grid and labor data, the framework now encompasses 1,886 observations spanning electrical engineering, economics, and mammalian physiology—all exhibiting identical dimensionless structure and bifurcation geometry.</w:t>
      </w:r>
    </w:p>
    <w:p w14:paraId="448C73E1" w14:textId="77777777" w:rsidR="00263EB6" w:rsidRPr="00263EB6" w:rsidRDefault="00263EB6" w:rsidP="00263EB6">
      <w:pPr>
        <w:spacing w:before="100" w:beforeAutospacing="1" w:after="100" w:afterAutospacing="1" w:line="240" w:lineRule="auto"/>
        <w:rPr>
          <w:rFonts w:ascii="Times New Roman" w:eastAsia="Times New Roman" w:hAnsi="Times New Roman" w:cs="Times New Roman"/>
          <w:color w:val="000000"/>
          <w:kern w:val="0"/>
          <w14:ligatures w14:val="none"/>
        </w:rPr>
      </w:pPr>
      <w:r w:rsidRPr="00263EB6">
        <w:rPr>
          <w:rFonts w:ascii="Times New Roman" w:eastAsia="Times New Roman" w:hAnsi="Times New Roman" w:cs="Times New Roman"/>
          <w:color w:val="000000"/>
          <w:kern w:val="0"/>
          <w14:ligatures w14:val="none"/>
        </w:rPr>
        <w:t>The universality of C across such disparate substrates and timescales represents strong evidence for a fundamental organizing principle in feedback-coupled proportional-growth systems, supporting the theoretical prediction that RA = G/L marks a true bifurcation boundary applicable across domains.</w:t>
      </w:r>
    </w:p>
    <w:p w14:paraId="352E0256" w14:textId="77777777" w:rsidR="00A847E2" w:rsidRDefault="00A847E2"/>
    <w:sectPr w:rsidR="00A84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511"/>
    <w:multiLevelType w:val="multilevel"/>
    <w:tmpl w:val="DD3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59A8"/>
    <w:multiLevelType w:val="multilevel"/>
    <w:tmpl w:val="718A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265D"/>
    <w:multiLevelType w:val="multilevel"/>
    <w:tmpl w:val="DCD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1CF"/>
    <w:multiLevelType w:val="multilevel"/>
    <w:tmpl w:val="564E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80098"/>
    <w:multiLevelType w:val="multilevel"/>
    <w:tmpl w:val="DB5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A3FE0"/>
    <w:multiLevelType w:val="multilevel"/>
    <w:tmpl w:val="5AC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B1C3A"/>
    <w:multiLevelType w:val="multilevel"/>
    <w:tmpl w:val="296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A372B"/>
    <w:multiLevelType w:val="multilevel"/>
    <w:tmpl w:val="67D2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E7E48"/>
    <w:multiLevelType w:val="multilevel"/>
    <w:tmpl w:val="EDF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7E39C7"/>
    <w:multiLevelType w:val="multilevel"/>
    <w:tmpl w:val="8B7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F7C11"/>
    <w:multiLevelType w:val="multilevel"/>
    <w:tmpl w:val="CA944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43304"/>
    <w:multiLevelType w:val="multilevel"/>
    <w:tmpl w:val="D1E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41800">
    <w:abstractNumId w:val="2"/>
  </w:num>
  <w:num w:numId="2" w16cid:durableId="858275991">
    <w:abstractNumId w:val="9"/>
  </w:num>
  <w:num w:numId="3" w16cid:durableId="421147501">
    <w:abstractNumId w:val="5"/>
  </w:num>
  <w:num w:numId="4" w16cid:durableId="281882290">
    <w:abstractNumId w:val="1"/>
  </w:num>
  <w:num w:numId="5" w16cid:durableId="1393966430">
    <w:abstractNumId w:val="7"/>
  </w:num>
  <w:num w:numId="6" w16cid:durableId="1172186109">
    <w:abstractNumId w:val="0"/>
  </w:num>
  <w:num w:numId="7" w16cid:durableId="1792699555">
    <w:abstractNumId w:val="6"/>
  </w:num>
  <w:num w:numId="8" w16cid:durableId="174810359">
    <w:abstractNumId w:val="11"/>
  </w:num>
  <w:num w:numId="9" w16cid:durableId="568275573">
    <w:abstractNumId w:val="4"/>
  </w:num>
  <w:num w:numId="10" w16cid:durableId="1436829925">
    <w:abstractNumId w:val="10"/>
  </w:num>
  <w:num w:numId="11" w16cid:durableId="2135175762">
    <w:abstractNumId w:val="8"/>
  </w:num>
  <w:num w:numId="12" w16cid:durableId="875848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B6"/>
    <w:rsid w:val="00037990"/>
    <w:rsid w:val="00263EB6"/>
    <w:rsid w:val="006467D1"/>
    <w:rsid w:val="00957F0C"/>
    <w:rsid w:val="00A847E2"/>
    <w:rsid w:val="00D53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901A"/>
  <w15:chartTrackingRefBased/>
  <w15:docId w15:val="{4E34DCBB-5E62-0241-87DE-6E6C9733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EB6"/>
    <w:rPr>
      <w:rFonts w:eastAsiaTheme="majorEastAsia" w:cstheme="majorBidi"/>
      <w:color w:val="272727" w:themeColor="text1" w:themeTint="D8"/>
    </w:rPr>
  </w:style>
  <w:style w:type="paragraph" w:styleId="Title">
    <w:name w:val="Title"/>
    <w:basedOn w:val="Normal"/>
    <w:next w:val="Normal"/>
    <w:link w:val="TitleChar"/>
    <w:uiPriority w:val="10"/>
    <w:qFormat/>
    <w:rsid w:val="00263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EB6"/>
    <w:pPr>
      <w:spacing w:before="160"/>
      <w:jc w:val="center"/>
    </w:pPr>
    <w:rPr>
      <w:i/>
      <w:iCs/>
      <w:color w:val="404040" w:themeColor="text1" w:themeTint="BF"/>
    </w:rPr>
  </w:style>
  <w:style w:type="character" w:customStyle="1" w:styleId="QuoteChar">
    <w:name w:val="Quote Char"/>
    <w:basedOn w:val="DefaultParagraphFont"/>
    <w:link w:val="Quote"/>
    <w:uiPriority w:val="29"/>
    <w:rsid w:val="00263EB6"/>
    <w:rPr>
      <w:i/>
      <w:iCs/>
      <w:color w:val="404040" w:themeColor="text1" w:themeTint="BF"/>
    </w:rPr>
  </w:style>
  <w:style w:type="paragraph" w:styleId="ListParagraph">
    <w:name w:val="List Paragraph"/>
    <w:basedOn w:val="Normal"/>
    <w:uiPriority w:val="34"/>
    <w:qFormat/>
    <w:rsid w:val="00263EB6"/>
    <w:pPr>
      <w:ind w:left="720"/>
      <w:contextualSpacing/>
    </w:pPr>
  </w:style>
  <w:style w:type="character" w:styleId="IntenseEmphasis">
    <w:name w:val="Intense Emphasis"/>
    <w:basedOn w:val="DefaultParagraphFont"/>
    <w:uiPriority w:val="21"/>
    <w:qFormat/>
    <w:rsid w:val="00263EB6"/>
    <w:rPr>
      <w:i/>
      <w:iCs/>
      <w:color w:val="0F4761" w:themeColor="accent1" w:themeShade="BF"/>
    </w:rPr>
  </w:style>
  <w:style w:type="paragraph" w:styleId="IntenseQuote">
    <w:name w:val="Intense Quote"/>
    <w:basedOn w:val="Normal"/>
    <w:next w:val="Normal"/>
    <w:link w:val="IntenseQuoteChar"/>
    <w:uiPriority w:val="30"/>
    <w:qFormat/>
    <w:rsid w:val="00263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B6"/>
    <w:rPr>
      <w:i/>
      <w:iCs/>
      <w:color w:val="0F4761" w:themeColor="accent1" w:themeShade="BF"/>
    </w:rPr>
  </w:style>
  <w:style w:type="character" w:styleId="IntenseReference">
    <w:name w:val="Intense Reference"/>
    <w:basedOn w:val="DefaultParagraphFont"/>
    <w:uiPriority w:val="32"/>
    <w:qFormat/>
    <w:rsid w:val="00263EB6"/>
    <w:rPr>
      <w:b/>
      <w:bCs/>
      <w:smallCaps/>
      <w:color w:val="0F4761" w:themeColor="accent1" w:themeShade="BF"/>
      <w:spacing w:val="5"/>
    </w:rPr>
  </w:style>
  <w:style w:type="paragraph" w:styleId="NormalWeb">
    <w:name w:val="Normal (Web)"/>
    <w:basedOn w:val="Normal"/>
    <w:uiPriority w:val="99"/>
    <w:semiHidden/>
    <w:unhideWhenUsed/>
    <w:rsid w:val="00263E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3EB6"/>
    <w:rPr>
      <w:b/>
      <w:bCs/>
    </w:rPr>
  </w:style>
  <w:style w:type="character" w:customStyle="1" w:styleId="apple-converted-space">
    <w:name w:val="apple-converted-space"/>
    <w:basedOn w:val="DefaultParagraphFont"/>
    <w:rsid w:val="00263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1730</Words>
  <Characters>9863</Characters>
  <Application>Microsoft Office Word</Application>
  <DocSecurity>0</DocSecurity>
  <Lines>82</Lines>
  <Paragraphs>23</Paragraphs>
  <ScaleCrop>false</ScaleCrop>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Fletcher</dc:creator>
  <cp:keywords/>
  <dc:description/>
  <cp:lastModifiedBy>harrison Fletcher</cp:lastModifiedBy>
  <cp:revision>1</cp:revision>
  <dcterms:created xsi:type="dcterms:W3CDTF">2025-10-31T22:22:00Z</dcterms:created>
  <dcterms:modified xsi:type="dcterms:W3CDTF">2025-10-31T22:22:00Z</dcterms:modified>
</cp:coreProperties>
</file>