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Apakah Model Fondasi Deret Waktu Menghasilkan Penskalaan Otomatis yang Lebih Baik? Evaluasi Zero-Shot Berbasis Keputusan dengan Anggaran CPU pada Trace Cloud dan Serverless Publik</w:t>
      </w:r>
    </w:p>
    <w:p>
      <w:pPr>
        <w:jc w:val="center"/>
      </w:pPr>
      <w:r>
        <w:rPr/>
        <w:t>[Nama Penulis]¹, [Nama Penulis]²</w:t>
      </w:r>
    </w:p>
    <w:p>
      <w:pPr>
        <w:jc w:val="center"/>
      </w:pPr>
      <w:r>
        <w:rPr>
          <w:sz w:val="20"/>
        </w:rPr>
        <w:t>¹[Afiliasi], ²[Afiliasi], [email korespondensi]</w:t>
      </w:r>
    </w:p>
    <w:p>
      <w:pPr>
        <w:jc w:val="center"/>
      </w:pPr>
      <w:r>
        <w:rPr>
          <w:i/>
          <w:sz w:val="18"/>
        </w:rPr>
        <w:t>DRAFT v0.5, 26 Oktober 2026. Angka diambil dari results/ dan paper/tables/.</w:t>
      </w:r>
    </w:p>
    <w:p>
      <w:pPr>
        <w:pStyle w:val="Heading1"/>
      </w:pPr>
      <w:r>
        <w:t>Abstrak</w:t>
      </w:r>
    </w:p>
    <w:p>
      <w:pPr>
        <w:jc w:val="both"/>
      </w:pPr>
      <w:r>
        <w:rPr/>
        <w:t>Model fondasi deret waktu (</w:t>
      </w:r>
      <w:r>
        <w:rPr>
          <w:i/>
        </w:rPr>
        <w:t>time-series foundation model</w:t>
      </w:r>
      <w:r>
        <w:rPr/>
        <w:t>, TSFM) dapat meramalkan beban kerja tanpa harus dilatih ulang untuk setiap layanan. Kemampuan ini menarik untuk penskalaan otomatis (</w:t>
      </w:r>
      <w:r>
        <w:rPr>
          <w:i/>
        </w:rPr>
        <w:t>autoscaling</w:t>
      </w:r>
      <w:r>
        <w:rPr/>
        <w:t xml:space="preserve">) pada platform </w:t>
      </w:r>
      <w:r>
        <w:rPr>
          <w:i/>
        </w:rPr>
        <w:t>serverless</w:t>
      </w:r>
      <w:r>
        <w:rPr/>
        <w:t xml:space="preserve"> dan </w:t>
      </w:r>
      <w:r>
        <w:rPr>
          <w:i/>
        </w:rPr>
        <w:t>middleware</w:t>
      </w:r>
      <w:r>
        <w:rPr/>
        <w:t>, tetapi satu-satunya evaluasi yang kami temukan pada rekaman jejak (</w:t>
      </w:r>
      <w:r>
        <w:rPr>
          <w:i/>
        </w:rPr>
        <w:t>trace</w:t>
      </w:r>
      <w:r>
        <w:rPr/>
        <w:t xml:space="preserve">) beban serverless, yaitu pada data Huawei, justru mendapati TSFM kalah dari model </w:t>
      </w:r>
      <w:r>
        <w:rPr>
          <w:i/>
        </w:rPr>
        <w:t>seasonal naive</w:t>
      </w:r>
      <w:r>
        <w:rPr/>
        <w:t xml:space="preserve">. Pada penelitian ini kami mengevaluasi delapan TSFM rilis 2024 hingga 2026 secara </w:t>
      </w:r>
      <w:r>
        <w:rPr>
          <w:i/>
        </w:rPr>
        <w:t>zero-shot</w:t>
      </w:r>
      <w:r>
        <w:rPr/>
        <w:t xml:space="preserve"> terhadap dua belas model pembanding statistik dan terlatih. Evaluasi tersebut memakai empat trace publik, yaitu Azure Functions 2019 dan 2021, Alibaba 2018, dan Huawei, dengan total 920 deret. Ada tiga sisi yang diukur: akurasi pada horizon 5 hingga 60 menit, biaya inferensi di CPU, serta kualitas keputusan penskalaan dalam simulasi berbasis trace. Pada keenam kombinasi dataset dan resolusi, TSFM terbaik (TimesFM-3, Chronos-2, atau Toto, dipilih pada periode validasi) menurunkan galat relatif 7 hingga 26% dibanding model pembanding terbaik, dan seluruh selisih itu signifikan menurut uji Wilcoxon berpasangan dengan koreksi Holm (p ≤ 0,022). Arah hasilnya bertahan pada berbagai cara menangani galat nol, meskipun pada Azure 2021 selisih menurut median rasio hampir nol, dan korpus pelatihan awal sebagian besar TSFM kemungkinan besar memuat trace Alibaba. Ketika konfigurasi eksperimen studi sebelumnya kami ulangi dengan model yang lebih baru, hasil negatifnya tidak muncul lagi. Keunggulan akurasi itu tidak menghasilkan perbaikan keputusan yang sama besar di setiap trace. Untuk pemanasan awal instance pada Azure 2019, rencana kapasitas berbasis Chronos-2 mengurangi proksi instance menganggur sekitar 69% dibanding </w:t>
      </w:r>
      <w:r>
        <w:rPr>
          <w:i/>
        </w:rPr>
        <w:t>keep-alive</w:t>
      </w:r>
      <w:r>
        <w:rPr/>
        <w:t xml:space="preserve"> reaktif dan sekitar 48% dibanding LightGBM pada proksi </w:t>
      </w:r>
      <w:r>
        <w:rPr>
          <w:i/>
        </w:rPr>
        <w:t>cold start</w:t>
      </w:r>
      <w:r>
        <w:rPr/>
        <w:t xml:space="preserve"> 5%. Pada aplikasi Azure 2021 yang sangat jarang dipanggil, manfaatnya tidak konsisten, dan pada mesin virtual Alibaba yang sudah memakai autoscaler reaktif TSFM hanya setara dengan MSTL-ARIMA. Dari sisi biaya, Chronos-2 dan Toto menawarkan kompromi akurasi dan latensi yang menarik pada 0,7 hingga 1,7 detik untuk 64 deret di CPU laptop, sedangkan TimesFM-3 memiliki galat agregat terendah dengan latensi 3,3 detik.</w:t>
      </w:r>
    </w:p>
    <w:p>
      <w:pPr>
        <w:jc w:val="both"/>
      </w:pPr>
      <w:r>
        <w:rPr>
          <w:b/>
        </w:rPr>
        <w:t>Kata kunci:</w:t>
      </w:r>
      <w:r>
        <w:rPr/>
        <w:t xml:space="preserve"> penskalaan otomatis, serverless, peramalan beban kerja, model fondasi deret waktu, zero-shot, cold start.</w:t>
      </w:r>
    </w:p>
    <w:p>
      <w:pPr>
        <w:pStyle w:val="Heading1"/>
      </w:pPr>
      <w:r>
        <w:t>Abstract</w:t>
      </w:r>
    </w:p>
    <w:p>
      <w:pPr>
        <w:jc w:val="both"/>
      </w:pPr>
      <w:r>
        <w:rPr>
          <w:i/>
        </w:rPr>
        <w:t>Time-series foundation models (TSFMs) can forecast workloads without being retrained for every service, which makes them attractive for autoscaling serverless and middleware platforms. The only evaluation we found on serverless traces, on Huawei data, reported that TSFMs lose to a seasonal naive forecaster. We evaluate eight TSFMs released between 2024 and 2026 in a zero-shot setting against twelve statistical and trained baselines on four public traces (Azure Functions 2019 and 2021, Alibaba 2018, and Huawei; 920 series), measuring forecast accuracy at 5 to 60 minute horizons, CPU inference cost, and the quality of autoscaling decisions in a trace-driven simulation. On all six dataset-resolution combinations, the best TSFM (TimesFM-3, Chronos-2, or Toto, selected on validation data) reduces the relative error of the best baseline by 7 to 26%, and every difference is significant under a paired Wilcoxon test with Holm correction (p &lt;= 0.022). The direction holds under several treatments of zero errors, although on Azure 2021 the median ratio is nearly tied, and most TSFMs likely saw the Alibaba trace during pretraining. Re-running the earlier study's setting with newer models reverses its negative result. Accuracy gains do not translate into equal decision gains on every trace. For pre-warming on Azure 2019, Chronos-2-based capacity plans cut a proxy of idle instances by about 69% relative to reactive keep-alive and about 48% relative to LightGBM at a 5% cold-start proxy; on the very sparse Azure 2021 applications the benefit is inconsistent, and for Alibaba virtual machines already governed by a reactive autoscaler, TSFMs only match MSTL-ARIMA. Chronos-2 and Toto offer an attractive accuracy-latency trade-off at 0.7 to 1.7 seconds per 64 series on a laptop CPU, while TimesFM-3 has the lowest aggregate error at 3.3 seconds.</w:t>
      </w:r>
    </w:p>
    <w:p>
      <w:pPr>
        <w:jc w:val="both"/>
      </w:pPr>
      <w:r>
        <w:rPr>
          <w:i/>
        </w:rPr>
        <w:t>**Keywords:** autoscaling, serverless, workload forecasting, time-series foundation model, zero-shot, cold start.</w:t>
      </w:r>
    </w:p>
    <w:p>
      <w:pPr>
        <w:pStyle w:val="Heading1"/>
      </w:pPr>
      <w:r>
        <w:t>1. Pendahuluan</w:t>
      </w:r>
    </w:p>
    <w:p>
      <w:pPr>
        <w:jc w:val="both"/>
      </w:pPr>
      <w:r>
        <w:rPr/>
        <w:t xml:space="preserve">Autoscaler reaktif, misalnya Horizontal Pod Autoscaler (HPA) pada Kubernetes [1], baru menambah kapasitas setelah utilisasi naik, sehingga lonjakan beban telanjur dilayani dengan kapasitas yang kurang. Pada platform </w:t>
      </w:r>
      <w:r>
        <w:rPr>
          <w:i/>
        </w:rPr>
        <w:t>serverless</w:t>
      </w:r>
      <w:r>
        <w:rPr/>
        <w:t xml:space="preserve"> (nirserver), keterlambatan ini muncul sebagai </w:t>
      </w:r>
      <w:r>
        <w:rPr>
          <w:i/>
        </w:rPr>
        <w:t>cold start</w:t>
      </w:r>
      <w:r>
        <w:rPr/>
        <w:t xml:space="preserve">: permintaan ke fungsi yang tidak memiliki instance hangat harus menunggu instance baru disiapkan. Shahrad dkk. [2] menemukan bahwa sebagian besar aplikasi Azure Functions jarang dipanggil, sehingga kebijakan </w:t>
      </w:r>
      <w:r>
        <w:rPr>
          <w:i/>
        </w:rPr>
        <w:t>keep-alive</w:t>
      </w:r>
      <w:r>
        <w:rPr/>
        <w:t xml:space="preserve"> dengan durasi tetap selalu berhadapan dengan pilihan antara </w:t>
      </w:r>
      <w:r>
        <w:rPr>
          <w:i/>
        </w:rPr>
        <w:t>cold start</w:t>
      </w:r>
      <w:r>
        <w:rPr/>
        <w:t xml:space="preserve"> yang sering dan memori yang terbuang. Penskalaan prediktif berupaya keluar dari pilihan itu dengan meramalkan beban lebih dahulu [3]. Kendalanya, model peramal seperti ARIMA (</w:t>
      </w:r>
      <w:r>
        <w:rPr>
          <w:i/>
        </w:rPr>
        <w:t>autoregressive integrated moving average</w:t>
      </w:r>
      <w:r>
        <w:rPr/>
        <w:t>) atau LSTM (</w:t>
      </w:r>
      <w:r>
        <w:rPr>
          <w:i/>
        </w:rPr>
        <w:t>long short-term memory</w:t>
      </w:r>
      <w:r>
        <w:rPr/>
        <w:t>) umumnya dilatih untuk setiap layanan atau klaster. Bagi operator yang mengelola ribuan fungsi, pekerjaan melatih dan memantau ribuan model tersebut menjadi biaya operasional tersendiri.</w:t>
      </w:r>
    </w:p>
    <w:p>
      <w:pPr>
        <w:jc w:val="both"/>
      </w:pPr>
      <w:r>
        <w:rPr/>
        <w:t>Model fondasi deret waktu (TSFM) menawarkan cara lain. Satu model dilatih awal pada korpus deret waktu yang besar, kemudian dipakai langsung pada deret baru tanpa pelatihan tambahan (</w:t>
      </w:r>
      <w:r>
        <w:rPr>
          <w:i/>
        </w:rPr>
        <w:t>zero-shot</w:t>
      </w:r>
      <w:r>
        <w:rPr/>
        <w:t xml:space="preserve">) [4, 5, 6, 7]. Sejauh penelusuran kami, evaluasi langsung pada beban serverless baru dilakukan oleh Toner dkk. [8], dan hasilnya negatif: pada empat subset trace Huawei, model </w:t>
      </w:r>
      <w:r>
        <w:rPr>
          <w:i/>
        </w:rPr>
        <w:t>seasonal naive</w:t>
      </w:r>
      <w:r>
        <w:rPr/>
        <w:t xml:space="preserve"> yang hanya mengulang nilai pada jam yang sama sehari sebelumnya mengalahkan semua TSFM yang diuji. Studi tersebut memiliki empat keterbatasan. Datanya berasal dari satu penyedia, dan </w:t>
      </w:r>
      <w:r>
        <w:rPr>
          <w:i/>
        </w:rPr>
        <w:t>checkpoint</w:t>
      </w:r>
      <w:r>
        <w:rPr/>
        <w:t xml:space="preserve"> yang diuji berasal dari generasi awal dengan ukuran kecil (Chronos-tiny dan Moirai-small). Evaluasinya juga hanya mengukur akurasi tanpa menguji keputusan penskalaan, sementara biaya inferensi di CPU hanya dilaporkan untuk sebagian model.</w:t>
      </w:r>
    </w:p>
    <w:p>
      <w:pPr>
        <w:jc w:val="both"/>
      </w:pPr>
      <w:r>
        <w:rPr/>
        <w:t xml:space="preserve">Penelitian ini berupaya menjawab tiga pertanyaan. </w:t>
      </w:r>
      <w:r>
        <w:rPr>
          <w:b/>
        </w:rPr>
        <w:t>RQ1:</w:t>
      </w:r>
      <w:r>
        <w:rPr/>
        <w:t xml:space="preserve"> apakah TSFM generasi terbaru dapat menyamai atau mengungguli model pembanding statistik dan terlatih pada beban cloud dan serverless, dan pada pola beban seperti apa? </w:t>
      </w:r>
      <w:r>
        <w:rPr>
          <w:b/>
        </w:rPr>
        <w:t>RQ2:</w:t>
      </w:r>
      <w:r>
        <w:rPr/>
        <w:t xml:space="preserve"> berapa biaya inferensinya di CPU, dan model mana yang dapat dijalankan di dalam siklus kontrol autoscaler? </w:t>
      </w:r>
      <w:r>
        <w:rPr>
          <w:b/>
        </w:rPr>
        <w:t>RQ3:</w:t>
      </w:r>
      <w:r>
        <w:rPr/>
        <w:t xml:space="preserve"> apakah keunggulan akurasi tersebut menghasilkan keputusan penskalaan yang lebih baik?</w:t>
      </w:r>
    </w:p>
    <w:p>
      <w:pPr>
        <w:jc w:val="both"/>
      </w:pPr>
      <w:r>
        <w:rPr/>
        <w:t>Kontribusi penelitian ini adalah sebagai berikut:</w:t>
      </w:r>
    </w:p>
    <w:p>
      <w:pPr>
        <w:pStyle w:val="ListNumber"/>
        <w:jc w:val="both"/>
      </w:pPr>
      <w:r>
        <w:rPr/>
        <w:t>Evaluasi tolok ukur (</w:t>
      </w:r>
      <w:r>
        <w:rPr>
          <w:i/>
        </w:rPr>
        <w:t>benchmark</w:t>
      </w:r>
      <w:r>
        <w:rPr/>
        <w:t xml:space="preserve">) </w:t>
      </w:r>
      <w:r>
        <w:rPr>
          <w:i/>
        </w:rPr>
        <w:t>zero-shot</w:t>
      </w:r>
      <w:r>
        <w:rPr/>
        <w:t xml:space="preserve"> untuk delapan TSFM terhadap dua belas model pembanding pada empat trace publik dan enam kombinasi dataset dan resolusi. Totalnya 920 deret dan 150.120 pasangan titik awal dan deret untuk setiap model, dilengkapi interval kepercayaan </w:t>
      </w:r>
      <w:r>
        <w:rPr>
          <w:i/>
        </w:rPr>
        <w:t>bootstrap</w:t>
      </w:r>
      <w:r>
        <w:rPr/>
        <w:t xml:space="preserve"> serta uji Friedman dan Nemenyi.</w:t>
      </w:r>
    </w:p>
    <w:p>
      <w:pPr>
        <w:pStyle w:val="ListNumber"/>
        <w:jc w:val="both"/>
      </w:pPr>
      <w:r>
        <w:rPr/>
        <w:t>Evaluasi ulang dengan konfigurasi eksperimen Toner dkk. [8]. Hasilnya mengindikasikan bahwa hasil negatif mereka tidak berlaku untuk TSFM generasi 2025 hingga 2026, tetapi tetap berlaku untuk model yang berukuran kecil.</w:t>
      </w:r>
    </w:p>
    <w:p>
      <w:pPr>
        <w:pStyle w:val="ListNumber"/>
        <w:jc w:val="both"/>
      </w:pPr>
      <w:r>
        <w:rPr/>
        <w:t>Evaluasi berbasis keputusan melalui simulator penskalaan untuk serverless dan mesin virtual (</w:t>
      </w:r>
      <w:r>
        <w:rPr>
          <w:i/>
        </w:rPr>
        <w:t>virtual machine</w:t>
      </w:r>
      <w:r>
        <w:rPr/>
        <w:t>, VM), lengkap dengan pseudocode dan definisi metrik. Simulator ini membandingkan kurva kompromi (</w:t>
      </w:r>
      <w:r>
        <w:rPr>
          <w:i/>
        </w:rPr>
        <w:t>trade-off</w:t>
      </w:r>
      <w:r>
        <w:rPr/>
        <w:t>) setiap kebijakan pada tingkat risiko yang sama, termasuk adaptasi kebijakan histogram hibrida Shahrad dkk. [2].</w:t>
      </w:r>
    </w:p>
    <w:p>
      <w:pPr>
        <w:pStyle w:val="ListNumber"/>
        <w:jc w:val="both"/>
      </w:pPr>
      <w:r>
        <w:rPr/>
        <w:t>Profil biaya CPU untuk seluruh model, ablasi panjang konteks yang menunjukkan bahwa konteks optimal bergantung pada resolusi data, serta audit kebocoran data pelatihan awal untuk setiap TSFM.</w:t>
      </w:r>
    </w:p>
    <w:p>
      <w:pPr>
        <w:jc w:val="both"/>
      </w:pPr>
      <w:r>
        <w:rPr/>
        <w:t>Pada tingkat akurasi, galat TSFM terbaik 7 hingga 26% lebih kecil daripada model pembanding terbaik pada keenam kombinasi dataset dan resolusi, termasuk aplikasi serverless yang sangat jarang dipanggil, dan seluruh selisih tersebut signifikan. Pada tingkat keputusan, keunggulan tersebut menghasilkan penghematan yang besar untuk pemanasan awal (</w:t>
      </w:r>
      <w:r>
        <w:rPr>
          <w:i/>
        </w:rPr>
        <w:t>pre-warming</w:t>
      </w:r>
      <w:r>
        <w:rPr/>
        <w:t>) instance pada Azure 2019, tidak konsisten pada Azure 2021, dan hampir hilang untuk VM yang sudah memakai kontrol reaktif.</w:t>
      </w:r>
    </w:p>
    <w:p>
      <w:pPr>
        <w:pStyle w:val="Heading1"/>
      </w:pPr>
      <w:r>
        <w:t>2. Kajian Terkait</w:t>
      </w:r>
    </w:p>
    <w:p>
      <w:pPr>
        <w:pStyle w:val="Heading2"/>
      </w:pPr>
      <w:r>
        <w:t>2.1 Peramalan beban kerja untuk penskalaan otomatis</w:t>
      </w:r>
    </w:p>
    <w:p>
      <w:pPr>
        <w:jc w:val="both"/>
      </w:pPr>
      <w:r>
        <w:rPr/>
        <w:t xml:space="preserve">Autoscaler yang dipakai di lingkungan produksi umumnya bersifat reaktif. HPA, misalnya, menghitung jumlah replika dari utilisasi yang teramati dan memakai jendela stabilisasi sebelum menurunkan kapasitas [1]. Roy dkk. [3] memakai model ARMA untuk meramalkan beban dan menyiapkan VM lebih awal. Untuk serverless, Shahrad dkk. [2] mengusulkan kebijakan histogram hibrida yang menentukan jendela pemanasan awal dan </w:t>
      </w:r>
      <w:r>
        <w:rPr>
          <w:i/>
        </w:rPr>
        <w:t>keep-alive</w:t>
      </w:r>
      <w:r>
        <w:rPr/>
        <w:t xml:space="preserve"> dari distribusi waktu antarinvokasi setiap aplikasi. Karakterisasi trace Azure [2, 9], Huawei [10], dan Alibaba [11] memperlihatkan dua sifat yang menyulitkan peramalan. Volume permintaan antarfungsi dapat berbeda hingga sembilan orde besaran, dan banyak fungsi hanya aktif sesekali.</w:t>
      </w:r>
    </w:p>
    <w:p>
      <w:pPr>
        <w:jc w:val="both"/>
      </w:pPr>
      <w:r>
        <w:rPr/>
        <w:t xml:space="preserve">Peramalan juga sudah lama dipakai untuk menekan </w:t>
      </w:r>
      <w:r>
        <w:rPr>
          <w:i/>
        </w:rPr>
        <w:t>cold start</w:t>
      </w:r>
      <w:r>
        <w:rPr/>
        <w:t xml:space="preserve">. Golec dkk. [12] merangkum berbagai pendekatan itu dalam kajian sistematis. Jegannathan dkk. [13] memakai SARIMA untuk memperkirakan kedatangan permintaan dan menyesuaikan jumlah kontainer, sedangkan Nguyen [14] memakai </w:t>
      </w:r>
      <w:r>
        <w:rPr>
          <w:i/>
        </w:rPr>
        <w:t>deep learning</w:t>
      </w:r>
      <w:r>
        <w:rPr/>
        <w:t xml:space="preserve"> untuk deret waktu dengan tujuan yang sama. IceBreaker [15] memperkirakan peluang invokasi berikutnya untuk memilih jenis node yang dipanaskan, dan melaporkan penurunan biaya </w:t>
      </w:r>
      <w:r>
        <w:rPr>
          <w:i/>
        </w:rPr>
        <w:t>keep-alive</w:t>
      </w:r>
      <w:r>
        <w:rPr/>
        <w:t xml:space="preserve"> sebesar 45%. FeMux [16] menggabungkan beberapa model peramal ringan pada Knative dan melaporkan pengurangan </w:t>
      </w:r>
      <w:r>
        <w:rPr>
          <w:i/>
        </w:rPr>
        <w:t>cold start</w:t>
      </w:r>
      <w:r>
        <w:rPr/>
        <w:t xml:space="preserve"> hingga 64% dibanding FaasCache, IceBreaker, dan Aquatope. AAPA [17] mengelompokkan jendela beban Azure Functions ke dalam beberapa arketipe sebelum memilih strategi penskalaan. Kondrashov dkk. [18] mengukur bahwa pergantian instance akibat kebijakan penskalaan menambah beban CPU sebesar 10 sampai 40% dari siklus yang dipakai untuk menangani permintaan, dan memori yang dialokasikan 2 sampai 10 kali lebih besar daripada yang benar-benar dipakai. Seluruh studi tersebut memakai model peramal yang dilatih untuk platform atau aplikasi tertentu. Sejauh penelusuran kami, belum ada yang menguji TSFM </w:t>
      </w:r>
      <w:r>
        <w:rPr>
          <w:i/>
        </w:rPr>
        <w:t>zero-shot</w:t>
      </w:r>
      <w:r>
        <w:rPr/>
        <w:t xml:space="preserve"> untuk keperluan ini.</w:t>
      </w:r>
    </w:p>
    <w:p>
      <w:pPr>
        <w:pStyle w:val="Heading2"/>
      </w:pPr>
      <w:r>
        <w:t>2.2 Model fondasi deret waktu</w:t>
      </w:r>
    </w:p>
    <w:p>
      <w:pPr>
        <w:jc w:val="both"/>
      </w:pPr>
      <w:r>
        <w:rPr/>
        <w:t xml:space="preserve">Chronos [4] mengubah nilai deret menjadi token, lalu melatih model bahasa di atas token tersebut. Chronos-Bolt [19] mempercepat proses itu dengan memakai </w:t>
      </w:r>
      <w:r>
        <w:rPr>
          <w:i/>
        </w:rPr>
        <w:t>patch</w:t>
      </w:r>
      <w:r>
        <w:rPr/>
        <w:t xml:space="preserve"> dan keluaran kuantil langsung, sedangkan Chronos-2 [20] menambahkan dukungan untuk deret multivariat dan kovariat. TimesFM [5] adalah </w:t>
      </w:r>
      <w:r>
        <w:rPr>
          <w:i/>
        </w:rPr>
        <w:t>transformer</w:t>
      </w:r>
      <w:r>
        <w:rPr/>
        <w:t xml:space="preserve"> yang hanya memakai dekoder, dan versi 2.5 [21] serta 3 [22, 23] menambahkan keluaran kuantil dan konteks hingga 16 ribu langkah. Moirai [6] dilatih pada korpus LOTSA, kemudian Moirai 2.0 [24] beralih ke arsitektur dekoder yang lebih kecil. TTM [7, 25] memakai arsitektur MLP-Mixer dengan ukuran di bawah lima juta parameter, TiRex [26] dibangun di atas xLSTM, dan Toto [27, 28] dilatih dengan porsi besar metrik </w:t>
      </w:r>
      <w:r>
        <w:rPr>
          <w:i/>
        </w:rPr>
        <w:t>observability</w:t>
      </w:r>
      <w:r>
        <w:rPr/>
        <w:t xml:space="preserve"> milik Datadog. Klaim keunggulan model-model ini sebagian besar berasal dari tolok ukur umum seperti GIFT-Eval [29], yang hanya memuat sedikit data beban kerja cloud.</w:t>
      </w:r>
    </w:p>
    <w:p>
      <w:pPr>
        <w:pStyle w:val="Heading2"/>
      </w:pPr>
      <w:r>
        <w:t>2.3 TSFM pada data cloud</w:t>
      </w:r>
    </w:p>
    <w:p>
      <w:pPr>
        <w:jc w:val="both"/>
      </w:pPr>
      <w:r>
        <w:rPr/>
        <w:t xml:space="preserve">Woo dkk. [30] melatih model awal pada data CloudOps yang mencakup Alibaba 2018, Azure VM 2017, dan Borg 2011, sehingga dataset tersebut kemungkinan sudah masuk ke korpus pelatihan awal model turunannya. Cohen dkk. [27] membangun tolok ukur </w:t>
      </w:r>
      <w:r>
        <w:rPr>
          <w:i/>
        </w:rPr>
        <w:t>observability</w:t>
      </w:r>
      <w:r>
        <w:rPr/>
        <w:t xml:space="preserve"> BOOM dari data internal Datadog. Evaluasi </w:t>
      </w:r>
      <w:r>
        <w:rPr>
          <w:i/>
        </w:rPr>
        <w:t>zero-shot</w:t>
      </w:r>
      <w:r>
        <w:rPr/>
        <w:t xml:space="preserve"> yang paling dekat dengan penelitian ini adalah studi Toner dkk. [8]. Sejauh penelusuran kami, belum ada studi yang menguji TSFM sampai ke tahap keputusan penskalaan, dan belum ada pula yang mengukur biaya CPU seluruh model dalam kondisi yang sama.</w:t>
      </w:r>
    </w:p>
    <w:p>
      <w:pPr>
        <w:pStyle w:val="Heading1"/>
      </w:pPr>
      <w:r>
        <w:t>3. Metodologi</w:t>
      </w:r>
    </w:p>
    <w:p>
      <w:pPr>
        <w:pStyle w:val="Heading2"/>
      </w:pPr>
      <w:r>
        <w:t>3.1 Dataset</w:t>
      </w:r>
    </w:p>
    <w:p>
      <w:pPr>
        <w:jc w:val="both"/>
      </w:pPr>
      <w:r>
        <w:rPr/>
        <w:t xml:space="preserve">Penelitian ini memakai empat </w:t>
      </w:r>
      <w:r>
        <w:rPr>
          <w:i/>
        </w:rPr>
        <w:t>trace</w:t>
      </w:r>
      <w:r>
        <w:rPr/>
        <w:t xml:space="preserve"> publik. </w:t>
      </w:r>
      <w:r>
        <w:rPr>
          <w:b/>
        </w:rPr>
        <w:t>Azure Functions 2019</w:t>
      </w:r>
      <w:r>
        <w:rPr/>
        <w:t xml:space="preserve"> [2] berisi jumlah invokasi per menit untuk setiap fungsi selama 14 hari. Jumlah tersebut kami agregasikan ke tingkat aplikasi, lalu kami pertahankan 13.057 aplikasi yang muncul pada ke-14 hari. Dari kumpulan itu kami mengambil 50 aplikasi dengan volume tertinggi, ditambah sampel acak hingga 125 aplikasi untuk setiap kelas pola permintaan menurut Syntetos dan Boylan [31], sehingga diperoleh 550 aplikasi. </w:t>
      </w:r>
      <w:r>
        <w:rPr>
          <w:b/>
        </w:rPr>
        <w:t>Azure Functions 2021</w:t>
      </w:r>
      <w:r>
        <w:rPr/>
        <w:t xml:space="preserve"> [9] berisi catatan untuk setiap invokasi. Waktu kedatangannya dihitung sebagai waktu selesai dikurangi durasi, kemudian dikelompokkan per menit untuk 119 aplikasi.</w:t>
      </w:r>
    </w:p>
    <w:p>
      <w:pPr>
        <w:jc w:val="both"/>
      </w:pPr>
      <w:r>
        <w:rPr>
          <w:b/>
        </w:rPr>
        <w:t>Alibaba 2018</w:t>
      </w:r>
      <w:r>
        <w:rPr/>
        <w:t xml:space="preserve"> [11] menyediakan utilisasi CPU per mesin dengan interval pencuplikan yang tidak teratur (median 60 detik, maksimum sekitar 640 detik), sehingga kami memakai bin 5 menit. Satu gangguan pencatatan yang mengenai seluruh mesin selama 5,4 jam pada hari kedua kami isi dengan nilai pada jam yang sama sehari sebelumnya. Kami kemudian mengambil 200 mesin secara acak dari 3.787 mesin yang lolos filter cakupan data 90%, ditambah satu deret rata-rata klaster. </w:t>
      </w:r>
      <w:r>
        <w:rPr>
          <w:b/>
        </w:rPr>
        <w:t>Huawei</w:t>
      </w:r>
      <w:r>
        <w:rPr/>
        <w:t xml:space="preserve"> [10] berupa 50 kanal hasil kurasi Toner dkk. [8] dengan resolusi 5 menit selama 30 hari.</w:t>
      </w:r>
    </w:p>
    <w:p>
      <w:pPr>
        <w:jc w:val="both"/>
      </w:pPr>
      <w:r>
        <w:rPr/>
        <w:t>Data Azure juga dievaluasi pada resolusi 5 menit dengan menjumlahkan invokasi setiap 5 menit. Seluruh stempel waktu pada trace sudah dianonimkan, sehingga tidak ada model yang memakai fitur kalender. Jumlah deret dan kelas polanya dirangkum pada Tabel 1.</w:t>
      </w:r>
    </w:p>
    <w:p>
      <w:pPr>
        <w:keepNext/>
      </w:pPr>
      <w:r>
        <w:rPr>
          <w:b/>
          <w:sz w:val="19"/>
        </w:rPr>
        <w:t>Tabel 1.</w:t>
      </w:r>
      <w:r>
        <w:rPr>
          <w:sz w:val="19"/>
        </w:rPr>
        <w:t xml:space="preserve"> Jumlah deret untuk setiap kombinasi dataset dan resolusi, beserta kelas pola Syntetos dan Boylan yang dihitung pada data latih.</w:t>
      </w:r>
    </w:p>
    <w:tbl>
      <w:tblPr>
        <w:tblW w:type="auto" w:w="0"/>
        <w:jc w:val="center"/>
        <w:tblLayout w:type="fixed"/>
        <w:tblLook w:firstColumn="1" w:firstRow="1" w:lastColumn="0" w:lastRow="0" w:noHBand="0" w:noVBand="1" w:val="04A0"/>
        <w:tblLayout w:type="fixed"/>
      </w:tblPr>
      <w:tblGrid>
        <w:gridCol w:w="2041"/>
        <w:gridCol w:w="1020"/>
        <w:gridCol w:w="1020"/>
        <w:gridCol w:w="1020"/>
        <w:gridCol w:w="1247"/>
        <w:gridCol w:w="1020"/>
      </w:tblGrid>
      <w:tr>
        <w:tc>
          <w:tcPr>
            <w:tcW w:type="dxa" w:w="2041"/>
            <w:tcBorders>
              <w:top w:val="single" w:sz="8" w:color="000000"/>
              <w:bottom w:val="single" w:sz="4" w:color="000000"/>
            </w:tcBorders>
          </w:tcPr>
          <w:p>
            <w:pPr>
              <w:keepNext/>
              <w:spacing w:after="0"/>
              <w:jc w:val="left"/>
            </w:pPr>
            <w:r>
              <w:rPr>
                <w:b/>
                <w:sz w:val="17"/>
              </w:rPr>
              <w:t>Dataset</w:t>
            </w:r>
          </w:p>
        </w:tc>
        <w:tc>
          <w:tcPr>
            <w:tcW w:type="dxa" w:w="1020"/>
            <w:tcBorders>
              <w:top w:val="single" w:sz="8" w:color="000000"/>
              <w:bottom w:val="single" w:sz="4" w:color="000000"/>
            </w:tcBorders>
          </w:tcPr>
          <w:p>
            <w:pPr>
              <w:keepNext/>
              <w:spacing w:after="0"/>
              <w:jc w:val="center"/>
            </w:pPr>
            <w:r>
              <w:rPr>
                <w:b/>
                <w:sz w:val="17"/>
              </w:rPr>
              <w:t>Deret</w:t>
            </w:r>
          </w:p>
        </w:tc>
        <w:tc>
          <w:tcPr>
            <w:tcW w:type="dxa" w:w="1020"/>
            <w:tcBorders>
              <w:top w:val="single" w:sz="8" w:color="000000"/>
              <w:bottom w:val="single" w:sz="4" w:color="000000"/>
            </w:tcBorders>
          </w:tcPr>
          <w:p>
            <w:pPr>
              <w:keepNext/>
              <w:spacing w:after="0"/>
              <w:jc w:val="center"/>
            </w:pPr>
            <w:r>
              <w:rPr>
                <w:b/>
                <w:sz w:val="17"/>
              </w:rPr>
              <w:t>Smooth</w:t>
            </w:r>
          </w:p>
        </w:tc>
        <w:tc>
          <w:tcPr>
            <w:tcW w:type="dxa" w:w="1020"/>
            <w:tcBorders>
              <w:top w:val="single" w:sz="8" w:color="000000"/>
              <w:bottom w:val="single" w:sz="4" w:color="000000"/>
            </w:tcBorders>
          </w:tcPr>
          <w:p>
            <w:pPr>
              <w:keepNext/>
              <w:spacing w:after="0"/>
              <w:jc w:val="center"/>
            </w:pPr>
            <w:r>
              <w:rPr>
                <w:b/>
                <w:sz w:val="17"/>
              </w:rPr>
              <w:t>Erratic</w:t>
            </w:r>
          </w:p>
        </w:tc>
        <w:tc>
          <w:tcPr>
            <w:tcW w:type="dxa" w:w="1247"/>
            <w:tcBorders>
              <w:top w:val="single" w:sz="8" w:color="000000"/>
              <w:bottom w:val="single" w:sz="4" w:color="000000"/>
            </w:tcBorders>
          </w:tcPr>
          <w:p>
            <w:pPr>
              <w:keepNext/>
              <w:spacing w:after="0"/>
              <w:jc w:val="center"/>
            </w:pPr>
            <w:r>
              <w:rPr>
                <w:b/>
                <w:sz w:val="17"/>
              </w:rPr>
              <w:t>Intermittent</w:t>
            </w:r>
          </w:p>
        </w:tc>
        <w:tc>
          <w:tcPr>
            <w:tcW w:type="dxa" w:w="1020"/>
            <w:tcBorders>
              <w:top w:val="single" w:sz="8" w:color="000000"/>
              <w:bottom w:val="single" w:sz="4" w:color="000000"/>
            </w:tcBorders>
          </w:tcPr>
          <w:p>
            <w:pPr>
              <w:keepNext/>
              <w:spacing w:after="0"/>
              <w:jc w:val="center"/>
            </w:pPr>
            <w:r>
              <w:rPr>
                <w:b/>
                <w:sz w:val="17"/>
              </w:rPr>
              <w:t>Lumpy</w:t>
            </w:r>
          </w:p>
        </w:tc>
      </w:tr>
      <w:tr>
        <w:tc>
          <w:tcPr>
            <w:tcW w:type="dxa" w:w="2041"/>
          </w:tcPr>
          <w:p>
            <w:pPr>
              <w:keepNext/>
              <w:spacing w:after="0"/>
              <w:jc w:val="left"/>
            </w:pPr>
            <w:r>
              <w:rPr>
                <w:sz w:val="17"/>
              </w:rPr>
              <w:t>Huawei 5m</w:t>
            </w:r>
          </w:p>
        </w:tc>
        <w:tc>
          <w:tcPr>
            <w:tcW w:type="dxa" w:w="1020"/>
          </w:tcPr>
          <w:p>
            <w:pPr>
              <w:keepNext/>
              <w:spacing w:after="0"/>
              <w:jc w:val="center"/>
            </w:pPr>
            <w:r>
              <w:rPr>
                <w:sz w:val="17"/>
              </w:rPr>
              <w:t>50</w:t>
            </w:r>
          </w:p>
        </w:tc>
        <w:tc>
          <w:tcPr>
            <w:tcW w:type="dxa" w:w="1020"/>
          </w:tcPr>
          <w:p>
            <w:pPr>
              <w:keepNext/>
              <w:spacing w:after="0"/>
              <w:jc w:val="center"/>
            </w:pPr>
            <w:r>
              <w:rPr>
                <w:sz w:val="17"/>
              </w:rPr>
              <w:t>24</w:t>
            </w:r>
          </w:p>
        </w:tc>
        <w:tc>
          <w:tcPr>
            <w:tcW w:type="dxa" w:w="1020"/>
          </w:tcPr>
          <w:p>
            <w:pPr>
              <w:keepNext/>
              <w:spacing w:after="0"/>
              <w:jc w:val="center"/>
            </w:pPr>
            <w:r>
              <w:rPr>
                <w:sz w:val="17"/>
              </w:rPr>
              <w:t>22</w:t>
            </w:r>
          </w:p>
        </w:tc>
        <w:tc>
          <w:tcPr>
            <w:tcW w:type="dxa" w:w="1247"/>
          </w:tcPr>
          <w:p>
            <w:pPr>
              <w:keepNext/>
              <w:spacing w:after="0"/>
              <w:jc w:val="center"/>
            </w:pPr>
            <w:r>
              <w:rPr>
                <w:sz w:val="17"/>
              </w:rPr>
              <w:t>0</w:t>
            </w:r>
          </w:p>
        </w:tc>
        <w:tc>
          <w:tcPr>
            <w:tcW w:type="dxa" w:w="1020"/>
          </w:tcPr>
          <w:p>
            <w:pPr>
              <w:keepNext/>
              <w:spacing w:after="0"/>
              <w:jc w:val="center"/>
            </w:pPr>
            <w:r>
              <w:rPr>
                <w:sz w:val="17"/>
              </w:rPr>
              <w:t>4</w:t>
            </w:r>
          </w:p>
        </w:tc>
      </w:tr>
      <w:tr>
        <w:tc>
          <w:tcPr>
            <w:tcW w:type="dxa" w:w="2041"/>
          </w:tcPr>
          <w:p>
            <w:pPr>
              <w:keepNext/>
              <w:spacing w:after="0"/>
              <w:jc w:val="left"/>
            </w:pPr>
            <w:r>
              <w:rPr>
                <w:sz w:val="17"/>
              </w:rPr>
              <w:t>Alibaba 5m</w:t>
            </w:r>
          </w:p>
        </w:tc>
        <w:tc>
          <w:tcPr>
            <w:tcW w:type="dxa" w:w="1020"/>
          </w:tcPr>
          <w:p>
            <w:pPr>
              <w:keepNext/>
              <w:spacing w:after="0"/>
              <w:jc w:val="center"/>
            </w:pPr>
            <w:r>
              <w:rPr>
                <w:sz w:val="17"/>
              </w:rPr>
              <w:t>201</w:t>
            </w:r>
          </w:p>
        </w:tc>
        <w:tc>
          <w:tcPr>
            <w:tcW w:type="dxa" w:w="1020"/>
          </w:tcPr>
          <w:p>
            <w:pPr>
              <w:keepNext/>
              <w:spacing w:after="0"/>
              <w:jc w:val="center"/>
            </w:pPr>
            <w:r>
              <w:rPr>
                <w:sz w:val="17"/>
              </w:rPr>
              <w:t>199</w:t>
            </w:r>
          </w:p>
        </w:tc>
        <w:tc>
          <w:tcPr>
            <w:tcW w:type="dxa" w:w="1020"/>
          </w:tcPr>
          <w:p>
            <w:pPr>
              <w:keepNext/>
              <w:spacing w:after="0"/>
              <w:jc w:val="center"/>
            </w:pPr>
            <w:r>
              <w:rPr>
                <w:sz w:val="17"/>
              </w:rPr>
              <w:t>1</w:t>
            </w:r>
          </w:p>
        </w:tc>
        <w:tc>
          <w:tcPr>
            <w:tcW w:type="dxa" w:w="1247"/>
          </w:tcPr>
          <w:p>
            <w:pPr>
              <w:keepNext/>
              <w:spacing w:after="0"/>
              <w:jc w:val="center"/>
            </w:pPr>
            <w:r>
              <w:rPr>
                <w:sz w:val="17"/>
              </w:rPr>
              <w:t>1</w:t>
            </w:r>
          </w:p>
        </w:tc>
        <w:tc>
          <w:tcPr>
            <w:tcW w:type="dxa" w:w="1020"/>
          </w:tcPr>
          <w:p>
            <w:pPr>
              <w:keepNext/>
              <w:spacing w:after="0"/>
              <w:jc w:val="center"/>
            </w:pPr>
            <w:r>
              <w:rPr>
                <w:sz w:val="17"/>
              </w:rPr>
              <w:t>0</w:t>
            </w:r>
          </w:p>
        </w:tc>
      </w:tr>
      <w:tr>
        <w:tc>
          <w:tcPr>
            <w:tcW w:type="dxa" w:w="2041"/>
          </w:tcPr>
          <w:p>
            <w:pPr>
              <w:keepNext/>
              <w:spacing w:after="0"/>
              <w:jc w:val="left"/>
            </w:pPr>
            <w:r>
              <w:rPr>
                <w:sz w:val="17"/>
              </w:rPr>
              <w:t>Azure19 5m</w:t>
            </w:r>
          </w:p>
        </w:tc>
        <w:tc>
          <w:tcPr>
            <w:tcW w:type="dxa" w:w="1020"/>
          </w:tcPr>
          <w:p>
            <w:pPr>
              <w:keepNext/>
              <w:spacing w:after="0"/>
              <w:jc w:val="center"/>
            </w:pPr>
            <w:r>
              <w:rPr>
                <w:sz w:val="17"/>
              </w:rPr>
              <w:t>550</w:t>
            </w:r>
          </w:p>
        </w:tc>
        <w:tc>
          <w:tcPr>
            <w:tcW w:type="dxa" w:w="1020"/>
          </w:tcPr>
          <w:p>
            <w:pPr>
              <w:keepNext/>
              <w:spacing w:after="0"/>
              <w:jc w:val="center"/>
            </w:pPr>
            <w:r>
              <w:rPr>
                <w:sz w:val="17"/>
              </w:rPr>
              <w:t>248</w:t>
            </w:r>
          </w:p>
        </w:tc>
        <w:tc>
          <w:tcPr>
            <w:tcW w:type="dxa" w:w="1020"/>
          </w:tcPr>
          <w:p>
            <w:pPr>
              <w:keepNext/>
              <w:spacing w:after="0"/>
              <w:jc w:val="center"/>
            </w:pPr>
            <w:r>
              <w:rPr>
                <w:sz w:val="17"/>
              </w:rPr>
              <w:t>142</w:t>
            </w:r>
          </w:p>
        </w:tc>
        <w:tc>
          <w:tcPr>
            <w:tcW w:type="dxa" w:w="1247"/>
          </w:tcPr>
          <w:p>
            <w:pPr>
              <w:keepNext/>
              <w:spacing w:after="0"/>
              <w:jc w:val="center"/>
            </w:pPr>
            <w:r>
              <w:rPr>
                <w:sz w:val="17"/>
              </w:rPr>
              <w:t>75</w:t>
            </w:r>
          </w:p>
        </w:tc>
        <w:tc>
          <w:tcPr>
            <w:tcW w:type="dxa" w:w="1020"/>
          </w:tcPr>
          <w:p>
            <w:pPr>
              <w:keepNext/>
              <w:spacing w:after="0"/>
              <w:jc w:val="center"/>
            </w:pPr>
            <w:r>
              <w:rPr>
                <w:sz w:val="17"/>
              </w:rPr>
              <w:t>85</w:t>
            </w:r>
          </w:p>
        </w:tc>
      </w:tr>
      <w:tr>
        <w:tc>
          <w:tcPr>
            <w:tcW w:type="dxa" w:w="2041"/>
          </w:tcPr>
          <w:p>
            <w:pPr>
              <w:keepNext/>
              <w:spacing w:after="0"/>
              <w:jc w:val="left"/>
            </w:pPr>
            <w:r>
              <w:rPr>
                <w:sz w:val="17"/>
              </w:rPr>
              <w:t>Azure19 1m</w:t>
            </w:r>
          </w:p>
        </w:tc>
        <w:tc>
          <w:tcPr>
            <w:tcW w:type="dxa" w:w="1020"/>
          </w:tcPr>
          <w:p>
            <w:pPr>
              <w:keepNext/>
              <w:spacing w:after="0"/>
              <w:jc w:val="center"/>
            </w:pPr>
            <w:r>
              <w:rPr>
                <w:sz w:val="17"/>
              </w:rPr>
              <w:t>550</w:t>
            </w:r>
          </w:p>
        </w:tc>
        <w:tc>
          <w:tcPr>
            <w:tcW w:type="dxa" w:w="1020"/>
          </w:tcPr>
          <w:p>
            <w:pPr>
              <w:keepNext/>
              <w:spacing w:after="0"/>
              <w:jc w:val="center"/>
            </w:pPr>
            <w:r>
              <w:rPr>
                <w:sz w:val="17"/>
              </w:rPr>
              <w:t>166</w:t>
            </w:r>
          </w:p>
        </w:tc>
        <w:tc>
          <w:tcPr>
            <w:tcW w:type="dxa" w:w="1020"/>
          </w:tcPr>
          <w:p>
            <w:pPr>
              <w:keepNext/>
              <w:spacing w:after="0"/>
              <w:jc w:val="center"/>
            </w:pPr>
            <w:r>
              <w:rPr>
                <w:sz w:val="17"/>
              </w:rPr>
              <w:t>131</w:t>
            </w:r>
          </w:p>
        </w:tc>
        <w:tc>
          <w:tcPr>
            <w:tcW w:type="dxa" w:w="1247"/>
          </w:tcPr>
          <w:p>
            <w:pPr>
              <w:keepNext/>
              <w:spacing w:after="0"/>
              <w:jc w:val="center"/>
            </w:pPr>
            <w:r>
              <w:rPr>
                <w:sz w:val="17"/>
              </w:rPr>
              <w:t>132</w:t>
            </w:r>
          </w:p>
        </w:tc>
        <w:tc>
          <w:tcPr>
            <w:tcW w:type="dxa" w:w="1020"/>
          </w:tcPr>
          <w:p>
            <w:pPr>
              <w:keepNext/>
              <w:spacing w:after="0"/>
              <w:jc w:val="center"/>
            </w:pPr>
            <w:r>
              <w:rPr>
                <w:sz w:val="17"/>
              </w:rPr>
              <w:t>121</w:t>
            </w:r>
          </w:p>
        </w:tc>
      </w:tr>
      <w:tr>
        <w:tc>
          <w:tcPr>
            <w:tcW w:type="dxa" w:w="2041"/>
          </w:tcPr>
          <w:p>
            <w:pPr>
              <w:keepNext/>
              <w:spacing w:after="0"/>
              <w:jc w:val="left"/>
            </w:pPr>
            <w:r>
              <w:rPr>
                <w:sz w:val="17"/>
              </w:rPr>
              <w:t>Azure21 5m</w:t>
            </w:r>
          </w:p>
        </w:tc>
        <w:tc>
          <w:tcPr>
            <w:tcW w:type="dxa" w:w="1020"/>
          </w:tcPr>
          <w:p>
            <w:pPr>
              <w:keepNext/>
              <w:spacing w:after="0"/>
              <w:jc w:val="center"/>
            </w:pPr>
            <w:r>
              <w:rPr>
                <w:sz w:val="17"/>
              </w:rPr>
              <w:t>119</w:t>
            </w:r>
          </w:p>
        </w:tc>
        <w:tc>
          <w:tcPr>
            <w:tcW w:type="dxa" w:w="1020"/>
          </w:tcPr>
          <w:p>
            <w:pPr>
              <w:keepNext/>
              <w:spacing w:after="0"/>
              <w:jc w:val="center"/>
            </w:pPr>
            <w:r>
              <w:rPr>
                <w:sz w:val="17"/>
              </w:rPr>
              <w:t>4</w:t>
            </w:r>
          </w:p>
        </w:tc>
        <w:tc>
          <w:tcPr>
            <w:tcW w:type="dxa" w:w="1020"/>
          </w:tcPr>
          <w:p>
            <w:pPr>
              <w:keepNext/>
              <w:spacing w:after="0"/>
              <w:jc w:val="center"/>
            </w:pPr>
            <w:r>
              <w:rPr>
                <w:sz w:val="17"/>
              </w:rPr>
              <w:t>3</w:t>
            </w:r>
          </w:p>
        </w:tc>
        <w:tc>
          <w:tcPr>
            <w:tcW w:type="dxa" w:w="1247"/>
          </w:tcPr>
          <w:p>
            <w:pPr>
              <w:keepNext/>
              <w:spacing w:after="0"/>
              <w:jc w:val="center"/>
            </w:pPr>
            <w:r>
              <w:rPr>
                <w:sz w:val="17"/>
              </w:rPr>
              <w:t>63</w:t>
            </w:r>
          </w:p>
        </w:tc>
        <w:tc>
          <w:tcPr>
            <w:tcW w:type="dxa" w:w="1020"/>
          </w:tcPr>
          <w:p>
            <w:pPr>
              <w:keepNext/>
              <w:spacing w:after="0"/>
              <w:jc w:val="center"/>
            </w:pPr>
            <w:r>
              <w:rPr>
                <w:sz w:val="17"/>
              </w:rPr>
              <w:t>49</w:t>
            </w:r>
          </w:p>
        </w:tc>
      </w:tr>
      <w:tr>
        <w:tc>
          <w:tcPr>
            <w:tcW w:type="dxa" w:w="2041"/>
            <w:tcBorders>
              <w:bottom w:val="single" w:sz="8" w:color="000000"/>
            </w:tcBorders>
          </w:tcPr>
          <w:p>
            <w:pPr>
              <w:keepNext w:val="0"/>
              <w:spacing w:after="0"/>
              <w:jc w:val="left"/>
            </w:pPr>
            <w:r>
              <w:rPr>
                <w:sz w:val="17"/>
              </w:rPr>
              <w:t>Azure21 1m</w:t>
            </w:r>
          </w:p>
        </w:tc>
        <w:tc>
          <w:tcPr>
            <w:tcW w:type="dxa" w:w="1020"/>
            <w:tcBorders>
              <w:bottom w:val="single" w:sz="8" w:color="000000"/>
            </w:tcBorders>
          </w:tcPr>
          <w:p>
            <w:pPr>
              <w:keepNext w:val="0"/>
              <w:spacing w:after="0"/>
              <w:jc w:val="center"/>
            </w:pPr>
            <w:r>
              <w:rPr>
                <w:sz w:val="17"/>
              </w:rPr>
              <w:t>119</w:t>
            </w:r>
          </w:p>
        </w:tc>
        <w:tc>
          <w:tcPr>
            <w:tcW w:type="dxa" w:w="1020"/>
            <w:tcBorders>
              <w:bottom w:val="single" w:sz="8" w:color="000000"/>
            </w:tcBorders>
          </w:tcPr>
          <w:p>
            <w:pPr>
              <w:keepNext w:val="0"/>
              <w:spacing w:after="0"/>
              <w:jc w:val="center"/>
            </w:pPr>
            <w:r>
              <w:rPr>
                <w:sz w:val="17"/>
              </w:rPr>
              <w:t>0</w:t>
            </w:r>
          </w:p>
        </w:tc>
        <w:tc>
          <w:tcPr>
            <w:tcW w:type="dxa" w:w="1020"/>
            <w:tcBorders>
              <w:bottom w:val="single" w:sz="8" w:color="000000"/>
            </w:tcBorders>
          </w:tcPr>
          <w:p>
            <w:pPr>
              <w:keepNext w:val="0"/>
              <w:spacing w:after="0"/>
              <w:jc w:val="center"/>
            </w:pPr>
            <w:r>
              <w:rPr>
                <w:sz w:val="17"/>
              </w:rPr>
              <w:t>0</w:t>
            </w:r>
          </w:p>
        </w:tc>
        <w:tc>
          <w:tcPr>
            <w:tcW w:type="dxa" w:w="1247"/>
            <w:tcBorders>
              <w:bottom w:val="single" w:sz="8" w:color="000000"/>
            </w:tcBorders>
          </w:tcPr>
          <w:p>
            <w:pPr>
              <w:keepNext w:val="0"/>
              <w:spacing w:after="0"/>
              <w:jc w:val="center"/>
            </w:pPr>
            <w:r>
              <w:rPr>
                <w:sz w:val="17"/>
              </w:rPr>
              <w:t>67</w:t>
            </w:r>
          </w:p>
        </w:tc>
        <w:tc>
          <w:tcPr>
            <w:tcW w:type="dxa" w:w="1020"/>
            <w:tcBorders>
              <w:bottom w:val="single" w:sz="8" w:color="000000"/>
            </w:tcBorders>
          </w:tcPr>
          <w:p>
            <w:pPr>
              <w:keepNext w:val="0"/>
              <w:spacing w:after="0"/>
              <w:jc w:val="center"/>
            </w:pPr>
            <w:r>
              <w:rPr>
                <w:sz w:val="17"/>
              </w:rPr>
              <w:t>52</w:t>
            </w:r>
          </w:p>
        </w:tc>
      </w:tr>
    </w:tbl>
    <w:p>
      <w:pPr>
        <w:spacing w:after="40"/>
      </w:pPr>
    </w:p>
    <w:p>
      <w:pPr>
        <w:pStyle w:val="Heading2"/>
      </w:pPr>
      <w:r>
        <w:t>3.2 Model</w:t>
      </w:r>
    </w:p>
    <w:p>
      <w:pPr>
        <w:jc w:val="both"/>
      </w:pPr>
      <w:r>
        <w:rPr/>
        <w:t xml:space="preserve">Tabel 2 memuat delapan TSFM yang dievaluasi. Revisi </w:t>
      </w:r>
      <w:r>
        <w:rPr>
          <w:i/>
        </w:rPr>
        <w:t>checkpoint</w:t>
      </w:r>
      <w:r>
        <w:rPr/>
        <w:t xml:space="preserve"> (bobot model) Hugging Face yang kami pakai dicantumkan pada Lampiran A. Seluruh model dijalankan secara </w:t>
      </w:r>
      <w:r>
        <w:rPr>
          <w:i/>
        </w:rPr>
        <w:t>zero-shot</w:t>
      </w:r>
      <w:r>
        <w:rPr/>
        <w:t xml:space="preserve"> di CPU dengan panjang konteks C = 2048 langkah, kecuali Alibaba yang memakai 1440 langkah karena riwayat datanya lebih pendek. Toto dijalankan dalam mode rata-rata analitik, dan varian dengan 20 sampel dilaporkan terpisah. Moirai 2.0 tidak memiliki keluaran rata-rata, sehingga kami memakai mediannya sebagai ramalan titik.</w:t>
      </w:r>
    </w:p>
    <w:p>
      <w:pPr>
        <w:keepNext/>
      </w:pPr>
      <w:r>
        <w:rPr>
          <w:b/>
          <w:sz w:val="19"/>
        </w:rPr>
        <w:t>Tabel 2.</w:t>
      </w:r>
      <w:r>
        <w:rPr>
          <w:sz w:val="19"/>
        </w:rPr>
        <w:t xml:space="preserve"> TSFM yang dievaluasi. Revisi </w:t>
      </w:r>
      <w:r>
        <w:rPr>
          <w:i/>
          <w:sz w:val="19"/>
        </w:rPr>
        <w:t>checkpoint</w:t>
      </w:r>
      <w:r>
        <w:rPr>
          <w:sz w:val="19"/>
        </w:rPr>
        <w:t xml:space="preserve"> tercantum pada Lampiran A.</w:t>
      </w:r>
    </w:p>
    <w:tbl>
      <w:tblPr>
        <w:tblW w:type="auto" w:w="0"/>
        <w:jc w:val="center"/>
        <w:tblLayout w:type="fixed"/>
        <w:tblLook w:firstColumn="1" w:firstRow="1" w:lastColumn="0" w:lastRow="0" w:noHBand="0" w:noVBand="1" w:val="04A0"/>
        <w:tblLayout w:type="fixed"/>
      </w:tblPr>
      <w:tblGrid>
        <w:gridCol w:w="1587"/>
        <w:gridCol w:w="3628"/>
        <w:gridCol w:w="907"/>
        <w:gridCol w:w="1361"/>
      </w:tblGrid>
      <w:tr>
        <w:tc>
          <w:tcPr>
            <w:tcW w:type="dxa" w:w="1587"/>
            <w:tcBorders>
              <w:top w:val="single" w:sz="8" w:color="000000"/>
              <w:bottom w:val="single" w:sz="4" w:color="000000"/>
            </w:tcBorders>
          </w:tcPr>
          <w:p>
            <w:pPr>
              <w:keepNext/>
              <w:spacing w:after="0"/>
              <w:jc w:val="left"/>
            </w:pPr>
            <w:r>
              <w:rPr>
                <w:b/>
                <w:sz w:val="17"/>
              </w:rPr>
              <w:t>Model</w:t>
            </w:r>
          </w:p>
        </w:tc>
        <w:tc>
          <w:tcPr>
            <w:tcW w:type="dxa" w:w="3628"/>
            <w:tcBorders>
              <w:top w:val="single" w:sz="8" w:color="000000"/>
              <w:bottom w:val="single" w:sz="4" w:color="000000"/>
            </w:tcBorders>
          </w:tcPr>
          <w:p>
            <w:pPr>
              <w:keepNext/>
              <w:spacing w:after="0"/>
              <w:jc w:val="center"/>
            </w:pPr>
            <w:r>
              <w:rPr>
                <w:b/>
                <w:sz w:val="17"/>
              </w:rPr>
              <w:t>Checkpoint</w:t>
            </w:r>
          </w:p>
        </w:tc>
        <w:tc>
          <w:tcPr>
            <w:tcW w:type="dxa" w:w="907"/>
            <w:tcBorders>
              <w:top w:val="single" w:sz="8" w:color="000000"/>
              <w:bottom w:val="single" w:sz="4" w:color="000000"/>
            </w:tcBorders>
          </w:tcPr>
          <w:p>
            <w:pPr>
              <w:keepNext/>
              <w:spacing w:after="0"/>
              <w:jc w:val="center"/>
            </w:pPr>
            <w:r>
              <w:rPr>
                <w:b/>
                <w:sz w:val="17"/>
              </w:rPr>
              <w:t>Ukuran</w:t>
            </w:r>
          </w:p>
        </w:tc>
        <w:tc>
          <w:tcPr>
            <w:tcW w:type="dxa" w:w="1361"/>
            <w:tcBorders>
              <w:top w:val="single" w:sz="8" w:color="000000"/>
              <w:bottom w:val="single" w:sz="4" w:color="000000"/>
            </w:tcBorders>
          </w:tcPr>
          <w:p>
            <w:pPr>
              <w:keepNext/>
              <w:spacing w:after="0"/>
              <w:jc w:val="center"/>
            </w:pPr>
            <w:r>
              <w:rPr>
                <w:b/>
                <w:sz w:val="17"/>
              </w:rPr>
              <w:t>Keluaran</w:t>
            </w:r>
          </w:p>
        </w:tc>
      </w:tr>
      <w:tr>
        <w:tc>
          <w:tcPr>
            <w:tcW w:type="dxa" w:w="1587"/>
          </w:tcPr>
          <w:p>
            <w:pPr>
              <w:keepNext/>
              <w:spacing w:after="0"/>
              <w:jc w:val="left"/>
            </w:pPr>
            <w:r>
              <w:rPr>
                <w:sz w:val="17"/>
              </w:rPr>
              <w:t>TimesFM-3</w:t>
            </w:r>
          </w:p>
        </w:tc>
        <w:tc>
          <w:tcPr>
            <w:tcW w:type="dxa" w:w="3628"/>
          </w:tcPr>
          <w:p>
            <w:pPr>
              <w:keepNext/>
              <w:spacing w:after="0"/>
              <w:jc w:val="center"/>
            </w:pPr>
            <w:r>
              <w:rPr>
                <w:sz w:val="17"/>
              </w:rPr>
              <w:t>google/timesfm-3.0-pytorch</w:t>
            </w:r>
          </w:p>
        </w:tc>
        <w:tc>
          <w:tcPr>
            <w:tcW w:type="dxa" w:w="907"/>
          </w:tcPr>
          <w:p>
            <w:pPr>
              <w:keepNext/>
              <w:spacing w:after="0"/>
              <w:jc w:val="center"/>
            </w:pPr>
            <w:r>
              <w:rPr>
                <w:sz w:val="17"/>
              </w:rPr>
              <w:t>330M</w:t>
            </w:r>
          </w:p>
        </w:tc>
        <w:tc>
          <w:tcPr>
            <w:tcW w:type="dxa" w:w="1361"/>
          </w:tcPr>
          <w:p>
            <w:pPr>
              <w:keepNext/>
              <w:spacing w:after="0"/>
              <w:jc w:val="center"/>
            </w:pPr>
            <w:r>
              <w:rPr>
                <w:sz w:val="17"/>
              </w:rPr>
              <w:t>kuantil</w:t>
            </w:r>
          </w:p>
        </w:tc>
      </w:tr>
      <w:tr>
        <w:tc>
          <w:tcPr>
            <w:tcW w:type="dxa" w:w="1587"/>
          </w:tcPr>
          <w:p>
            <w:pPr>
              <w:keepNext/>
              <w:spacing w:after="0"/>
              <w:jc w:val="left"/>
            </w:pPr>
            <w:r>
              <w:rPr>
                <w:sz w:val="17"/>
              </w:rPr>
              <w:t>Chronos-2</w:t>
            </w:r>
          </w:p>
        </w:tc>
        <w:tc>
          <w:tcPr>
            <w:tcW w:type="dxa" w:w="3628"/>
          </w:tcPr>
          <w:p>
            <w:pPr>
              <w:keepNext/>
              <w:spacing w:after="0"/>
              <w:jc w:val="center"/>
            </w:pPr>
            <w:r>
              <w:rPr>
                <w:sz w:val="17"/>
              </w:rPr>
              <w:t>amazon/chronos-2</w:t>
            </w:r>
          </w:p>
        </w:tc>
        <w:tc>
          <w:tcPr>
            <w:tcW w:type="dxa" w:w="907"/>
          </w:tcPr>
          <w:p>
            <w:pPr>
              <w:keepNext/>
              <w:spacing w:after="0"/>
              <w:jc w:val="center"/>
            </w:pPr>
            <w:r>
              <w:rPr>
                <w:sz w:val="17"/>
              </w:rPr>
              <w:t>120M</w:t>
            </w:r>
          </w:p>
        </w:tc>
        <w:tc>
          <w:tcPr>
            <w:tcW w:type="dxa" w:w="1361"/>
          </w:tcPr>
          <w:p>
            <w:pPr>
              <w:keepNext/>
              <w:spacing w:after="0"/>
              <w:jc w:val="center"/>
            </w:pPr>
            <w:r>
              <w:rPr>
                <w:sz w:val="17"/>
              </w:rPr>
              <w:t>kuantil</w:t>
            </w:r>
          </w:p>
        </w:tc>
      </w:tr>
      <w:tr>
        <w:tc>
          <w:tcPr>
            <w:tcW w:type="dxa" w:w="1587"/>
          </w:tcPr>
          <w:p>
            <w:pPr>
              <w:keepNext/>
              <w:spacing w:after="0"/>
              <w:jc w:val="left"/>
            </w:pPr>
            <w:r>
              <w:rPr>
                <w:sz w:val="17"/>
              </w:rPr>
              <w:t>Toto</w:t>
            </w:r>
          </w:p>
        </w:tc>
        <w:tc>
          <w:tcPr>
            <w:tcW w:type="dxa" w:w="3628"/>
          </w:tcPr>
          <w:p>
            <w:pPr>
              <w:keepNext/>
              <w:spacing w:after="0"/>
              <w:jc w:val="center"/>
            </w:pPr>
            <w:r>
              <w:rPr>
                <w:sz w:val="17"/>
              </w:rPr>
              <w:t>Datadog/Toto-Open-Base-1.0</w:t>
            </w:r>
          </w:p>
        </w:tc>
        <w:tc>
          <w:tcPr>
            <w:tcW w:type="dxa" w:w="907"/>
          </w:tcPr>
          <w:p>
            <w:pPr>
              <w:keepNext/>
              <w:spacing w:after="0"/>
              <w:jc w:val="center"/>
            </w:pPr>
            <w:r>
              <w:rPr>
                <w:sz w:val="17"/>
              </w:rPr>
              <w:t>151M</w:t>
            </w:r>
          </w:p>
        </w:tc>
        <w:tc>
          <w:tcPr>
            <w:tcW w:type="dxa" w:w="1361"/>
          </w:tcPr>
          <w:p>
            <w:pPr>
              <w:keepNext/>
              <w:spacing w:after="0"/>
              <w:jc w:val="center"/>
            </w:pPr>
            <w:r>
              <w:rPr>
                <w:sz w:val="17"/>
              </w:rPr>
              <w:t>rata-rata / sampel</w:t>
            </w:r>
          </w:p>
        </w:tc>
      </w:tr>
      <w:tr>
        <w:tc>
          <w:tcPr>
            <w:tcW w:type="dxa" w:w="1587"/>
          </w:tcPr>
          <w:p>
            <w:pPr>
              <w:keepNext/>
              <w:spacing w:after="0"/>
              <w:jc w:val="left"/>
            </w:pPr>
            <w:r>
              <w:rPr>
                <w:sz w:val="17"/>
              </w:rPr>
              <w:t>TimesFM-2.5</w:t>
            </w:r>
          </w:p>
        </w:tc>
        <w:tc>
          <w:tcPr>
            <w:tcW w:type="dxa" w:w="3628"/>
          </w:tcPr>
          <w:p>
            <w:pPr>
              <w:keepNext/>
              <w:spacing w:after="0"/>
              <w:jc w:val="center"/>
            </w:pPr>
            <w:r>
              <w:rPr>
                <w:sz w:val="17"/>
              </w:rPr>
              <w:t>google/timesfm-2.5-200m-pytorch</w:t>
            </w:r>
          </w:p>
        </w:tc>
        <w:tc>
          <w:tcPr>
            <w:tcW w:type="dxa" w:w="907"/>
          </w:tcPr>
          <w:p>
            <w:pPr>
              <w:keepNext/>
              <w:spacing w:after="0"/>
              <w:jc w:val="center"/>
            </w:pPr>
            <w:r>
              <w:rPr>
                <w:sz w:val="17"/>
              </w:rPr>
              <w:t>200M</w:t>
            </w:r>
          </w:p>
        </w:tc>
        <w:tc>
          <w:tcPr>
            <w:tcW w:type="dxa" w:w="1361"/>
          </w:tcPr>
          <w:p>
            <w:pPr>
              <w:keepNext/>
              <w:spacing w:after="0"/>
              <w:jc w:val="center"/>
            </w:pPr>
            <w:r>
              <w:rPr>
                <w:sz w:val="17"/>
              </w:rPr>
              <w:t>kuantil</w:t>
            </w:r>
          </w:p>
        </w:tc>
      </w:tr>
      <w:tr>
        <w:tc>
          <w:tcPr>
            <w:tcW w:type="dxa" w:w="1587"/>
          </w:tcPr>
          <w:p>
            <w:pPr>
              <w:keepNext/>
              <w:spacing w:after="0"/>
              <w:jc w:val="left"/>
            </w:pPr>
            <w:r>
              <w:rPr>
                <w:sz w:val="17"/>
              </w:rPr>
              <w:t>TiRex</w:t>
            </w:r>
          </w:p>
        </w:tc>
        <w:tc>
          <w:tcPr>
            <w:tcW w:type="dxa" w:w="3628"/>
          </w:tcPr>
          <w:p>
            <w:pPr>
              <w:keepNext/>
              <w:spacing w:after="0"/>
              <w:jc w:val="center"/>
            </w:pPr>
            <w:r>
              <w:rPr>
                <w:sz w:val="17"/>
              </w:rPr>
              <w:t>NX-AI/TiRex</w:t>
            </w:r>
          </w:p>
        </w:tc>
        <w:tc>
          <w:tcPr>
            <w:tcW w:type="dxa" w:w="907"/>
          </w:tcPr>
          <w:p>
            <w:pPr>
              <w:keepNext/>
              <w:spacing w:after="0"/>
              <w:jc w:val="center"/>
            </w:pPr>
            <w:r>
              <w:rPr>
                <w:sz w:val="17"/>
              </w:rPr>
              <w:t>35M</w:t>
            </w:r>
          </w:p>
        </w:tc>
        <w:tc>
          <w:tcPr>
            <w:tcW w:type="dxa" w:w="1361"/>
          </w:tcPr>
          <w:p>
            <w:pPr>
              <w:keepNext/>
              <w:spacing w:after="0"/>
              <w:jc w:val="center"/>
            </w:pPr>
            <w:r>
              <w:rPr>
                <w:sz w:val="17"/>
              </w:rPr>
              <w:t>kuantil</w:t>
            </w:r>
          </w:p>
        </w:tc>
      </w:tr>
      <w:tr>
        <w:tc>
          <w:tcPr>
            <w:tcW w:type="dxa" w:w="1587"/>
          </w:tcPr>
          <w:p>
            <w:pPr>
              <w:keepNext/>
              <w:spacing w:after="0"/>
              <w:jc w:val="left"/>
            </w:pPr>
            <w:r>
              <w:rPr>
                <w:sz w:val="17"/>
              </w:rPr>
              <w:t>Moirai-2-S</w:t>
            </w:r>
          </w:p>
        </w:tc>
        <w:tc>
          <w:tcPr>
            <w:tcW w:type="dxa" w:w="3628"/>
          </w:tcPr>
          <w:p>
            <w:pPr>
              <w:keepNext/>
              <w:spacing w:after="0"/>
              <w:jc w:val="center"/>
            </w:pPr>
            <w:r>
              <w:rPr>
                <w:sz w:val="17"/>
              </w:rPr>
              <w:t>Salesforce/moirai-2.0-R-small</w:t>
            </w:r>
          </w:p>
        </w:tc>
        <w:tc>
          <w:tcPr>
            <w:tcW w:type="dxa" w:w="907"/>
          </w:tcPr>
          <w:p>
            <w:pPr>
              <w:keepNext/>
              <w:spacing w:after="0"/>
              <w:jc w:val="center"/>
            </w:pPr>
            <w:r>
              <w:rPr>
                <w:sz w:val="17"/>
              </w:rPr>
              <w:t>kecil</w:t>
            </w:r>
          </w:p>
        </w:tc>
        <w:tc>
          <w:tcPr>
            <w:tcW w:type="dxa" w:w="1361"/>
          </w:tcPr>
          <w:p>
            <w:pPr>
              <w:keepNext/>
              <w:spacing w:after="0"/>
              <w:jc w:val="center"/>
            </w:pPr>
            <w:r>
              <w:rPr>
                <w:sz w:val="17"/>
              </w:rPr>
              <w:t>kuantil</w:t>
            </w:r>
          </w:p>
        </w:tc>
      </w:tr>
      <w:tr>
        <w:tc>
          <w:tcPr>
            <w:tcW w:type="dxa" w:w="1587"/>
          </w:tcPr>
          <w:p>
            <w:pPr>
              <w:keepNext/>
              <w:spacing w:after="0"/>
              <w:jc w:val="left"/>
            </w:pPr>
            <w:r>
              <w:rPr>
                <w:sz w:val="17"/>
              </w:rPr>
              <w:t>Chronos-Bolt-S</w:t>
            </w:r>
          </w:p>
        </w:tc>
        <w:tc>
          <w:tcPr>
            <w:tcW w:type="dxa" w:w="3628"/>
          </w:tcPr>
          <w:p>
            <w:pPr>
              <w:keepNext/>
              <w:spacing w:after="0"/>
              <w:jc w:val="center"/>
            </w:pPr>
            <w:r>
              <w:rPr>
                <w:sz w:val="17"/>
              </w:rPr>
              <w:t>amazon/chronos-bolt-small</w:t>
            </w:r>
          </w:p>
        </w:tc>
        <w:tc>
          <w:tcPr>
            <w:tcW w:type="dxa" w:w="907"/>
          </w:tcPr>
          <w:p>
            <w:pPr>
              <w:keepNext/>
              <w:spacing w:after="0"/>
              <w:jc w:val="center"/>
            </w:pPr>
            <w:r>
              <w:rPr>
                <w:sz w:val="17"/>
              </w:rPr>
              <w:t>48M</w:t>
            </w:r>
          </w:p>
        </w:tc>
        <w:tc>
          <w:tcPr>
            <w:tcW w:type="dxa" w:w="1361"/>
          </w:tcPr>
          <w:p>
            <w:pPr>
              <w:keepNext/>
              <w:spacing w:after="0"/>
              <w:jc w:val="center"/>
            </w:pPr>
            <w:r>
              <w:rPr>
                <w:sz w:val="17"/>
              </w:rPr>
              <w:t>kuantil</w:t>
            </w:r>
          </w:p>
        </w:tc>
      </w:tr>
      <w:tr>
        <w:tc>
          <w:tcPr>
            <w:tcW w:type="dxa" w:w="1587"/>
            <w:tcBorders>
              <w:bottom w:val="single" w:sz="8" w:color="000000"/>
            </w:tcBorders>
          </w:tcPr>
          <w:p>
            <w:pPr>
              <w:keepNext w:val="0"/>
              <w:spacing w:after="0"/>
              <w:jc w:val="left"/>
            </w:pPr>
            <w:r>
              <w:rPr>
                <w:sz w:val="17"/>
              </w:rPr>
              <w:t>TTM-r2</w:t>
            </w:r>
          </w:p>
        </w:tc>
        <w:tc>
          <w:tcPr>
            <w:tcW w:type="dxa" w:w="3628"/>
            <w:tcBorders>
              <w:bottom w:val="single" w:sz="8" w:color="000000"/>
            </w:tcBorders>
          </w:tcPr>
          <w:p>
            <w:pPr>
              <w:keepNext w:val="0"/>
              <w:spacing w:after="0"/>
              <w:jc w:val="center"/>
            </w:pPr>
            <w:r>
              <w:rPr>
                <w:sz w:val="17"/>
              </w:rPr>
              <w:t>ibm-granite/granite-timeseries-ttm-r2</w:t>
            </w:r>
          </w:p>
        </w:tc>
        <w:tc>
          <w:tcPr>
            <w:tcW w:type="dxa" w:w="907"/>
            <w:tcBorders>
              <w:bottom w:val="single" w:sz="8" w:color="000000"/>
            </w:tcBorders>
          </w:tcPr>
          <w:p>
            <w:pPr>
              <w:keepNext w:val="0"/>
              <w:spacing w:after="0"/>
              <w:jc w:val="center"/>
            </w:pPr>
            <w:r>
              <w:rPr>
                <w:sz w:val="17"/>
              </w:rPr>
              <w:t>&lt; 5M</w:t>
            </w:r>
          </w:p>
        </w:tc>
        <w:tc>
          <w:tcPr>
            <w:tcW w:type="dxa" w:w="1361"/>
            <w:tcBorders>
              <w:bottom w:val="single" w:sz="8" w:color="000000"/>
            </w:tcBorders>
          </w:tcPr>
          <w:p>
            <w:pPr>
              <w:keepNext w:val="0"/>
              <w:spacing w:after="0"/>
              <w:jc w:val="center"/>
            </w:pPr>
            <w:r>
              <w:rPr>
                <w:sz w:val="17"/>
              </w:rPr>
              <w:t>titik</w:t>
            </w:r>
          </w:p>
        </w:tc>
      </w:tr>
    </w:tbl>
    <w:p>
      <w:pPr>
        <w:spacing w:after="40"/>
      </w:pPr>
    </w:p>
    <w:p>
      <w:pPr>
        <w:jc w:val="both"/>
      </w:pPr>
      <w:r>
        <w:rPr/>
        <w:t xml:space="preserve">Model pembanding terbagi atas tiga kelompok. Kelompok pertama adalah model sederhana, yaitu model yang selalu meramalkan nol, </w:t>
      </w:r>
      <w:r>
        <w:rPr>
          <w:i/>
        </w:rPr>
        <w:t>naive</w:t>
      </w:r>
      <w:r>
        <w:rPr/>
        <w:t xml:space="preserve"> (nilai terakhir), </w:t>
      </w:r>
      <w:r>
        <w:rPr>
          <w:i/>
        </w:rPr>
        <w:t>seasonal naive</w:t>
      </w:r>
      <w:r>
        <w:rPr/>
        <w:t xml:space="preserve"> (nilai pada jam yang sama sehari sebelumnya), dan SWA-3 (rata-rata nilai pada jam yang sama selama tiga hari terakhir). Kelompok kedua adalah model statistik lokal yang dijalankan dengan pustaka StatsForecast [32], yaitu ETS (</w:t>
      </w:r>
      <w:r>
        <w:rPr>
          <w:i/>
        </w:rPr>
        <w:t>exponential smoothing</w:t>
      </w:r>
      <w:r>
        <w:rPr/>
        <w:t xml:space="preserve">) tanpa komponen musiman, MSTL [33] dengan ETS atau ARIMA untuk komponen tren, Croston [34], dan TSB [35]. MSTL hanya dijalankan pada resolusi 5 menit, karena satu kali penaksiran parameternya pada data 1 menit memakan waktu 4 hingga 9 detik. Kelompok ketiga adalah model terlatih global yang dilatih untuk setiap dataset: LightGBM [36] rekursif dengan fitur </w:t>
      </w:r>
      <w:r>
        <w:rPr>
          <w:i/>
        </w:rPr>
        <w:t>lag</w:t>
      </w:r>
      <w:r>
        <w:rPr/>
        <w:t xml:space="preserve"> yang dinormalisasi, serta N-BEATS [37] dan LSTM [38] yang dijalankan dengan NeuralForecast [39] dan dihentikan lebih awal (</w:t>
      </w:r>
      <w:r>
        <w:rPr>
          <w:i/>
        </w:rPr>
        <w:t>early stopping</w:t>
      </w:r>
      <w:r>
        <w:rPr/>
        <w:t>) berdasarkan data validasi. Model statistik melihat riwayat 7 hari, lebih panjang daripada konteks TSFM, sehingga perbandingan ini cenderung menguntungkan model pembanding.</w:t>
      </w:r>
    </w:p>
    <w:p>
      <w:pPr>
        <w:pStyle w:val="Heading2"/>
      </w:pPr>
      <w:r>
        <w:t>3.3 Protokol evaluasi</w:t>
      </w:r>
    </w:p>
    <w:p>
      <w:pPr>
        <w:jc w:val="both"/>
      </w:pPr>
      <w:r>
        <w:rPr/>
        <w:t>Setiap dataset dibagi secara kronologis menjadi data latih, validasi, dan uji, dengan porsi 10/2/2 hari untuk Azure, 5/1/2 hari untuk Alibaba, dan 24/2/4 hari untuk Huawei. Ramalan dibuat dari titik awal (</w:t>
      </w:r>
      <w:r>
        <w:rPr>
          <w:i/>
        </w:rPr>
        <w:t>forecast origin</w:t>
      </w:r>
      <w:r>
        <w:rPr/>
        <w:t>) setiap jam sepanjang periode validasi dan uji. Horizon yang dievaluasi adalah 5, 15, dan 60 menit, ditambah 1 menit untuk data beresolusi 1 menit. Ramalan pada periode validasi dipakai untuk membentuk kuantil konformal [40] bagi model yang hanya menghasilkan ramalan titik. Residu validasi itu dinormalisasi dengan skala setiap deret, lalu dikumpulkan untuk setiap langkah horizon. Ramalan yang bernilai negatif dipotong menjadi nol.</w:t>
      </w:r>
    </w:p>
    <w:p>
      <w:pPr>
        <w:jc w:val="both"/>
      </w:pPr>
      <w:r>
        <w:rPr/>
        <w:t>Untuk deret i dan horizon H, MAE dihitung dari seluruh langkah 1 sampai H di semua titik awal pada periode uji, sehingga “horizon 60 menit” pada tabel berarti rata-rata galat untuk ramalan 1 sampai 60 menit ke depan. Metrik utama kami adalah relMASE = exp(rata-rata</w:t>
      </w:r>
      <w:r>
        <w:rPr>
          <w:i/>
        </w:rPr>
        <w:t>i log(max(MAE</w:t>
      </w:r>
      <w:r>
        <w:rPr/>
        <w:t>i / MAE</w:t>
      </w:r>
      <w:r>
        <w:rPr>
          <w:i/>
        </w:rPr>
        <w:t>i^SN, 0,01))), dengan MAE</w:t>
      </w:r>
      <w:r>
        <w:rPr/>
        <w:t xml:space="preserve">i^SN galat </w:t>
      </w:r>
      <w:r>
        <w:rPr>
          <w:i/>
        </w:rPr>
        <w:t>seasonal naive</w:t>
      </w:r>
      <w:r>
        <w:rPr/>
        <w:t xml:space="preserve"> pada deret yang sama. Rasio ini setara dengan rasio MASE (</w:t>
      </w:r>
      <w:r>
        <w:rPr>
          <w:i/>
        </w:rPr>
        <w:t>mean absolute scaled error</w:t>
      </w:r>
      <w:r>
        <w:rPr/>
        <w:t xml:space="preserve">) [41], dan nilai di bawah 1 berarti lebih baik daripada </w:t>
      </w:r>
      <w:r>
        <w:rPr>
          <w:i/>
        </w:rPr>
        <w:t>seasonal naive</w:t>
      </w:r>
      <w:r>
        <w:rPr/>
        <w:t xml:space="preserve">. Batas bawah 0,01 mencegah satu deret dengan galat nol menarik rata-rata geometrik ke arah nol tanpa batas. Masalah ini nyata pada data yang sangat jarang: pada 8 dari 77 deret Azure 2021 yang dapat dihitung, LSTM, LightGBM, dan </w:t>
      </w:r>
      <w:r>
        <w:rPr>
          <w:i/>
        </w:rPr>
        <w:t>naive</w:t>
      </w:r>
      <w:r>
        <w:rPr/>
        <w:t xml:space="preserve"> memiliki MAE tepat nol. Deret dengan MAE</w:t>
      </w:r>
      <w:r>
        <w:rPr>
          <w:i/>
        </w:rPr>
        <w:t>i^SN = 0 dikeluarkan karena rasionya tidak terdefinisi. Sebagai metrik pendamping yang tidak memerlukan batas bawah, kami juga melaporkan rasio jumlah galat Σ</w:t>
      </w:r>
      <w:r>
        <w:rPr/>
        <w:t>i MAE</w:t>
      </w:r>
      <w:r>
        <w:rPr>
          <w:i/>
        </w:rPr>
        <w:t>i / Σ</w:t>
      </w:r>
      <w:r>
        <w:rPr/>
        <w:t>i MAE_i^SN.</w:t>
      </w:r>
    </w:p>
    <w:p>
      <w:pPr>
        <w:jc w:val="both"/>
      </w:pPr>
      <w:r>
        <w:rPr/>
        <w:t xml:space="preserve">Interval kepercayaan 95% dihitung dengan 1000 resampel </w:t>
      </w:r>
      <w:r>
        <w:rPr>
          <w:i/>
        </w:rPr>
        <w:t>bootstrap</w:t>
      </w:r>
      <w:r>
        <w:rPr/>
        <w:t xml:space="preserve"> atas deret. Interval ini mengukur ketidakpastian antarderet untuk periode uji yang tetap, dan tidak mencakup variasi antarperiode. Untuk uji signifikansi kami memakai uji Friedman dengan koreksi untuk nilai seri (</w:t>
      </w:r>
      <w:r>
        <w:rPr>
          <w:i/>
        </w:rPr>
        <w:t>ties</w:t>
      </w:r>
      <w:r>
        <w:rPr/>
        <w:t>), diikuti uji lanjut Nemenyi [42] pada peringkat MAE setiap deret. Jumlah deret, jumlah model, statistik χ², dan nilai p setiap kombinasi dilaporkan apa adanya pada Tabel 7.</w:t>
      </w:r>
    </w:p>
    <w:p>
      <w:pPr>
        <w:jc w:val="both"/>
      </w:pPr>
      <w:r>
        <w:rPr/>
        <w:t xml:space="preserve">Klaim bahwa satu model lebih baik daripada model lain kami uji secara berpasangan, tidak dari tumpang tindih interval kepercayaan. Untuk setiap kombinasi, TSFM terbaik dan model pembanding terbaik dipilih berdasarkan relMASE pada </w:t>
      </w:r>
      <w:r>
        <w:rPr>
          <w:b/>
        </w:rPr>
        <w:t>periode validasi</w:t>
      </w:r>
      <w:r>
        <w:rPr/>
        <w:t xml:space="preserve">, sehingga pemilihan pasangan tidak melihat data uji. Selisih log rasio kedua model pada setiap deret di periode uji kemudian diuji dengan uji peringkat bertanda Wilcoxon, dan interval kepercayaan rasio geometriknya dihitung dengan </w:t>
      </w:r>
      <w:r>
        <w:rPr>
          <w:i/>
        </w:rPr>
        <w:t>bootstrap</w:t>
      </w:r>
      <w:r>
        <w:rPr/>
        <w:t xml:space="preserve"> berpasangan. Nilai p dikoreksi dengan metode Holm untuk enam pengujian. Karena hasil pada data yang sangat jarang peka terhadap perlakuan galat nol, kami juga melaporkan perbandingan yang sama dengan batas bawah 10⁻⁹, 0,001, dan 0,1, rasio jumlah galat, dan median rasio (Tabel 6).</w:t>
      </w:r>
    </w:p>
    <w:p>
      <w:pPr>
        <w:pStyle w:val="Heading2"/>
      </w:pPr>
      <w:r>
        <w:t>3.4 Biaya komputasi</w:t>
      </w:r>
    </w:p>
    <w:p>
      <w:pPr>
        <w:jc w:val="both"/>
      </w:pPr>
      <w:r>
        <w:rPr/>
        <w:t xml:space="preserve">Latensi diukur secara terpisah pada Apple M3 Pro (11 inti, RAM 18 GB) dalam kondisi tanpa beban lain. Pengukuran memakai 4 utas CPU, horizon 60, ukuran </w:t>
      </w:r>
      <w:r>
        <w:rPr>
          <w:i/>
        </w:rPr>
        <w:t>batch</w:t>
      </w:r>
      <w:r>
        <w:rPr/>
        <w:t xml:space="preserve"> 1 dan 64, serta konteks 512 dan 2048. Setiap konfigurasi diukur 30 kali setelah 5 kali pemanasan, dan yang kami laporkan adalah mediannya (p50). Waktu pelatihan model pembanding dicatat dari eksekusi penuh. Latensi inferensi model pembanding terlatih tidak kami ukur dengan protokol yang sama.</w:t>
      </w:r>
    </w:p>
    <w:p>
      <w:pPr>
        <w:pStyle w:val="Heading2"/>
      </w:pPr>
      <w:r>
        <w:t>3.5 Simulasi penskalaan otomatis</w:t>
      </w:r>
    </w:p>
    <w:p>
      <w:pPr>
        <w:jc w:val="both"/>
      </w:pPr>
      <w:r>
        <w:rPr/>
        <w:t xml:space="preserve">Simulator bekerja pada agregat per menit dan tidak mensimulasikan permintaan individual. Karena itu metrik risikonya kami sebut </w:t>
      </w:r>
      <w:r>
        <w:rPr>
          <w:b/>
        </w:rPr>
        <w:t>proksi</w:t>
      </w:r>
      <w:r>
        <w:rPr/>
        <w:t xml:space="preserve"> </w:t>
      </w:r>
      <w:r>
        <w:rPr>
          <w:i/>
        </w:rPr>
        <w:t>cold start</w:t>
      </w:r>
      <w:r>
        <w:rPr/>
        <w:t>. Untuk setiap aplikasi i dan menit t, langkahnya sebagai berikut:</w:t>
      </w:r>
    </w:p>
    <w:p>
      <w:pPr>
        <w:pStyle w:val="ListNumber"/>
        <w:jc w:val="both"/>
      </w:pPr>
      <w:r>
        <w:rPr/>
        <w:t>Kebutuhan instance dihitung dengan hukum Little [43]: N</w:t>
      </w:r>
      <w:r>
        <w:rPr>
          <w:i/>
        </w:rPr>
        <w:t>it = ⌈λ</w:t>
      </w:r>
      <w:r>
        <w:rPr/>
        <w:t>it · d</w:t>
      </w:r>
      <w:r>
        <w:rPr>
          <w:i/>
        </w:rPr>
        <w:t>i / 60⌉, dengan λ</w:t>
      </w:r>
      <w:r>
        <w:rPr/>
        <w:t>it jumlah invokasi pada menit t dan d</w:t>
      </w:r>
      <w:r>
        <w:rPr>
          <w:i/>
        </w:rPr>
        <w:t>i durasi rata-rata aplikasi dalam detik. Durasi d</w:t>
      </w:r>
      <w:r>
        <w:rPr/>
        <w:t>i dihitung dari data latih saja, sehingga 2 aplikasi Azure 2019 dan 16 aplikasi Azure 2021 yang tidak aktif selama periode latih dikeluarkan dari simulasi.</w:t>
      </w:r>
    </w:p>
    <w:p>
      <w:pPr>
        <w:pStyle w:val="ListNumber"/>
        <w:jc w:val="both"/>
      </w:pPr>
      <w:r>
        <w:rPr/>
        <w:t>Setiap kebijakan menentukan kapasitas hangat K_it untuk menit tersebut.</w:t>
      </w:r>
    </w:p>
    <w:p>
      <w:pPr>
        <w:pStyle w:val="ListNumber"/>
        <w:jc w:val="both"/>
      </w:pPr>
      <w:r>
        <w:rPr/>
        <w:t>Kekurangan instance dihitung sebagai max(0, N</w:t>
      </w:r>
      <w:r>
        <w:rPr>
          <w:i/>
        </w:rPr>
        <w:t>it − K</w:t>
      </w:r>
      <w:r>
        <w:rPr/>
        <w:t>it), dan kelebihan sebagai max(0, K</w:t>
      </w:r>
      <w:r>
        <w:rPr>
          <w:i/>
        </w:rPr>
        <w:t>it − N</w:t>
      </w:r>
      <w:r>
        <w:rPr/>
        <w:t>it).</w:t>
      </w:r>
    </w:p>
    <w:p>
      <w:pPr>
        <w:pStyle w:val="ListNumber"/>
        <w:jc w:val="both"/>
      </w:pPr>
      <w:r>
        <w:rPr/>
        <w:t xml:space="preserve">Proksi rasio </w:t>
      </w:r>
      <w:r>
        <w:rPr>
          <w:i/>
        </w:rPr>
        <w:t>cold start</w:t>
      </w:r>
      <w:r>
        <w:rPr/>
        <w:t xml:space="preserve"> = Σ</w:t>
      </w:r>
      <w:r>
        <w:rPr>
          <w:i/>
        </w:rPr>
        <w:t>it max(0, N</w:t>
      </w:r>
      <w:r>
        <w:rPr/>
        <w:t>it − K</w:t>
      </w:r>
      <w:r>
        <w:rPr>
          <w:i/>
        </w:rPr>
        <w:t>it) / Σ</w:t>
      </w:r>
      <w:r>
        <w:rPr/>
        <w:t>it N</w:t>
      </w:r>
      <w:r>
        <w:rPr>
          <w:i/>
        </w:rPr>
        <w:t>it, dan instance menganggur per kebutuhan = Σ</w:t>
      </w:r>
      <w:r>
        <w:rPr/>
        <w:t>it max(0, K</w:t>
      </w:r>
      <w:r>
        <w:rPr>
          <w:i/>
        </w:rPr>
        <w:t>it − N</w:t>
      </w:r>
      <w:r>
        <w:rPr/>
        <w:t>it) / Σ</w:t>
      </w:r>
      <w:r>
        <w:rPr>
          <w:i/>
        </w:rPr>
        <w:t>it N</w:t>
      </w:r>
      <w:r>
        <w:rPr/>
        <w:t>it. Pembilang dan penyebut keduanya dijumlahkan atas seluruh aplikasi sebelum dibagi.</w:t>
      </w:r>
    </w:p>
    <w:p>
      <w:pPr>
        <w:jc w:val="both"/>
      </w:pPr>
      <w:r>
        <w:rPr/>
        <w:t>Sebagai contoh, sebuah aplikasi dengan durasi 4 detik menerima 30 invokasi pada menit t, sehingga N</w:t>
      </w:r>
      <w:r>
        <w:rPr>
          <w:i/>
        </w:rPr>
        <w:t>t = ⌈30 · 4/60⌉ = 2. Bila kebijakan hanya menyiapkan K</w:t>
      </w:r>
      <w:r>
        <w:rPr/>
        <w:t xml:space="preserve">t = 1 instance, kekurangannya 1 dan menit ini menyumbang 1 dari 2 unit kebutuhan ke proksi </w:t>
      </w:r>
      <w:r>
        <w:rPr>
          <w:i/>
        </w:rPr>
        <w:t>cold start</w:t>
      </w:r>
      <w:r>
        <w:rPr/>
        <w:t xml:space="preserve">. Bila pada menit berikutnya tidak ada invokasi tetapi K = 1, menit itu menyumbang 1 instance-menit menganggur. Simulator tidak melacak instance yang sedang sibuk melewati batas menit dan tidak memodelkan waktu </w:t>
      </w:r>
      <w:r>
        <w:rPr>
          <w:i/>
        </w:rPr>
        <w:t>cold start</w:t>
      </w:r>
      <w:r>
        <w:rPr/>
        <w:t xml:space="preserve"> itu sendiri, sehingga angka yang dihasilkan adalah estimasi relatif antarkebijakan.</w:t>
      </w:r>
    </w:p>
    <w:p>
      <w:pPr>
        <w:jc w:val="both"/>
      </w:pPr>
      <w:r>
        <w:rPr/>
        <w:t xml:space="preserve">Kami membandingkan empat kebijakan serverless. Kebijakan reaktif memakai </w:t>
      </w:r>
      <w:r>
        <w:rPr>
          <w:i/>
        </w:rPr>
        <w:t>keep-alive</w:t>
      </w:r>
      <w:r>
        <w:rPr/>
        <w:t xml:space="preserve"> dengan durasi tetap K menit, K ∈ {1, 2, 5, 10, 20, 30, 60}. Kebijakan prediktif menyiapkan kapasitas untuk 60 menit berikutnya pada setiap titik awal per jam: K</w:t>
      </w:r>
      <w:r>
        <w:rPr>
          <w:i/>
        </w:rPr>
        <w:t>it = ⌈g(q̂</w:t>
      </w:r>
      <w:r>
        <w:rPr/>
        <w:t>τ) · d</w:t>
      </w:r>
      <w:r>
        <w:rPr>
          <w:i/>
        </w:rPr>
        <w:t>i / 60⌉, dengan q̂</w:t>
      </w:r>
      <w:r>
        <w:rPr/>
        <w:t xml:space="preserve">τ kuantil τ dari ramalan dan g(x) = x bila x ≥ θ dan 0 bila sebaliknya. Ambang aktivasi θ mencegah ramalan positif yang sangat kecil langsung dibulatkan menjadi satu instance. Pasangan (τ, θ) dengan τ ∈ {0,5; …; 0,9} dan θ ∈ {0; 0,01; 0,05; 0,1; 0,25; 0,5; 1} invokasi per menit dipilih pada </w:t>
      </w:r>
      <w:r>
        <w:rPr>
          <w:b/>
        </w:rPr>
        <w:t>periode validasi</w:t>
      </w:r>
      <w:r>
        <w:rPr/>
        <w:t xml:space="preserve">: semua pasangan yang Pareto-optimal di validasi kami pertahankan, lalu dievaluasi pada periode uji. Untuk model titik, kuantil konformal dikalibrasi pada periode validasi yang sama, sehingga pemilihan ini sedikit optimistis bagi model tersebut. Kebijakan hibrida mengambil nilai maksimum dari kebijakan prediktif dan </w:t>
      </w:r>
      <w:r>
        <w:rPr>
          <w:i/>
        </w:rPr>
        <w:t>keep-alive</w:t>
      </w:r>
      <w:r>
        <w:rPr/>
        <w:t xml:space="preserve"> 10 menit. Kebijakan keempat adalah </w:t>
      </w:r>
      <w:r>
        <w:rPr>
          <w:b/>
        </w:rPr>
        <w:t>adaptasi</w:t>
      </w:r>
      <w:r>
        <w:rPr/>
        <w:t xml:space="preserve"> kebijakan histogram hibrida Shahrad dkk. [2] tanpa komponen ARIMA dan tanpa pembaruan daring: histogram waktu menganggur setiap aplikasi (rentang 4 jam) dipelajari satu kali dari data sebelum periode uji, jendela pemanasan awal ditetapkan dari persentil ke-5, dan jendela </w:t>
      </w:r>
      <w:r>
        <w:rPr>
          <w:i/>
        </w:rPr>
        <w:t>keep-alive</w:t>
      </w:r>
      <w:r>
        <w:rPr/>
        <w:t xml:space="preserve"> dari persentil ke-99, masing-masing dengan margin 10%. Aplikasi dengan histogram yang tidak representatif, termasuk aplikasi yang di versi aslinya ditangani ARIMA, kembali ke </w:t>
      </w:r>
      <w:r>
        <w:rPr>
          <w:i/>
        </w:rPr>
        <w:t>keep-alive</w:t>
      </w:r>
      <w:r>
        <w:rPr/>
        <w:t xml:space="preserve"> 4 jam.</w:t>
      </w:r>
    </w:p>
    <w:p>
      <w:pPr>
        <w:jc w:val="both"/>
      </w:pPr>
      <w:r>
        <w:rPr>
          <w:b/>
        </w:rPr>
        <w:t>VM (Alibaba, 5 menit).</w:t>
      </w:r>
      <w:r>
        <w:rPr/>
        <w:t xml:space="preserve"> Kebutuhan replika dihitung sebagai R = ⌈u/100 · 20/0,7⌉ untuk layanan berkapasitas 20 replika pada utilisasi 100% dengan target utilisasi 70%. Kebijakan reaktif meniru HPA, yaitu memakai permintaan satu langkah sebelumnya dengan stabilisasi penurunan satu langkah, dan target utilisasi penyediaan ∈ {0,4; …; 0,8} menjadi parameter pengaturnya. Kebijakan prediktif dan hibrida memakai kuantil τ seperti pada serverless tanpa ambang aktivasi, karena utilisasi bernilai kontinu. Risiko diukur sebagai fraksi interval yang kekurangan kapasitas, dan biaya diukur sebagai replika berlebih per replika yang dibutuhkan.</w:t>
      </w:r>
    </w:p>
    <w:p>
      <w:pPr>
        <w:jc w:val="both"/>
      </w:pPr>
      <w:r>
        <w:rPr/>
        <w:t>Setiap kebijakan memiliki parameter pengatur, sehingga yang kami bandingkan adalah kurva kompromi. Biaya setiap kebijakan diinterpolasi pada tingkat risiko yang sama.</w:t>
      </w:r>
    </w:p>
    <w:p>
      <w:pPr>
        <w:pStyle w:val="Heading2"/>
      </w:pPr>
      <w:r>
        <w:t>3.6 Audit kebocoran data pelatihan awal</w:t>
      </w:r>
    </w:p>
    <w:p>
      <w:pPr>
        <w:jc w:val="both"/>
      </w:pPr>
      <w:r>
        <w:rPr/>
        <w:t xml:space="preserve">Evaluasi </w:t>
      </w:r>
      <w:r>
        <w:rPr>
          <w:i/>
        </w:rPr>
        <w:t>zero-shot</w:t>
      </w:r>
      <w:r>
        <w:rPr/>
        <w:t xml:space="preserve"> hanya sah bila data uji tidak ikut dipakai saat pelatihan awal. Kami memeriksa </w:t>
      </w:r>
      <w:r>
        <w:rPr>
          <w:i/>
        </w:rPr>
        <w:t>model card</w:t>
      </w:r>
      <w:r>
        <w:rPr/>
        <w:t xml:space="preserve"> (dokumentasi resmi model) dan paper setiap TSFM (Tabel 3). Korpus GiftEvalPretrain [44], yang merupakan subset dari LOTSA [6], memuat trace Alibaba 2018 yang telah diolah Woo dkk. [30]. Kami membedakan tiga tingkat tumpang tindih: (1) trace sumber yang sama, (2) klaster dan periode yang sama tetapi tabel atau sinyal berbeda, dan (3) observasi target uji yang sama. Berdasarkan jumlah observasinya, olahan Woo dkk. kemungkinan besar berasal dari tabel penggunaan kontainer, sedangkan kami memakai tabel penggunaan mesin. Tumpang tindih pada Alibaba dengan demikian berada pada tingkat (2), sedangkan tingkat (3) tidak dapat kami pastikan maupun kami singkirkan. Karena itu hasil Alibaba untuk lima TSFM tidak kami perlakukan sebagai </w:t>
      </w:r>
      <w:r>
        <w:rPr>
          <w:i/>
        </w:rPr>
        <w:t>zero-shot</w:t>
      </w:r>
      <w:r>
        <w:rPr/>
        <w:t xml:space="preserve"> murni. Trace Azure Functions dan Huawei tidak ditemukan dalam dokumentasi yang kami periksa, yang belum berarti keduanya dipastikan tidak dipakai.</w:t>
      </w:r>
    </w:p>
    <w:p>
      <w:pPr>
        <w:keepNext/>
      </w:pPr>
      <w:r>
        <w:rPr>
          <w:b/>
          <w:sz w:val="19"/>
        </w:rPr>
        <w:t>Tabel 3.</w:t>
      </w:r>
      <w:r>
        <w:rPr>
          <w:sz w:val="19"/>
        </w:rPr>
        <w:t xml:space="preserve"> Audit kebocoran data pelatihan awal berdasarkan </w:t>
      </w:r>
      <w:r>
        <w:rPr>
          <w:i/>
          <w:sz w:val="19"/>
        </w:rPr>
        <w:t>model card</w:t>
      </w:r>
      <w:r>
        <w:rPr>
          <w:sz w:val="19"/>
        </w:rPr>
        <w:t xml:space="preserve"> dan paper setiap model (revisi dokumen per 25 Oktober 2026). “Tidak disebut” berarti tidak ditemukan dalam dokumentasi, bukan dipastikan tidak dipakai.</w:t>
      </w:r>
    </w:p>
    <w:tbl>
      <w:tblPr>
        <w:tblW w:type="auto" w:w="0"/>
        <w:jc w:val="center"/>
        <w:tblLayout w:type="fixed"/>
        <w:tblLook w:firstColumn="1" w:firstRow="1" w:lastColumn="0" w:lastRow="0" w:noHBand="0" w:noVBand="1" w:val="04A0"/>
        <w:tblLayout w:type="fixed"/>
      </w:tblPr>
      <w:tblGrid>
        <w:gridCol w:w="1361"/>
        <w:gridCol w:w="3742"/>
        <w:gridCol w:w="794"/>
        <w:gridCol w:w="1304"/>
        <w:gridCol w:w="1304"/>
      </w:tblGrid>
      <w:tr>
        <w:tc>
          <w:tcPr>
            <w:tcW w:type="dxa" w:w="1361"/>
            <w:tcBorders>
              <w:top w:val="single" w:sz="8" w:color="000000"/>
              <w:bottom w:val="single" w:sz="4" w:color="000000"/>
            </w:tcBorders>
          </w:tcPr>
          <w:p>
            <w:pPr>
              <w:keepNext/>
              <w:spacing w:after="0"/>
              <w:jc w:val="left"/>
            </w:pPr>
            <w:r>
              <w:rPr>
                <w:b/>
                <w:sz w:val="15"/>
              </w:rPr>
              <w:t>Model</w:t>
            </w:r>
          </w:p>
        </w:tc>
        <w:tc>
          <w:tcPr>
            <w:tcW w:type="dxa" w:w="3742"/>
            <w:tcBorders>
              <w:top w:val="single" w:sz="8" w:color="000000"/>
              <w:bottom w:val="single" w:sz="4" w:color="000000"/>
            </w:tcBorders>
          </w:tcPr>
          <w:p>
            <w:pPr>
              <w:keepNext/>
              <w:spacing w:after="0"/>
              <w:jc w:val="center"/>
            </w:pPr>
            <w:r>
              <w:rPr>
                <w:b/>
                <w:sz w:val="15"/>
              </w:rPr>
              <w:t>Korpus pelatihan awal</w:t>
            </w:r>
          </w:p>
        </w:tc>
        <w:tc>
          <w:tcPr>
            <w:tcW w:type="dxa" w:w="794"/>
            <w:tcBorders>
              <w:top w:val="single" w:sz="8" w:color="000000"/>
              <w:bottom w:val="single" w:sz="4" w:color="000000"/>
            </w:tcBorders>
          </w:tcPr>
          <w:p>
            <w:pPr>
              <w:keepNext/>
              <w:spacing w:after="0"/>
              <w:jc w:val="center"/>
            </w:pPr>
            <w:r>
              <w:rPr>
                <w:b/>
                <w:sz w:val="15"/>
              </w:rPr>
              <w:t>Sumber</w:t>
            </w:r>
          </w:p>
        </w:tc>
        <w:tc>
          <w:tcPr>
            <w:tcW w:type="dxa" w:w="1304"/>
            <w:tcBorders>
              <w:top w:val="single" w:sz="8" w:color="000000"/>
              <w:bottom w:val="single" w:sz="4" w:color="000000"/>
            </w:tcBorders>
          </w:tcPr>
          <w:p>
            <w:pPr>
              <w:keepNext/>
              <w:spacing w:after="0"/>
              <w:jc w:val="center"/>
            </w:pPr>
            <w:r>
              <w:rPr>
                <w:b/>
                <w:sz w:val="15"/>
              </w:rPr>
              <w:t>Alibaba 2018</w:t>
            </w:r>
          </w:p>
        </w:tc>
        <w:tc>
          <w:tcPr>
            <w:tcW w:type="dxa" w:w="1304"/>
            <w:tcBorders>
              <w:top w:val="single" w:sz="8" w:color="000000"/>
              <w:bottom w:val="single" w:sz="4" w:color="000000"/>
            </w:tcBorders>
          </w:tcPr>
          <w:p>
            <w:pPr>
              <w:keepNext/>
              <w:spacing w:after="0"/>
              <w:jc w:val="center"/>
            </w:pPr>
            <w:r>
              <w:rPr>
                <w:b/>
                <w:sz w:val="15"/>
              </w:rPr>
              <w:t>Azure, Huawei</w:t>
            </w:r>
          </w:p>
        </w:tc>
      </w:tr>
      <w:tr>
        <w:tc>
          <w:tcPr>
            <w:tcW w:type="dxa" w:w="1361"/>
          </w:tcPr>
          <w:p>
            <w:pPr>
              <w:keepNext/>
              <w:spacing w:after="0"/>
              <w:jc w:val="left"/>
            </w:pPr>
            <w:r>
              <w:rPr>
                <w:sz w:val="15"/>
              </w:rPr>
              <w:t>TimesFM-2.5</w:t>
            </w:r>
          </w:p>
        </w:tc>
        <w:tc>
          <w:tcPr>
            <w:tcW w:type="dxa" w:w="3742"/>
          </w:tcPr>
          <w:p>
            <w:pPr>
              <w:keepNext/>
              <w:spacing w:after="0"/>
              <w:jc w:val="center"/>
            </w:pPr>
            <w:r>
              <w:rPr>
                <w:sz w:val="15"/>
              </w:rPr>
              <w:t>GiftEvalPretrain, Wikipedia, Google Trends, sintetis</w:t>
            </w:r>
          </w:p>
        </w:tc>
        <w:tc>
          <w:tcPr>
            <w:tcW w:type="dxa" w:w="794"/>
          </w:tcPr>
          <w:p>
            <w:pPr>
              <w:keepNext/>
              <w:spacing w:after="0"/>
              <w:jc w:val="center"/>
            </w:pPr>
            <w:r>
              <w:rPr>
                <w:sz w:val="15"/>
              </w:rPr>
              <w:t>[21]</w:t>
            </w:r>
          </w:p>
        </w:tc>
        <w:tc>
          <w:tcPr>
            <w:tcW w:type="dxa" w:w="1304"/>
          </w:tcPr>
          <w:p>
            <w:pPr>
              <w:keepNext/>
              <w:spacing w:after="0"/>
              <w:jc w:val="center"/>
            </w:pPr>
            <w:r>
              <w:rPr>
                <w:sz w:val="15"/>
              </w:rPr>
              <w:t>ya</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TimesFM-3</w:t>
            </w:r>
          </w:p>
        </w:tc>
        <w:tc>
          <w:tcPr>
            <w:tcW w:type="dxa" w:w="3742"/>
          </w:tcPr>
          <w:p>
            <w:pPr>
              <w:keepNext/>
              <w:spacing w:after="0"/>
              <w:jc w:val="center"/>
            </w:pPr>
            <w:r>
              <w:rPr>
                <w:sz w:val="15"/>
              </w:rPr>
              <w:t>GiftEvalPretrain (tanpa irisan fev-bench), Wikipedia, Google Trends, sintetis</w:t>
            </w:r>
          </w:p>
        </w:tc>
        <w:tc>
          <w:tcPr>
            <w:tcW w:type="dxa" w:w="794"/>
          </w:tcPr>
          <w:p>
            <w:pPr>
              <w:keepNext/>
              <w:spacing w:after="0"/>
              <w:jc w:val="center"/>
            </w:pPr>
            <w:r>
              <w:rPr>
                <w:sz w:val="15"/>
              </w:rPr>
              <w:t>[23]</w:t>
            </w:r>
          </w:p>
        </w:tc>
        <w:tc>
          <w:tcPr>
            <w:tcW w:type="dxa" w:w="1304"/>
          </w:tcPr>
          <w:p>
            <w:pPr>
              <w:keepNext/>
              <w:spacing w:after="0"/>
              <w:jc w:val="center"/>
            </w:pPr>
            <w:r>
              <w:rPr>
                <w:sz w:val="15"/>
              </w:rPr>
              <w:t>kemungkinan besar</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Chronos-2</w:t>
            </w:r>
          </w:p>
        </w:tc>
        <w:tc>
          <w:tcPr>
            <w:tcW w:type="dxa" w:w="3742"/>
          </w:tcPr>
          <w:p>
            <w:pPr>
              <w:keepNext/>
              <w:spacing w:after="0"/>
              <w:jc w:val="center"/>
            </w:pPr>
            <w:r>
              <w:rPr>
                <w:sz w:val="15"/>
              </w:rPr>
              <w:t>subset Chronos dan GiftEvalPretrain, sintetis; Alibaba disebut pada tabel data</w:t>
            </w:r>
          </w:p>
        </w:tc>
        <w:tc>
          <w:tcPr>
            <w:tcW w:type="dxa" w:w="794"/>
          </w:tcPr>
          <w:p>
            <w:pPr>
              <w:keepNext/>
              <w:spacing w:after="0"/>
              <w:jc w:val="center"/>
            </w:pPr>
            <w:r>
              <w:rPr>
                <w:sz w:val="15"/>
              </w:rPr>
              <w:t>[20]</w:t>
            </w:r>
          </w:p>
        </w:tc>
        <w:tc>
          <w:tcPr>
            <w:tcW w:type="dxa" w:w="1304"/>
          </w:tcPr>
          <w:p>
            <w:pPr>
              <w:keepNext/>
              <w:spacing w:after="0"/>
              <w:jc w:val="center"/>
            </w:pPr>
            <w:r>
              <w:rPr>
                <w:sz w:val="15"/>
              </w:rPr>
              <w:t>ya</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Toto</w:t>
            </w:r>
          </w:p>
        </w:tc>
        <w:tc>
          <w:tcPr>
            <w:tcW w:type="dxa" w:w="3742"/>
          </w:tcPr>
          <w:p>
            <w:pPr>
              <w:keepNext/>
              <w:spacing w:after="0"/>
              <w:jc w:val="center"/>
            </w:pPr>
            <w:r>
              <w:rPr>
                <w:sz w:val="15"/>
              </w:rPr>
              <w:t>observability Datadog, GiftEvalPretrain, subset Chronos, sintetis</w:t>
            </w:r>
          </w:p>
        </w:tc>
        <w:tc>
          <w:tcPr>
            <w:tcW w:type="dxa" w:w="794"/>
          </w:tcPr>
          <w:p>
            <w:pPr>
              <w:keepNext/>
              <w:spacing w:after="0"/>
              <w:jc w:val="center"/>
            </w:pPr>
            <w:r>
              <w:rPr>
                <w:sz w:val="15"/>
              </w:rPr>
              <w:t>[28]</w:t>
            </w:r>
          </w:p>
        </w:tc>
        <w:tc>
          <w:tcPr>
            <w:tcW w:type="dxa" w:w="1304"/>
          </w:tcPr>
          <w:p>
            <w:pPr>
              <w:keepNext/>
              <w:spacing w:after="0"/>
              <w:jc w:val="center"/>
            </w:pPr>
            <w:r>
              <w:rPr>
                <w:sz w:val="15"/>
              </w:rPr>
              <w:t>kemungkinan besar</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Moirai-2-S</w:t>
            </w:r>
          </w:p>
        </w:tc>
        <w:tc>
          <w:tcPr>
            <w:tcW w:type="dxa" w:w="3742"/>
          </w:tcPr>
          <w:p>
            <w:pPr>
              <w:keepNext/>
              <w:spacing w:after="0"/>
              <w:jc w:val="center"/>
            </w:pPr>
            <w:r>
              <w:rPr>
                <w:sz w:val="15"/>
              </w:rPr>
              <w:t>GiftEvalPretrain dan data lain, termasuk data internal</w:t>
            </w:r>
          </w:p>
        </w:tc>
        <w:tc>
          <w:tcPr>
            <w:tcW w:type="dxa" w:w="794"/>
          </w:tcPr>
          <w:p>
            <w:pPr>
              <w:keepNext/>
              <w:spacing w:after="0"/>
              <w:jc w:val="center"/>
            </w:pPr>
            <w:r>
              <w:rPr>
                <w:sz w:val="15"/>
              </w:rPr>
              <w:t>[24]</w:t>
            </w:r>
          </w:p>
        </w:tc>
        <w:tc>
          <w:tcPr>
            <w:tcW w:type="dxa" w:w="1304"/>
          </w:tcPr>
          <w:p>
            <w:pPr>
              <w:keepNext/>
              <w:spacing w:after="0"/>
              <w:jc w:val="center"/>
            </w:pPr>
            <w:r>
              <w:rPr>
                <w:sz w:val="15"/>
              </w:rPr>
              <w:t>kemungkinan besar</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TiRex</w:t>
            </w:r>
          </w:p>
        </w:tc>
        <w:tc>
          <w:tcPr>
            <w:tcW w:type="dxa" w:w="3742"/>
          </w:tcPr>
          <w:p>
            <w:pPr>
              <w:keepNext/>
              <w:spacing w:after="0"/>
              <w:jc w:val="center"/>
            </w:pPr>
            <w:r>
              <w:rPr>
                <w:sz w:val="15"/>
              </w:rPr>
              <w:t>data Chronos, sintetis, subset GiftEvalPretrain (Azure VM, Borg disebut)</w:t>
            </w:r>
          </w:p>
        </w:tc>
        <w:tc>
          <w:tcPr>
            <w:tcW w:type="dxa" w:w="794"/>
          </w:tcPr>
          <w:p>
            <w:pPr>
              <w:keepNext/>
              <w:spacing w:after="0"/>
              <w:jc w:val="center"/>
            </w:pPr>
            <w:r>
              <w:rPr>
                <w:sz w:val="15"/>
              </w:rPr>
              <w:t>[26]</w:t>
            </w:r>
          </w:p>
        </w:tc>
        <w:tc>
          <w:tcPr>
            <w:tcW w:type="dxa" w:w="1304"/>
          </w:tcPr>
          <w:p>
            <w:pPr>
              <w:keepNext/>
              <w:spacing w:after="0"/>
              <w:jc w:val="center"/>
            </w:pPr>
            <w:r>
              <w:rPr>
                <w:sz w:val="15"/>
              </w:rPr>
              <w:t>tidak disebut</w:t>
            </w:r>
          </w:p>
        </w:tc>
        <w:tc>
          <w:tcPr>
            <w:tcW w:type="dxa" w:w="1304"/>
          </w:tcPr>
          <w:p>
            <w:pPr>
              <w:keepNext/>
              <w:spacing w:after="0"/>
              <w:jc w:val="center"/>
            </w:pPr>
            <w:r>
              <w:rPr>
                <w:sz w:val="15"/>
              </w:rPr>
              <w:t>tidak disebut</w:t>
            </w:r>
          </w:p>
        </w:tc>
      </w:tr>
      <w:tr>
        <w:tc>
          <w:tcPr>
            <w:tcW w:type="dxa" w:w="1361"/>
          </w:tcPr>
          <w:p>
            <w:pPr>
              <w:keepNext/>
              <w:spacing w:after="0"/>
              <w:jc w:val="left"/>
            </w:pPr>
            <w:r>
              <w:rPr>
                <w:sz w:val="15"/>
              </w:rPr>
              <w:t>Chronos-Bolt-S</w:t>
            </w:r>
          </w:p>
        </w:tc>
        <w:tc>
          <w:tcPr>
            <w:tcW w:type="dxa" w:w="3742"/>
          </w:tcPr>
          <w:p>
            <w:pPr>
              <w:keepNext/>
              <w:spacing w:after="0"/>
              <w:jc w:val="center"/>
            </w:pPr>
            <w:r>
              <w:rPr>
                <w:sz w:val="15"/>
              </w:rPr>
              <w:t>korpus Chronos (tanpa trace cloud)</w:t>
            </w:r>
          </w:p>
        </w:tc>
        <w:tc>
          <w:tcPr>
            <w:tcW w:type="dxa" w:w="794"/>
          </w:tcPr>
          <w:p>
            <w:pPr>
              <w:keepNext/>
              <w:spacing w:after="0"/>
              <w:jc w:val="center"/>
            </w:pPr>
            <w:r>
              <w:rPr>
                <w:sz w:val="15"/>
              </w:rPr>
              <w:t>[19]</w:t>
            </w:r>
          </w:p>
        </w:tc>
        <w:tc>
          <w:tcPr>
            <w:tcW w:type="dxa" w:w="1304"/>
          </w:tcPr>
          <w:p>
            <w:pPr>
              <w:keepNext/>
              <w:spacing w:after="0"/>
              <w:jc w:val="center"/>
            </w:pPr>
            <w:r>
              <w:rPr>
                <w:sz w:val="15"/>
              </w:rPr>
              <w:t>tidak disebut</w:t>
            </w:r>
          </w:p>
        </w:tc>
        <w:tc>
          <w:tcPr>
            <w:tcW w:type="dxa" w:w="1304"/>
          </w:tcPr>
          <w:p>
            <w:pPr>
              <w:keepNext/>
              <w:spacing w:after="0"/>
              <w:jc w:val="center"/>
            </w:pPr>
            <w:r>
              <w:rPr>
                <w:sz w:val="15"/>
              </w:rPr>
              <w:t>tidak disebut</w:t>
            </w:r>
          </w:p>
        </w:tc>
      </w:tr>
      <w:tr>
        <w:tc>
          <w:tcPr>
            <w:tcW w:type="dxa" w:w="1361"/>
            <w:tcBorders>
              <w:bottom w:val="single" w:sz="8" w:color="000000"/>
            </w:tcBorders>
          </w:tcPr>
          <w:p>
            <w:pPr>
              <w:keepNext w:val="0"/>
              <w:spacing w:after="0"/>
              <w:jc w:val="left"/>
            </w:pPr>
            <w:r>
              <w:rPr>
                <w:sz w:val="15"/>
              </w:rPr>
              <w:t>TTM-r2</w:t>
            </w:r>
          </w:p>
        </w:tc>
        <w:tc>
          <w:tcPr>
            <w:tcW w:type="dxa" w:w="3742"/>
            <w:tcBorders>
              <w:bottom w:val="single" w:sz="8" w:color="000000"/>
            </w:tcBorders>
          </w:tcPr>
          <w:p>
            <w:pPr>
              <w:keepNext w:val="0"/>
              <w:spacing w:after="0"/>
              <w:jc w:val="center"/>
            </w:pPr>
            <w:r>
              <w:rPr>
                <w:sz w:val="15"/>
              </w:rPr>
              <w:t>data publik tanpa rincian</w:t>
            </w:r>
          </w:p>
        </w:tc>
        <w:tc>
          <w:tcPr>
            <w:tcW w:type="dxa" w:w="794"/>
            <w:tcBorders>
              <w:bottom w:val="single" w:sz="8" w:color="000000"/>
            </w:tcBorders>
          </w:tcPr>
          <w:p>
            <w:pPr>
              <w:keepNext w:val="0"/>
              <w:spacing w:after="0"/>
              <w:jc w:val="center"/>
            </w:pPr>
            <w:r>
              <w:rPr>
                <w:sz w:val="15"/>
              </w:rPr>
              <w:t>[25]</w:t>
            </w:r>
          </w:p>
        </w:tc>
        <w:tc>
          <w:tcPr>
            <w:tcW w:type="dxa" w:w="1304"/>
            <w:tcBorders>
              <w:bottom w:val="single" w:sz="8" w:color="000000"/>
            </w:tcBorders>
          </w:tcPr>
          <w:p>
            <w:pPr>
              <w:keepNext w:val="0"/>
              <w:spacing w:after="0"/>
              <w:jc w:val="center"/>
            </w:pPr>
            <w:r>
              <w:rPr>
                <w:sz w:val="15"/>
              </w:rPr>
              <w:t>tidak diketahui</w:t>
            </w:r>
          </w:p>
        </w:tc>
        <w:tc>
          <w:tcPr>
            <w:tcW w:type="dxa" w:w="1304"/>
            <w:tcBorders>
              <w:bottom w:val="single" w:sz="8" w:color="000000"/>
            </w:tcBorders>
          </w:tcPr>
          <w:p>
            <w:pPr>
              <w:keepNext w:val="0"/>
              <w:spacing w:after="0"/>
              <w:jc w:val="center"/>
            </w:pPr>
            <w:r>
              <w:rPr>
                <w:sz w:val="15"/>
              </w:rPr>
              <w:t>tidak diketahui</w:t>
            </w:r>
          </w:p>
        </w:tc>
      </w:tr>
    </w:tbl>
    <w:p>
      <w:pPr>
        <w:spacing w:after="40"/>
      </w:pPr>
    </w:p>
    <w:p>
      <w:pPr>
        <w:pStyle w:val="Heading1"/>
      </w:pPr>
      <w:r>
        <w:t>4. Hasil</w:t>
      </w:r>
    </w:p>
    <w:p>
      <w:pPr>
        <w:pStyle w:val="Heading2"/>
      </w:pPr>
      <w:r>
        <w:t>4.1 Akurasi (RQ1)</w:t>
      </w:r>
    </w:p>
    <w:p>
      <w:pPr>
        <w:keepNext/>
      </w:pPr>
      <w:r>
        <w:rPr>
          <w:b/>
          <w:sz w:val="19"/>
        </w:rPr>
        <w:t>Tabel 4.</w:t>
      </w:r>
      <w:r>
        <w:rPr>
          <w:sz w:val="19"/>
        </w:rPr>
        <w:t xml:space="preserve"> relMASE untuk horizon hingga 60 menit, yaitu rata-rata galat langkah 1 sampai 60 menit (rata-rata geometrik dengan batas bawah rasio 0,01 dan interval kepercayaan </w:t>
      </w:r>
      <w:r>
        <w:rPr>
          <w:i/>
          <w:sz w:val="19"/>
        </w:rPr>
        <w:t>bootstrap</w:t>
      </w:r>
      <w:r>
        <w:rPr>
          <w:sz w:val="19"/>
        </w:rPr>
        <w:t xml:space="preserve"> 95%). Nilai lebih kecil lebih baik, dan </w:t>
      </w:r>
      <w:r>
        <w:rPr>
          <w:i/>
          <w:sz w:val="19"/>
        </w:rPr>
        <w:t>seasonal naive</w:t>
      </w:r>
      <w:r>
        <w:rPr>
          <w:sz w:val="19"/>
        </w:rPr>
        <w:t xml:space="preserve"> bernilai 1. Huruf tebal menandai nilai terbaik pada setiap kolom, dan “–” menandai model yang tidak dijalankan. Kolom Alibaba untuk TimesFM-3, TimesFM-2.5, Chronos-2, Toto, dan Moirai-2-S bukan hasil </w:t>
      </w:r>
      <w:r>
        <w:rPr>
          <w:i/>
          <w:sz w:val="19"/>
        </w:rPr>
        <w:t>zero-shot</w:t>
      </w:r>
      <w:r>
        <w:rPr>
          <w:sz w:val="19"/>
        </w:rPr>
        <w:t xml:space="preserve"> murni (Tabel 3).</w:t>
      </w:r>
    </w:p>
    <w:tbl>
      <w:tblPr>
        <w:tblW w:type="auto" w:w="0"/>
        <w:jc w:val="center"/>
        <w:tblLayout w:type="fixed"/>
        <w:tblLook w:firstColumn="1" w:firstRow="1" w:lastColumn="0" w:lastRow="0" w:noHBand="0" w:noVBand="1" w:val="04A0"/>
        <w:tblLayout w:type="fixed"/>
      </w:tblPr>
      <w:tblGrid>
        <w:gridCol w:w="1474"/>
        <w:gridCol w:w="1276"/>
        <w:gridCol w:w="1276"/>
        <w:gridCol w:w="1276"/>
        <w:gridCol w:w="1276"/>
        <w:gridCol w:w="1276"/>
        <w:gridCol w:w="1276"/>
      </w:tblGrid>
      <w:tr>
        <w:tc>
          <w:tcPr>
            <w:tcW w:type="dxa" w:w="1474"/>
            <w:tcBorders>
              <w:top w:val="single" w:sz="8" w:color="000000"/>
              <w:bottom w:val="single" w:sz="4" w:color="000000"/>
            </w:tcBorders>
          </w:tcPr>
          <w:p>
            <w:pPr>
              <w:keepNext/>
              <w:spacing w:after="0"/>
              <w:jc w:val="left"/>
            </w:pPr>
            <w:r>
              <w:rPr>
                <w:b/>
                <w:sz w:val="14"/>
              </w:rPr>
              <w:t>Model</w:t>
            </w:r>
          </w:p>
        </w:tc>
        <w:tc>
          <w:tcPr>
            <w:tcW w:type="dxa" w:w="1276"/>
            <w:tcBorders>
              <w:top w:val="single" w:sz="8" w:color="000000"/>
              <w:bottom w:val="single" w:sz="4" w:color="000000"/>
            </w:tcBorders>
          </w:tcPr>
          <w:p>
            <w:pPr>
              <w:keepNext/>
              <w:spacing w:after="0"/>
              <w:jc w:val="center"/>
            </w:pPr>
            <w:r>
              <w:rPr>
                <w:b/>
                <w:sz w:val="14"/>
              </w:rPr>
              <w:t>Huawei 5m</w:t>
            </w:r>
          </w:p>
        </w:tc>
        <w:tc>
          <w:tcPr>
            <w:tcW w:type="dxa" w:w="1276"/>
            <w:tcBorders>
              <w:top w:val="single" w:sz="8" w:color="000000"/>
              <w:bottom w:val="single" w:sz="4" w:color="000000"/>
            </w:tcBorders>
          </w:tcPr>
          <w:p>
            <w:pPr>
              <w:keepNext/>
              <w:spacing w:after="0"/>
              <w:jc w:val="center"/>
            </w:pPr>
            <w:r>
              <w:rPr>
                <w:b/>
                <w:sz w:val="14"/>
              </w:rPr>
              <w:t>Alibaba 5m</w:t>
            </w:r>
          </w:p>
        </w:tc>
        <w:tc>
          <w:tcPr>
            <w:tcW w:type="dxa" w:w="1276"/>
            <w:tcBorders>
              <w:top w:val="single" w:sz="8" w:color="000000"/>
              <w:bottom w:val="single" w:sz="4" w:color="000000"/>
            </w:tcBorders>
          </w:tcPr>
          <w:p>
            <w:pPr>
              <w:keepNext/>
              <w:spacing w:after="0"/>
              <w:jc w:val="center"/>
            </w:pPr>
            <w:r>
              <w:rPr>
                <w:b/>
                <w:sz w:val="14"/>
              </w:rPr>
              <w:t>Azure19 5m</w:t>
            </w:r>
          </w:p>
        </w:tc>
        <w:tc>
          <w:tcPr>
            <w:tcW w:type="dxa" w:w="1276"/>
            <w:tcBorders>
              <w:top w:val="single" w:sz="8" w:color="000000"/>
              <w:bottom w:val="single" w:sz="4" w:color="000000"/>
            </w:tcBorders>
          </w:tcPr>
          <w:p>
            <w:pPr>
              <w:keepNext/>
              <w:spacing w:after="0"/>
              <w:jc w:val="center"/>
            </w:pPr>
            <w:r>
              <w:rPr>
                <w:b/>
                <w:sz w:val="14"/>
              </w:rPr>
              <w:t>Azure19 1m</w:t>
            </w:r>
          </w:p>
        </w:tc>
        <w:tc>
          <w:tcPr>
            <w:tcW w:type="dxa" w:w="1276"/>
            <w:tcBorders>
              <w:top w:val="single" w:sz="8" w:color="000000"/>
              <w:bottom w:val="single" w:sz="4" w:color="000000"/>
            </w:tcBorders>
          </w:tcPr>
          <w:p>
            <w:pPr>
              <w:keepNext/>
              <w:spacing w:after="0"/>
              <w:jc w:val="center"/>
            </w:pPr>
            <w:r>
              <w:rPr>
                <w:b/>
                <w:sz w:val="14"/>
              </w:rPr>
              <w:t>Azure21 5m</w:t>
            </w:r>
          </w:p>
        </w:tc>
        <w:tc>
          <w:tcPr>
            <w:tcW w:type="dxa" w:w="1276"/>
            <w:tcBorders>
              <w:top w:val="single" w:sz="8" w:color="000000"/>
              <w:bottom w:val="single" w:sz="4" w:color="000000"/>
            </w:tcBorders>
          </w:tcPr>
          <w:p>
            <w:pPr>
              <w:keepNext/>
              <w:spacing w:after="0"/>
              <w:jc w:val="center"/>
            </w:pPr>
            <w:r>
              <w:rPr>
                <w:b/>
                <w:sz w:val="14"/>
              </w:rPr>
              <w:t>Azure21 1m</w:t>
            </w:r>
          </w:p>
        </w:tc>
      </w:tr>
      <w:tr>
        <w:tc>
          <w:tcPr>
            <w:tcW w:type="dxa" w:w="1474"/>
          </w:tcPr>
          <w:p>
            <w:pPr>
              <w:keepNext/>
              <w:spacing w:after="0"/>
              <w:jc w:val="left"/>
            </w:pPr>
            <w:r>
              <w:rPr>
                <w:sz w:val="14"/>
              </w:rPr>
              <w:t>TimesFM-3</w:t>
            </w:r>
          </w:p>
        </w:tc>
        <w:tc>
          <w:tcPr>
            <w:tcW w:type="dxa" w:w="1276"/>
          </w:tcPr>
          <w:p>
            <w:pPr>
              <w:keepNext/>
              <w:spacing w:after="0"/>
              <w:jc w:val="center"/>
            </w:pPr>
            <w:r>
              <w:rPr>
                <w:sz w:val="14"/>
              </w:rPr>
              <w:t>0,471 [0,41; 0,54]</w:t>
            </w:r>
          </w:p>
        </w:tc>
        <w:tc>
          <w:tcPr>
            <w:tcW w:type="dxa" w:w="1276"/>
          </w:tcPr>
          <w:p>
            <w:pPr>
              <w:keepNext/>
              <w:spacing w:after="0"/>
              <w:jc w:val="center"/>
            </w:pPr>
            <w:r>
              <w:rPr>
                <w:b/>
                <w:sz w:val="14"/>
              </w:rPr>
              <w:t>0,610 [0,59; 0,63]</w:t>
            </w:r>
          </w:p>
        </w:tc>
        <w:tc>
          <w:tcPr>
            <w:tcW w:type="dxa" w:w="1276"/>
          </w:tcPr>
          <w:p>
            <w:pPr>
              <w:keepNext/>
              <w:spacing w:after="0"/>
              <w:jc w:val="center"/>
            </w:pPr>
            <w:r>
              <w:rPr>
                <w:b/>
                <w:sz w:val="14"/>
              </w:rPr>
              <w:t>0,469 [0,43; 0,51]</w:t>
            </w:r>
          </w:p>
        </w:tc>
        <w:tc>
          <w:tcPr>
            <w:tcW w:type="dxa" w:w="1276"/>
          </w:tcPr>
          <w:p>
            <w:pPr>
              <w:keepNext/>
              <w:spacing w:after="0"/>
              <w:jc w:val="center"/>
            </w:pPr>
            <w:r>
              <w:rPr>
                <w:sz w:val="14"/>
              </w:rPr>
              <w:t>0,566 [0,51; 0,62]</w:t>
            </w:r>
          </w:p>
        </w:tc>
        <w:tc>
          <w:tcPr>
            <w:tcW w:type="dxa" w:w="1276"/>
          </w:tcPr>
          <w:p>
            <w:pPr>
              <w:keepNext/>
              <w:spacing w:after="0"/>
              <w:jc w:val="center"/>
            </w:pPr>
            <w:r>
              <w:rPr>
                <w:sz w:val="14"/>
              </w:rPr>
              <w:t>0,317 [0,23; 0,43]</w:t>
            </w:r>
          </w:p>
        </w:tc>
        <w:tc>
          <w:tcPr>
            <w:tcW w:type="dxa" w:w="1276"/>
          </w:tcPr>
          <w:p>
            <w:pPr>
              <w:keepNext/>
              <w:spacing w:after="0"/>
              <w:jc w:val="center"/>
            </w:pPr>
            <w:r>
              <w:rPr>
                <w:sz w:val="14"/>
              </w:rPr>
              <w:t>0,348 [0,25; 0,47]</w:t>
            </w:r>
          </w:p>
        </w:tc>
      </w:tr>
      <w:tr>
        <w:tc>
          <w:tcPr>
            <w:tcW w:type="dxa" w:w="1474"/>
          </w:tcPr>
          <w:p>
            <w:pPr>
              <w:keepNext/>
              <w:spacing w:after="0"/>
              <w:jc w:val="left"/>
            </w:pPr>
            <w:r>
              <w:rPr>
                <w:sz w:val="14"/>
              </w:rPr>
              <w:t>Chronos-2</w:t>
            </w:r>
          </w:p>
        </w:tc>
        <w:tc>
          <w:tcPr>
            <w:tcW w:type="dxa" w:w="1276"/>
          </w:tcPr>
          <w:p>
            <w:pPr>
              <w:keepNext/>
              <w:spacing w:after="0"/>
              <w:jc w:val="center"/>
            </w:pPr>
            <w:r>
              <w:rPr>
                <w:b/>
                <w:sz w:val="14"/>
              </w:rPr>
              <w:t>0,467 [0,41; 0,53]</w:t>
            </w:r>
          </w:p>
        </w:tc>
        <w:tc>
          <w:tcPr>
            <w:tcW w:type="dxa" w:w="1276"/>
          </w:tcPr>
          <w:p>
            <w:pPr>
              <w:keepNext/>
              <w:spacing w:after="0"/>
              <w:jc w:val="center"/>
            </w:pPr>
            <w:r>
              <w:rPr>
                <w:sz w:val="14"/>
              </w:rPr>
              <w:t>0,614 [0,60; 0,63]</w:t>
            </w:r>
          </w:p>
        </w:tc>
        <w:tc>
          <w:tcPr>
            <w:tcW w:type="dxa" w:w="1276"/>
          </w:tcPr>
          <w:p>
            <w:pPr>
              <w:keepNext/>
              <w:spacing w:after="0"/>
              <w:jc w:val="center"/>
            </w:pPr>
            <w:r>
              <w:rPr>
                <w:sz w:val="14"/>
              </w:rPr>
              <w:t>0,488 [0,45; 0,53]</w:t>
            </w:r>
          </w:p>
        </w:tc>
        <w:tc>
          <w:tcPr>
            <w:tcW w:type="dxa" w:w="1276"/>
          </w:tcPr>
          <w:p>
            <w:pPr>
              <w:keepNext/>
              <w:spacing w:after="0"/>
              <w:jc w:val="center"/>
            </w:pPr>
            <w:r>
              <w:rPr>
                <w:sz w:val="14"/>
              </w:rPr>
              <w:t>0,584 [0,53; 0,64]</w:t>
            </w:r>
          </w:p>
        </w:tc>
        <w:tc>
          <w:tcPr>
            <w:tcW w:type="dxa" w:w="1276"/>
          </w:tcPr>
          <w:p>
            <w:pPr>
              <w:keepNext/>
              <w:spacing w:after="0"/>
              <w:jc w:val="center"/>
            </w:pPr>
            <w:r>
              <w:rPr>
                <w:sz w:val="14"/>
              </w:rPr>
              <w:t>0,368 [0,28; 0,48]</w:t>
            </w:r>
          </w:p>
        </w:tc>
        <w:tc>
          <w:tcPr>
            <w:tcW w:type="dxa" w:w="1276"/>
          </w:tcPr>
          <w:p>
            <w:pPr>
              <w:keepNext/>
              <w:spacing w:after="0"/>
              <w:jc w:val="center"/>
            </w:pPr>
            <w:r>
              <w:rPr>
                <w:sz w:val="14"/>
              </w:rPr>
              <w:t>0,352 [0,25; 0,48]</w:t>
            </w:r>
          </w:p>
        </w:tc>
      </w:tr>
      <w:tr>
        <w:tc>
          <w:tcPr>
            <w:tcW w:type="dxa" w:w="1474"/>
          </w:tcPr>
          <w:p>
            <w:pPr>
              <w:keepNext/>
              <w:spacing w:after="0"/>
              <w:jc w:val="left"/>
            </w:pPr>
            <w:r>
              <w:rPr>
                <w:sz w:val="14"/>
              </w:rPr>
              <w:t>Toto</w:t>
            </w:r>
          </w:p>
        </w:tc>
        <w:tc>
          <w:tcPr>
            <w:tcW w:type="dxa" w:w="1276"/>
          </w:tcPr>
          <w:p>
            <w:pPr>
              <w:keepNext/>
              <w:spacing w:after="0"/>
              <w:jc w:val="center"/>
            </w:pPr>
            <w:r>
              <w:rPr>
                <w:sz w:val="14"/>
              </w:rPr>
              <w:t>0,515 [0,44; 0,60]</w:t>
            </w:r>
          </w:p>
        </w:tc>
        <w:tc>
          <w:tcPr>
            <w:tcW w:type="dxa" w:w="1276"/>
          </w:tcPr>
          <w:p>
            <w:pPr>
              <w:keepNext/>
              <w:spacing w:after="0"/>
              <w:jc w:val="center"/>
            </w:pPr>
            <w:r>
              <w:rPr>
                <w:sz w:val="14"/>
              </w:rPr>
              <w:t>0,639 [0,62; 0,66]</w:t>
            </w:r>
          </w:p>
        </w:tc>
        <w:tc>
          <w:tcPr>
            <w:tcW w:type="dxa" w:w="1276"/>
          </w:tcPr>
          <w:p>
            <w:pPr>
              <w:keepNext/>
              <w:spacing w:after="0"/>
              <w:jc w:val="center"/>
            </w:pPr>
            <w:r>
              <w:rPr>
                <w:sz w:val="14"/>
              </w:rPr>
              <w:t>0,491 [0,45; 0,54]</w:t>
            </w:r>
          </w:p>
        </w:tc>
        <w:tc>
          <w:tcPr>
            <w:tcW w:type="dxa" w:w="1276"/>
          </w:tcPr>
          <w:p>
            <w:pPr>
              <w:keepNext/>
              <w:spacing w:after="0"/>
              <w:jc w:val="center"/>
            </w:pPr>
            <w:r>
              <w:rPr>
                <w:b/>
                <w:sz w:val="14"/>
              </w:rPr>
              <w:t>0,556 [0,51; 0,61]</w:t>
            </w:r>
          </w:p>
        </w:tc>
        <w:tc>
          <w:tcPr>
            <w:tcW w:type="dxa" w:w="1276"/>
          </w:tcPr>
          <w:p>
            <w:pPr>
              <w:keepNext/>
              <w:spacing w:after="0"/>
              <w:jc w:val="center"/>
            </w:pPr>
            <w:r>
              <w:rPr>
                <w:b/>
                <w:sz w:val="14"/>
              </w:rPr>
              <w:t>0,313 [0,22; 0,42]</w:t>
            </w:r>
          </w:p>
        </w:tc>
        <w:tc>
          <w:tcPr>
            <w:tcW w:type="dxa" w:w="1276"/>
          </w:tcPr>
          <w:p>
            <w:pPr>
              <w:keepNext/>
              <w:spacing w:after="0"/>
              <w:jc w:val="center"/>
            </w:pPr>
            <w:r>
              <w:rPr>
                <w:b/>
                <w:sz w:val="14"/>
              </w:rPr>
              <w:t>0,330 [0,24; 0,44]</w:t>
            </w:r>
          </w:p>
        </w:tc>
      </w:tr>
      <w:tr>
        <w:tc>
          <w:tcPr>
            <w:tcW w:type="dxa" w:w="1474"/>
          </w:tcPr>
          <w:p>
            <w:pPr>
              <w:keepNext/>
              <w:spacing w:after="0"/>
              <w:jc w:val="left"/>
            </w:pPr>
            <w:r>
              <w:rPr>
                <w:sz w:val="14"/>
              </w:rPr>
              <w:t>Toto (20 sampel)</w:t>
            </w:r>
          </w:p>
        </w:tc>
        <w:tc>
          <w:tcPr>
            <w:tcW w:type="dxa" w:w="1276"/>
          </w:tcPr>
          <w:p>
            <w:pPr>
              <w:keepNext/>
              <w:spacing w:after="0"/>
              <w:jc w:val="center"/>
            </w:pPr>
            <w:r>
              <w:rPr>
                <w:sz w:val="14"/>
              </w:rPr>
              <w:t>0,595 [0,50; 0,71]</w:t>
            </w:r>
          </w:p>
        </w:tc>
        <w:tc>
          <w:tcPr>
            <w:tcW w:type="dxa" w:w="1276"/>
          </w:tcPr>
          <w:p>
            <w:pPr>
              <w:keepNext/>
              <w:spacing w:after="0"/>
              <w:jc w:val="center"/>
            </w:pPr>
            <w:r>
              <w:rPr>
                <w:sz w:val="14"/>
              </w:rPr>
              <w:t>0,697 [0,68; 0,72]</w:t>
            </w:r>
          </w:p>
        </w:tc>
        <w:tc>
          <w:tcPr>
            <w:tcW w:type="dxa" w:w="1276"/>
          </w:tcPr>
          <w:p>
            <w:pPr>
              <w:keepNext/>
              <w:spacing w:after="0"/>
              <w:jc w:val="center"/>
            </w:pPr>
            <w:r>
              <w:rPr>
                <w:sz w:val="14"/>
              </w:rPr>
              <w:t>–</w:t>
            </w:r>
          </w:p>
        </w:tc>
        <w:tc>
          <w:tcPr>
            <w:tcW w:type="dxa" w:w="1276"/>
          </w:tcPr>
          <w:p>
            <w:pPr>
              <w:keepNext/>
              <w:spacing w:after="0"/>
              <w:jc w:val="center"/>
            </w:pPr>
            <w:r>
              <w:rPr>
                <w:sz w:val="14"/>
              </w:rPr>
              <w:t>–</w:t>
            </w:r>
          </w:p>
        </w:tc>
        <w:tc>
          <w:tcPr>
            <w:tcW w:type="dxa" w:w="1276"/>
          </w:tcPr>
          <w:p>
            <w:pPr>
              <w:keepNext/>
              <w:spacing w:after="0"/>
              <w:jc w:val="center"/>
            </w:pPr>
            <w:r>
              <w:rPr>
                <w:sz w:val="14"/>
              </w:rPr>
              <w:t>–</w:t>
            </w:r>
          </w:p>
        </w:tc>
        <w:tc>
          <w:tcPr>
            <w:tcW w:type="dxa" w:w="1276"/>
          </w:tcPr>
          <w:p>
            <w:pPr>
              <w:keepNext/>
              <w:spacing w:after="0"/>
              <w:jc w:val="center"/>
            </w:pPr>
            <w:r>
              <w:rPr>
                <w:sz w:val="14"/>
              </w:rPr>
              <w:t>–</w:t>
            </w:r>
          </w:p>
        </w:tc>
      </w:tr>
      <w:tr>
        <w:tc>
          <w:tcPr>
            <w:tcW w:type="dxa" w:w="1474"/>
          </w:tcPr>
          <w:p>
            <w:pPr>
              <w:keepNext/>
              <w:spacing w:after="0"/>
              <w:jc w:val="left"/>
            </w:pPr>
            <w:r>
              <w:rPr>
                <w:sz w:val="14"/>
              </w:rPr>
              <w:t>TimesFM-2.5</w:t>
            </w:r>
          </w:p>
        </w:tc>
        <w:tc>
          <w:tcPr>
            <w:tcW w:type="dxa" w:w="1276"/>
          </w:tcPr>
          <w:p>
            <w:pPr>
              <w:keepNext/>
              <w:spacing w:after="0"/>
              <w:jc w:val="center"/>
            </w:pPr>
            <w:r>
              <w:rPr>
                <w:sz w:val="14"/>
              </w:rPr>
              <w:t>0,499 [0,43; 0,57]</w:t>
            </w:r>
          </w:p>
        </w:tc>
        <w:tc>
          <w:tcPr>
            <w:tcW w:type="dxa" w:w="1276"/>
          </w:tcPr>
          <w:p>
            <w:pPr>
              <w:keepNext/>
              <w:spacing w:after="0"/>
              <w:jc w:val="center"/>
            </w:pPr>
            <w:r>
              <w:rPr>
                <w:sz w:val="14"/>
              </w:rPr>
              <w:t>0,613 [0,60; 0,63]</w:t>
            </w:r>
          </w:p>
        </w:tc>
        <w:tc>
          <w:tcPr>
            <w:tcW w:type="dxa" w:w="1276"/>
          </w:tcPr>
          <w:p>
            <w:pPr>
              <w:keepNext/>
              <w:spacing w:after="0"/>
              <w:jc w:val="center"/>
            </w:pPr>
            <w:r>
              <w:rPr>
                <w:sz w:val="14"/>
              </w:rPr>
              <w:t>0,523 [0,48; 0,57]</w:t>
            </w:r>
          </w:p>
        </w:tc>
        <w:tc>
          <w:tcPr>
            <w:tcW w:type="dxa" w:w="1276"/>
          </w:tcPr>
          <w:p>
            <w:pPr>
              <w:keepNext/>
              <w:spacing w:after="0"/>
              <w:jc w:val="center"/>
            </w:pPr>
            <w:r>
              <w:rPr>
                <w:sz w:val="14"/>
              </w:rPr>
              <w:t>0,617 [0,56; 0,68]</w:t>
            </w:r>
          </w:p>
        </w:tc>
        <w:tc>
          <w:tcPr>
            <w:tcW w:type="dxa" w:w="1276"/>
          </w:tcPr>
          <w:p>
            <w:pPr>
              <w:keepNext/>
              <w:spacing w:after="0"/>
              <w:jc w:val="center"/>
            </w:pPr>
            <w:r>
              <w:rPr>
                <w:sz w:val="14"/>
              </w:rPr>
              <w:t>0,331 [0,24; 0,44]</w:t>
            </w:r>
          </w:p>
        </w:tc>
        <w:tc>
          <w:tcPr>
            <w:tcW w:type="dxa" w:w="1276"/>
          </w:tcPr>
          <w:p>
            <w:pPr>
              <w:keepNext/>
              <w:spacing w:after="0"/>
              <w:jc w:val="center"/>
            </w:pPr>
            <w:r>
              <w:rPr>
                <w:sz w:val="14"/>
              </w:rPr>
              <w:t>0,367 [0,26; 0,49]</w:t>
            </w:r>
          </w:p>
        </w:tc>
      </w:tr>
      <w:tr>
        <w:tc>
          <w:tcPr>
            <w:tcW w:type="dxa" w:w="1474"/>
          </w:tcPr>
          <w:p>
            <w:pPr>
              <w:keepNext/>
              <w:spacing w:after="0"/>
              <w:jc w:val="left"/>
            </w:pPr>
            <w:r>
              <w:rPr>
                <w:sz w:val="14"/>
              </w:rPr>
              <w:t>TiRex</w:t>
            </w:r>
          </w:p>
        </w:tc>
        <w:tc>
          <w:tcPr>
            <w:tcW w:type="dxa" w:w="1276"/>
          </w:tcPr>
          <w:p>
            <w:pPr>
              <w:keepNext/>
              <w:spacing w:after="0"/>
              <w:jc w:val="center"/>
            </w:pPr>
            <w:r>
              <w:rPr>
                <w:sz w:val="14"/>
              </w:rPr>
              <w:t>0,533 [0,46; 0,61]</w:t>
            </w:r>
          </w:p>
        </w:tc>
        <w:tc>
          <w:tcPr>
            <w:tcW w:type="dxa" w:w="1276"/>
          </w:tcPr>
          <w:p>
            <w:pPr>
              <w:keepNext/>
              <w:spacing w:after="0"/>
              <w:jc w:val="center"/>
            </w:pPr>
            <w:r>
              <w:rPr>
                <w:sz w:val="14"/>
              </w:rPr>
              <w:t>0,638 [0,62; 0,66]</w:t>
            </w:r>
          </w:p>
        </w:tc>
        <w:tc>
          <w:tcPr>
            <w:tcW w:type="dxa" w:w="1276"/>
          </w:tcPr>
          <w:p>
            <w:pPr>
              <w:keepNext/>
              <w:spacing w:after="0"/>
              <w:jc w:val="center"/>
            </w:pPr>
            <w:r>
              <w:rPr>
                <w:sz w:val="14"/>
              </w:rPr>
              <w:t>0,529 [0,49; 0,58]</w:t>
            </w:r>
          </w:p>
        </w:tc>
        <w:tc>
          <w:tcPr>
            <w:tcW w:type="dxa" w:w="1276"/>
          </w:tcPr>
          <w:p>
            <w:pPr>
              <w:keepNext/>
              <w:spacing w:after="0"/>
              <w:jc w:val="center"/>
            </w:pPr>
            <w:r>
              <w:rPr>
                <w:sz w:val="14"/>
              </w:rPr>
              <w:t>0,683 [0,61; 0,75]</w:t>
            </w:r>
          </w:p>
        </w:tc>
        <w:tc>
          <w:tcPr>
            <w:tcW w:type="dxa" w:w="1276"/>
          </w:tcPr>
          <w:p>
            <w:pPr>
              <w:keepNext/>
              <w:spacing w:after="0"/>
              <w:jc w:val="center"/>
            </w:pPr>
            <w:r>
              <w:rPr>
                <w:sz w:val="14"/>
              </w:rPr>
              <w:t>0,323 [0,23; 0,43]</w:t>
            </w:r>
          </w:p>
        </w:tc>
        <w:tc>
          <w:tcPr>
            <w:tcW w:type="dxa" w:w="1276"/>
          </w:tcPr>
          <w:p>
            <w:pPr>
              <w:keepNext/>
              <w:spacing w:after="0"/>
              <w:jc w:val="center"/>
            </w:pPr>
            <w:r>
              <w:rPr>
                <w:sz w:val="14"/>
              </w:rPr>
              <w:t>0,372 [0,26; 0,51]</w:t>
            </w:r>
          </w:p>
        </w:tc>
      </w:tr>
      <w:tr>
        <w:tc>
          <w:tcPr>
            <w:tcW w:type="dxa" w:w="1474"/>
          </w:tcPr>
          <w:p>
            <w:pPr>
              <w:keepNext/>
              <w:spacing w:after="0"/>
              <w:jc w:val="left"/>
            </w:pPr>
            <w:r>
              <w:rPr>
                <w:sz w:val="14"/>
              </w:rPr>
              <w:t>Moirai-2-S</w:t>
            </w:r>
          </w:p>
        </w:tc>
        <w:tc>
          <w:tcPr>
            <w:tcW w:type="dxa" w:w="1276"/>
          </w:tcPr>
          <w:p>
            <w:pPr>
              <w:keepNext/>
              <w:spacing w:after="0"/>
              <w:jc w:val="center"/>
            </w:pPr>
            <w:r>
              <w:rPr>
                <w:sz w:val="14"/>
              </w:rPr>
              <w:t>0,530 [0,46; 0,61]</w:t>
            </w:r>
          </w:p>
        </w:tc>
        <w:tc>
          <w:tcPr>
            <w:tcW w:type="dxa" w:w="1276"/>
          </w:tcPr>
          <w:p>
            <w:pPr>
              <w:keepNext/>
              <w:spacing w:after="0"/>
              <w:jc w:val="center"/>
            </w:pPr>
            <w:r>
              <w:rPr>
                <w:sz w:val="14"/>
              </w:rPr>
              <w:t>0,641 [0,62; 0,66]</w:t>
            </w:r>
          </w:p>
        </w:tc>
        <w:tc>
          <w:tcPr>
            <w:tcW w:type="dxa" w:w="1276"/>
          </w:tcPr>
          <w:p>
            <w:pPr>
              <w:keepNext/>
              <w:spacing w:after="0"/>
              <w:jc w:val="center"/>
            </w:pPr>
            <w:r>
              <w:rPr>
                <w:sz w:val="14"/>
              </w:rPr>
              <w:t>0,576 [0,53; 0,63]</w:t>
            </w:r>
          </w:p>
        </w:tc>
        <w:tc>
          <w:tcPr>
            <w:tcW w:type="dxa" w:w="1276"/>
          </w:tcPr>
          <w:p>
            <w:pPr>
              <w:keepNext/>
              <w:spacing w:after="0"/>
              <w:jc w:val="center"/>
            </w:pPr>
            <w:r>
              <w:rPr>
                <w:sz w:val="14"/>
              </w:rPr>
              <w:t>0,801 [0,71; 0,90]</w:t>
            </w:r>
          </w:p>
        </w:tc>
        <w:tc>
          <w:tcPr>
            <w:tcW w:type="dxa" w:w="1276"/>
          </w:tcPr>
          <w:p>
            <w:pPr>
              <w:keepNext/>
              <w:spacing w:after="0"/>
              <w:jc w:val="center"/>
            </w:pPr>
            <w:r>
              <w:rPr>
                <w:sz w:val="14"/>
              </w:rPr>
              <w:t>0,349 [0,25; 0,47]</w:t>
            </w:r>
          </w:p>
        </w:tc>
        <w:tc>
          <w:tcPr>
            <w:tcW w:type="dxa" w:w="1276"/>
          </w:tcPr>
          <w:p>
            <w:pPr>
              <w:keepNext/>
              <w:spacing w:after="0"/>
              <w:jc w:val="center"/>
            </w:pPr>
            <w:r>
              <w:rPr>
                <w:sz w:val="14"/>
              </w:rPr>
              <w:t>0,397 [0,28; 0,53]</w:t>
            </w:r>
          </w:p>
        </w:tc>
      </w:tr>
      <w:tr>
        <w:tc>
          <w:tcPr>
            <w:tcW w:type="dxa" w:w="1474"/>
          </w:tcPr>
          <w:p>
            <w:pPr>
              <w:keepNext/>
              <w:spacing w:after="0"/>
              <w:jc w:val="left"/>
            </w:pPr>
            <w:r>
              <w:rPr>
                <w:sz w:val="14"/>
              </w:rPr>
              <w:t>Chronos-Bolt-S</w:t>
            </w:r>
          </w:p>
        </w:tc>
        <w:tc>
          <w:tcPr>
            <w:tcW w:type="dxa" w:w="1276"/>
          </w:tcPr>
          <w:p>
            <w:pPr>
              <w:keepNext/>
              <w:spacing w:after="0"/>
              <w:jc w:val="center"/>
            </w:pPr>
            <w:r>
              <w:rPr>
                <w:sz w:val="14"/>
              </w:rPr>
              <w:t>0,602 [0,51; 0,71]</w:t>
            </w:r>
          </w:p>
        </w:tc>
        <w:tc>
          <w:tcPr>
            <w:tcW w:type="dxa" w:w="1276"/>
          </w:tcPr>
          <w:p>
            <w:pPr>
              <w:keepNext/>
              <w:spacing w:after="0"/>
              <w:jc w:val="center"/>
            </w:pPr>
            <w:r>
              <w:rPr>
                <w:sz w:val="14"/>
              </w:rPr>
              <w:t>0,659 [0,64; 0,68]</w:t>
            </w:r>
          </w:p>
        </w:tc>
        <w:tc>
          <w:tcPr>
            <w:tcW w:type="dxa" w:w="1276"/>
          </w:tcPr>
          <w:p>
            <w:pPr>
              <w:keepNext/>
              <w:spacing w:after="0"/>
              <w:jc w:val="center"/>
            </w:pPr>
            <w:r>
              <w:rPr>
                <w:sz w:val="14"/>
              </w:rPr>
              <w:t>0,745 [0,67; 0,84]</w:t>
            </w:r>
          </w:p>
        </w:tc>
        <w:tc>
          <w:tcPr>
            <w:tcW w:type="dxa" w:w="1276"/>
          </w:tcPr>
          <w:p>
            <w:pPr>
              <w:keepNext/>
              <w:spacing w:after="0"/>
              <w:jc w:val="center"/>
            </w:pPr>
            <w:r>
              <w:rPr>
                <w:sz w:val="14"/>
              </w:rPr>
              <w:t>1,081 [0,93; 1,26]</w:t>
            </w:r>
          </w:p>
        </w:tc>
        <w:tc>
          <w:tcPr>
            <w:tcW w:type="dxa" w:w="1276"/>
          </w:tcPr>
          <w:p>
            <w:pPr>
              <w:keepNext/>
              <w:spacing w:after="0"/>
              <w:jc w:val="center"/>
            </w:pPr>
            <w:r>
              <w:rPr>
                <w:sz w:val="14"/>
              </w:rPr>
              <w:t>0,454 [0,33; 0,64]</w:t>
            </w:r>
          </w:p>
        </w:tc>
        <w:tc>
          <w:tcPr>
            <w:tcW w:type="dxa" w:w="1276"/>
          </w:tcPr>
          <w:p>
            <w:pPr>
              <w:keepNext/>
              <w:spacing w:after="0"/>
              <w:jc w:val="center"/>
            </w:pPr>
            <w:r>
              <w:rPr>
                <w:sz w:val="14"/>
              </w:rPr>
              <w:t>0,549 [0,38; 0,80]</w:t>
            </w:r>
          </w:p>
        </w:tc>
      </w:tr>
      <w:tr>
        <w:tc>
          <w:tcPr>
            <w:tcW w:type="dxa" w:w="1474"/>
          </w:tcPr>
          <w:p>
            <w:pPr>
              <w:keepNext/>
              <w:spacing w:after="0"/>
              <w:jc w:val="left"/>
            </w:pPr>
            <w:r>
              <w:rPr>
                <w:sz w:val="14"/>
              </w:rPr>
              <w:t>TTM-r2</w:t>
            </w:r>
          </w:p>
        </w:tc>
        <w:tc>
          <w:tcPr>
            <w:tcW w:type="dxa" w:w="1276"/>
          </w:tcPr>
          <w:p>
            <w:pPr>
              <w:keepNext/>
              <w:spacing w:after="0"/>
              <w:jc w:val="center"/>
            </w:pPr>
            <w:r>
              <w:rPr>
                <w:sz w:val="14"/>
              </w:rPr>
              <w:t>0,755 [0,64; 0,89]</w:t>
            </w:r>
          </w:p>
        </w:tc>
        <w:tc>
          <w:tcPr>
            <w:tcW w:type="dxa" w:w="1276"/>
          </w:tcPr>
          <w:p>
            <w:pPr>
              <w:keepNext/>
              <w:spacing w:after="0"/>
              <w:jc w:val="center"/>
            </w:pPr>
            <w:r>
              <w:rPr>
                <w:sz w:val="14"/>
              </w:rPr>
              <w:t>0,673 [0,66; 0,69]</w:t>
            </w:r>
          </w:p>
        </w:tc>
        <w:tc>
          <w:tcPr>
            <w:tcW w:type="dxa" w:w="1276"/>
          </w:tcPr>
          <w:p>
            <w:pPr>
              <w:keepNext/>
              <w:spacing w:after="0"/>
              <w:jc w:val="center"/>
            </w:pPr>
            <w:r>
              <w:rPr>
                <w:sz w:val="14"/>
              </w:rPr>
              <w:t>1,151 [1,04; 1,28]</w:t>
            </w:r>
          </w:p>
        </w:tc>
        <w:tc>
          <w:tcPr>
            <w:tcW w:type="dxa" w:w="1276"/>
          </w:tcPr>
          <w:p>
            <w:pPr>
              <w:keepNext/>
              <w:spacing w:after="0"/>
              <w:jc w:val="center"/>
            </w:pPr>
            <w:r>
              <w:rPr>
                <w:sz w:val="14"/>
              </w:rPr>
              <w:t>1,543 [1,33; 1,80]</w:t>
            </w:r>
          </w:p>
        </w:tc>
        <w:tc>
          <w:tcPr>
            <w:tcW w:type="dxa" w:w="1276"/>
          </w:tcPr>
          <w:p>
            <w:pPr>
              <w:keepNext/>
              <w:spacing w:after="0"/>
              <w:jc w:val="center"/>
            </w:pPr>
            <w:r>
              <w:rPr>
                <w:sz w:val="14"/>
              </w:rPr>
              <w:t>0,933 [0,72; 1,23]</w:t>
            </w:r>
          </w:p>
        </w:tc>
        <w:tc>
          <w:tcPr>
            <w:tcW w:type="dxa" w:w="1276"/>
          </w:tcPr>
          <w:p>
            <w:pPr>
              <w:keepNext/>
              <w:spacing w:after="0"/>
              <w:jc w:val="center"/>
            </w:pPr>
            <w:r>
              <w:rPr>
                <w:sz w:val="14"/>
              </w:rPr>
              <w:t>1,121 [0,84; 1,52]</w:t>
            </w:r>
          </w:p>
        </w:tc>
      </w:tr>
      <w:tr>
        <w:tc>
          <w:tcPr>
            <w:tcW w:type="dxa" w:w="1474"/>
          </w:tcPr>
          <w:p>
            <w:pPr>
              <w:keepNext/>
              <w:spacing w:after="0"/>
              <w:jc w:val="left"/>
            </w:pPr>
            <w:r>
              <w:rPr>
                <w:sz w:val="14"/>
              </w:rPr>
              <w:t>LightGBM</w:t>
            </w:r>
          </w:p>
        </w:tc>
        <w:tc>
          <w:tcPr>
            <w:tcW w:type="dxa" w:w="1276"/>
          </w:tcPr>
          <w:p>
            <w:pPr>
              <w:keepNext/>
              <w:spacing w:after="0"/>
              <w:jc w:val="center"/>
            </w:pPr>
            <w:r>
              <w:rPr>
                <w:sz w:val="14"/>
              </w:rPr>
              <w:t>0,669 [0,61; 0,74]</w:t>
            </w:r>
          </w:p>
        </w:tc>
        <w:tc>
          <w:tcPr>
            <w:tcW w:type="dxa" w:w="1276"/>
          </w:tcPr>
          <w:p>
            <w:pPr>
              <w:keepNext/>
              <w:spacing w:after="0"/>
              <w:jc w:val="center"/>
            </w:pPr>
            <w:r>
              <w:rPr>
                <w:sz w:val="14"/>
              </w:rPr>
              <w:t>0,695 [0,68; 0,71]</w:t>
            </w:r>
          </w:p>
        </w:tc>
        <w:tc>
          <w:tcPr>
            <w:tcW w:type="dxa" w:w="1276"/>
          </w:tcPr>
          <w:p>
            <w:pPr>
              <w:keepNext/>
              <w:spacing w:after="0"/>
              <w:jc w:val="center"/>
            </w:pPr>
            <w:r>
              <w:rPr>
                <w:sz w:val="14"/>
              </w:rPr>
              <w:t>0,703 [0,65; 0,76]</w:t>
            </w:r>
          </w:p>
        </w:tc>
        <w:tc>
          <w:tcPr>
            <w:tcW w:type="dxa" w:w="1276"/>
          </w:tcPr>
          <w:p>
            <w:pPr>
              <w:keepNext/>
              <w:spacing w:after="0"/>
              <w:jc w:val="center"/>
            </w:pPr>
            <w:r>
              <w:rPr>
                <w:sz w:val="14"/>
              </w:rPr>
              <w:t>0,832 [0,75; 0,92]</w:t>
            </w:r>
          </w:p>
        </w:tc>
        <w:tc>
          <w:tcPr>
            <w:tcW w:type="dxa" w:w="1276"/>
          </w:tcPr>
          <w:p>
            <w:pPr>
              <w:keepNext/>
              <w:spacing w:after="0"/>
              <w:jc w:val="center"/>
            </w:pPr>
            <w:r>
              <w:rPr>
                <w:sz w:val="14"/>
              </w:rPr>
              <w:t>0,390 [0,28; 0,53]</w:t>
            </w:r>
          </w:p>
        </w:tc>
        <w:tc>
          <w:tcPr>
            <w:tcW w:type="dxa" w:w="1276"/>
          </w:tcPr>
          <w:p>
            <w:pPr>
              <w:keepNext/>
              <w:spacing w:after="0"/>
              <w:jc w:val="center"/>
            </w:pPr>
            <w:r>
              <w:rPr>
                <w:sz w:val="14"/>
              </w:rPr>
              <w:t>0,445 [0,32; 0,61]</w:t>
            </w:r>
          </w:p>
        </w:tc>
      </w:tr>
      <w:tr>
        <w:tc>
          <w:tcPr>
            <w:tcW w:type="dxa" w:w="1474"/>
          </w:tcPr>
          <w:p>
            <w:pPr>
              <w:keepNext/>
              <w:spacing w:after="0"/>
              <w:jc w:val="left"/>
            </w:pPr>
            <w:r>
              <w:rPr>
                <w:sz w:val="14"/>
              </w:rPr>
              <w:t>N-BEATS</w:t>
            </w:r>
          </w:p>
        </w:tc>
        <w:tc>
          <w:tcPr>
            <w:tcW w:type="dxa" w:w="1276"/>
          </w:tcPr>
          <w:p>
            <w:pPr>
              <w:keepNext/>
              <w:spacing w:after="0"/>
              <w:jc w:val="center"/>
            </w:pPr>
            <w:r>
              <w:rPr>
                <w:sz w:val="14"/>
              </w:rPr>
              <w:t>0,525 [0,47; 0,58]</w:t>
            </w:r>
          </w:p>
        </w:tc>
        <w:tc>
          <w:tcPr>
            <w:tcW w:type="dxa" w:w="1276"/>
          </w:tcPr>
          <w:p>
            <w:pPr>
              <w:keepNext/>
              <w:spacing w:after="0"/>
              <w:jc w:val="center"/>
            </w:pPr>
            <w:r>
              <w:rPr>
                <w:sz w:val="14"/>
              </w:rPr>
              <w:t>0,717 [0,70; 0,73]</w:t>
            </w:r>
          </w:p>
        </w:tc>
        <w:tc>
          <w:tcPr>
            <w:tcW w:type="dxa" w:w="1276"/>
          </w:tcPr>
          <w:p>
            <w:pPr>
              <w:keepNext/>
              <w:spacing w:after="0"/>
              <w:jc w:val="center"/>
            </w:pPr>
            <w:r>
              <w:rPr>
                <w:sz w:val="14"/>
              </w:rPr>
              <w:t>0,586 [0,54; 0,64]</w:t>
            </w:r>
          </w:p>
        </w:tc>
        <w:tc>
          <w:tcPr>
            <w:tcW w:type="dxa" w:w="1276"/>
          </w:tcPr>
          <w:p>
            <w:pPr>
              <w:keepNext/>
              <w:spacing w:after="0"/>
              <w:jc w:val="center"/>
            </w:pPr>
            <w:r>
              <w:rPr>
                <w:sz w:val="14"/>
              </w:rPr>
              <w:t>0,734 [0,66; 0,81]</w:t>
            </w:r>
          </w:p>
        </w:tc>
        <w:tc>
          <w:tcPr>
            <w:tcW w:type="dxa" w:w="1276"/>
          </w:tcPr>
          <w:p>
            <w:pPr>
              <w:keepNext/>
              <w:spacing w:after="0"/>
              <w:jc w:val="center"/>
            </w:pPr>
            <w:r>
              <w:rPr>
                <w:sz w:val="14"/>
              </w:rPr>
              <w:t>0,367 [0,26; 0,51]</w:t>
            </w:r>
          </w:p>
        </w:tc>
        <w:tc>
          <w:tcPr>
            <w:tcW w:type="dxa" w:w="1276"/>
          </w:tcPr>
          <w:p>
            <w:pPr>
              <w:keepNext/>
              <w:spacing w:after="0"/>
              <w:jc w:val="center"/>
            </w:pPr>
            <w:r>
              <w:rPr>
                <w:sz w:val="14"/>
              </w:rPr>
              <w:t>0,515 [0,40; 0,66]</w:t>
            </w:r>
          </w:p>
        </w:tc>
      </w:tr>
      <w:tr>
        <w:tc>
          <w:tcPr>
            <w:tcW w:type="dxa" w:w="1474"/>
          </w:tcPr>
          <w:p>
            <w:pPr>
              <w:keepNext/>
              <w:spacing w:after="0"/>
              <w:jc w:val="left"/>
            </w:pPr>
            <w:r>
              <w:rPr>
                <w:sz w:val="14"/>
              </w:rPr>
              <w:t>LSTM</w:t>
            </w:r>
          </w:p>
        </w:tc>
        <w:tc>
          <w:tcPr>
            <w:tcW w:type="dxa" w:w="1276"/>
          </w:tcPr>
          <w:p>
            <w:pPr>
              <w:keepNext/>
              <w:spacing w:after="0"/>
              <w:jc w:val="center"/>
            </w:pPr>
            <w:r>
              <w:rPr>
                <w:sz w:val="14"/>
              </w:rPr>
              <w:t>1,037 [0,86; 1,23]</w:t>
            </w:r>
          </w:p>
        </w:tc>
        <w:tc>
          <w:tcPr>
            <w:tcW w:type="dxa" w:w="1276"/>
          </w:tcPr>
          <w:p>
            <w:pPr>
              <w:keepNext/>
              <w:spacing w:after="0"/>
              <w:jc w:val="center"/>
            </w:pPr>
            <w:r>
              <w:rPr>
                <w:sz w:val="14"/>
              </w:rPr>
              <w:t>0,770 [0,75; 0,79]</w:t>
            </w:r>
          </w:p>
        </w:tc>
        <w:tc>
          <w:tcPr>
            <w:tcW w:type="dxa" w:w="1276"/>
          </w:tcPr>
          <w:p>
            <w:pPr>
              <w:keepNext/>
              <w:spacing w:after="0"/>
              <w:jc w:val="center"/>
            </w:pPr>
            <w:r>
              <w:rPr>
                <w:sz w:val="14"/>
              </w:rPr>
              <w:t>0,688 [0,62; 0,76]</w:t>
            </w:r>
          </w:p>
        </w:tc>
        <w:tc>
          <w:tcPr>
            <w:tcW w:type="dxa" w:w="1276"/>
          </w:tcPr>
          <w:p>
            <w:pPr>
              <w:keepNext/>
              <w:spacing w:after="0"/>
              <w:jc w:val="center"/>
            </w:pPr>
            <w:r>
              <w:rPr>
                <w:sz w:val="14"/>
              </w:rPr>
              <w:t>0,794 [0,72; 0,88]</w:t>
            </w:r>
          </w:p>
        </w:tc>
        <w:tc>
          <w:tcPr>
            <w:tcW w:type="dxa" w:w="1276"/>
          </w:tcPr>
          <w:p>
            <w:pPr>
              <w:keepNext/>
              <w:spacing w:after="0"/>
              <w:jc w:val="center"/>
            </w:pPr>
            <w:r>
              <w:rPr>
                <w:sz w:val="14"/>
              </w:rPr>
              <w:t>0,364 [0,26; 0,50]</w:t>
            </w:r>
          </w:p>
        </w:tc>
        <w:tc>
          <w:tcPr>
            <w:tcW w:type="dxa" w:w="1276"/>
          </w:tcPr>
          <w:p>
            <w:pPr>
              <w:keepNext/>
              <w:spacing w:after="0"/>
              <w:jc w:val="center"/>
            </w:pPr>
            <w:r>
              <w:rPr>
                <w:sz w:val="14"/>
              </w:rPr>
              <w:t>0,439 [0,30; 0,61]</w:t>
            </w:r>
          </w:p>
        </w:tc>
      </w:tr>
      <w:tr>
        <w:tc>
          <w:tcPr>
            <w:tcW w:type="dxa" w:w="1474"/>
          </w:tcPr>
          <w:p>
            <w:pPr>
              <w:keepNext/>
              <w:spacing w:after="0"/>
              <w:jc w:val="left"/>
            </w:pPr>
            <w:r>
              <w:rPr>
                <w:sz w:val="14"/>
              </w:rPr>
              <w:t>MSTL-ARIMA</w:t>
            </w:r>
          </w:p>
        </w:tc>
        <w:tc>
          <w:tcPr>
            <w:tcW w:type="dxa" w:w="1276"/>
          </w:tcPr>
          <w:p>
            <w:pPr>
              <w:keepNext/>
              <w:spacing w:after="0"/>
              <w:jc w:val="center"/>
            </w:pPr>
            <w:r>
              <w:rPr>
                <w:sz w:val="14"/>
              </w:rPr>
              <w:t>0,652 [0,60; 0,72]</w:t>
            </w:r>
          </w:p>
        </w:tc>
        <w:tc>
          <w:tcPr>
            <w:tcW w:type="dxa" w:w="1276"/>
          </w:tcPr>
          <w:p>
            <w:pPr>
              <w:keepNext/>
              <w:spacing w:after="0"/>
              <w:jc w:val="center"/>
            </w:pPr>
            <w:r>
              <w:rPr>
                <w:sz w:val="14"/>
              </w:rPr>
              <w:t>0,653 [0,64; 0,67]</w:t>
            </w:r>
          </w:p>
        </w:tc>
        <w:tc>
          <w:tcPr>
            <w:tcW w:type="dxa" w:w="1276"/>
          </w:tcPr>
          <w:p>
            <w:pPr>
              <w:keepNext/>
              <w:spacing w:after="0"/>
              <w:jc w:val="center"/>
            </w:pPr>
            <w:r>
              <w:rPr>
                <w:sz w:val="14"/>
              </w:rPr>
              <w:t>0,945 [0,88; 1,02]</w:t>
            </w:r>
          </w:p>
        </w:tc>
        <w:tc>
          <w:tcPr>
            <w:tcW w:type="dxa" w:w="1276"/>
          </w:tcPr>
          <w:p>
            <w:pPr>
              <w:keepNext/>
              <w:spacing w:after="0"/>
              <w:jc w:val="center"/>
            </w:pPr>
            <w:r>
              <w:rPr>
                <w:sz w:val="14"/>
              </w:rPr>
              <w:t>–</w:t>
            </w:r>
          </w:p>
        </w:tc>
        <w:tc>
          <w:tcPr>
            <w:tcW w:type="dxa" w:w="1276"/>
          </w:tcPr>
          <w:p>
            <w:pPr>
              <w:keepNext/>
              <w:spacing w:after="0"/>
              <w:jc w:val="center"/>
            </w:pPr>
            <w:r>
              <w:rPr>
                <w:sz w:val="14"/>
              </w:rPr>
              <w:t>0,908 [0,73; 1,18]</w:t>
            </w:r>
          </w:p>
        </w:tc>
        <w:tc>
          <w:tcPr>
            <w:tcW w:type="dxa" w:w="1276"/>
          </w:tcPr>
          <w:p>
            <w:pPr>
              <w:keepNext/>
              <w:spacing w:after="0"/>
              <w:jc w:val="center"/>
            </w:pPr>
            <w:r>
              <w:rPr>
                <w:sz w:val="14"/>
              </w:rPr>
              <w:t>–</w:t>
            </w:r>
          </w:p>
        </w:tc>
      </w:tr>
      <w:tr>
        <w:tc>
          <w:tcPr>
            <w:tcW w:type="dxa" w:w="1474"/>
          </w:tcPr>
          <w:p>
            <w:pPr>
              <w:keepNext/>
              <w:spacing w:after="0"/>
              <w:jc w:val="left"/>
            </w:pPr>
            <w:r>
              <w:rPr>
                <w:sz w:val="14"/>
              </w:rPr>
              <w:t>MSTL-ETS</w:t>
            </w:r>
          </w:p>
        </w:tc>
        <w:tc>
          <w:tcPr>
            <w:tcW w:type="dxa" w:w="1276"/>
          </w:tcPr>
          <w:p>
            <w:pPr>
              <w:keepNext/>
              <w:spacing w:after="0"/>
              <w:jc w:val="center"/>
            </w:pPr>
            <w:r>
              <w:rPr>
                <w:sz w:val="14"/>
              </w:rPr>
              <w:t>0,647 [0,59; 0,71]</w:t>
            </w:r>
          </w:p>
        </w:tc>
        <w:tc>
          <w:tcPr>
            <w:tcW w:type="dxa" w:w="1276"/>
          </w:tcPr>
          <w:p>
            <w:pPr>
              <w:keepNext/>
              <w:spacing w:after="0"/>
              <w:jc w:val="center"/>
            </w:pPr>
            <w:r>
              <w:rPr>
                <w:sz w:val="14"/>
              </w:rPr>
              <w:t>0,698 [0,68; 0,72]</w:t>
            </w:r>
          </w:p>
        </w:tc>
        <w:tc>
          <w:tcPr>
            <w:tcW w:type="dxa" w:w="1276"/>
          </w:tcPr>
          <w:p>
            <w:pPr>
              <w:keepNext/>
              <w:spacing w:after="0"/>
              <w:jc w:val="center"/>
            </w:pPr>
            <w:r>
              <w:rPr>
                <w:sz w:val="14"/>
              </w:rPr>
              <w:t>0,963 [0,89; 1,04]</w:t>
            </w:r>
          </w:p>
        </w:tc>
        <w:tc>
          <w:tcPr>
            <w:tcW w:type="dxa" w:w="1276"/>
          </w:tcPr>
          <w:p>
            <w:pPr>
              <w:keepNext/>
              <w:spacing w:after="0"/>
              <w:jc w:val="center"/>
            </w:pPr>
            <w:r>
              <w:rPr>
                <w:sz w:val="14"/>
              </w:rPr>
              <w:t>–</w:t>
            </w:r>
          </w:p>
        </w:tc>
        <w:tc>
          <w:tcPr>
            <w:tcW w:type="dxa" w:w="1276"/>
          </w:tcPr>
          <w:p>
            <w:pPr>
              <w:keepNext/>
              <w:spacing w:after="0"/>
              <w:jc w:val="center"/>
            </w:pPr>
            <w:r>
              <w:rPr>
                <w:sz w:val="14"/>
              </w:rPr>
              <w:t>0,969 [0,78; 1,26]</w:t>
            </w:r>
          </w:p>
        </w:tc>
        <w:tc>
          <w:tcPr>
            <w:tcW w:type="dxa" w:w="1276"/>
          </w:tcPr>
          <w:p>
            <w:pPr>
              <w:keepNext/>
              <w:spacing w:after="0"/>
              <w:jc w:val="center"/>
            </w:pPr>
            <w:r>
              <w:rPr>
                <w:sz w:val="14"/>
              </w:rPr>
              <w:t>–</w:t>
            </w:r>
          </w:p>
        </w:tc>
      </w:tr>
      <w:tr>
        <w:tc>
          <w:tcPr>
            <w:tcW w:type="dxa" w:w="1474"/>
          </w:tcPr>
          <w:p>
            <w:pPr>
              <w:keepNext/>
              <w:spacing w:after="0"/>
              <w:jc w:val="left"/>
            </w:pPr>
            <w:r>
              <w:rPr>
                <w:sz w:val="14"/>
              </w:rPr>
              <w:t>ETS</w:t>
            </w:r>
          </w:p>
        </w:tc>
        <w:tc>
          <w:tcPr>
            <w:tcW w:type="dxa" w:w="1276"/>
          </w:tcPr>
          <w:p>
            <w:pPr>
              <w:keepNext/>
              <w:spacing w:after="0"/>
              <w:jc w:val="center"/>
            </w:pPr>
            <w:r>
              <w:rPr>
                <w:sz w:val="14"/>
              </w:rPr>
              <w:t>0,886 [0,73; 1,07]</w:t>
            </w:r>
          </w:p>
        </w:tc>
        <w:tc>
          <w:tcPr>
            <w:tcW w:type="dxa" w:w="1276"/>
          </w:tcPr>
          <w:p>
            <w:pPr>
              <w:keepNext/>
              <w:spacing w:after="0"/>
              <w:jc w:val="center"/>
            </w:pPr>
            <w:r>
              <w:rPr>
                <w:sz w:val="14"/>
              </w:rPr>
              <w:t>0,780 [0,76; 0,81]</w:t>
            </w:r>
          </w:p>
        </w:tc>
        <w:tc>
          <w:tcPr>
            <w:tcW w:type="dxa" w:w="1276"/>
          </w:tcPr>
          <w:p>
            <w:pPr>
              <w:keepNext/>
              <w:spacing w:after="0"/>
              <w:jc w:val="center"/>
            </w:pPr>
            <w:r>
              <w:rPr>
                <w:sz w:val="14"/>
              </w:rPr>
              <w:t>0,989 [0,87; 1,13]</w:t>
            </w:r>
          </w:p>
        </w:tc>
        <w:tc>
          <w:tcPr>
            <w:tcW w:type="dxa" w:w="1276"/>
          </w:tcPr>
          <w:p>
            <w:pPr>
              <w:keepNext/>
              <w:spacing w:after="0"/>
              <w:jc w:val="center"/>
            </w:pPr>
            <w:r>
              <w:rPr>
                <w:sz w:val="14"/>
              </w:rPr>
              <w:t>1,352 [1,15; 1,61]</w:t>
            </w:r>
          </w:p>
        </w:tc>
        <w:tc>
          <w:tcPr>
            <w:tcW w:type="dxa" w:w="1276"/>
          </w:tcPr>
          <w:p>
            <w:pPr>
              <w:keepNext/>
              <w:spacing w:after="0"/>
              <w:jc w:val="center"/>
            </w:pPr>
            <w:r>
              <w:rPr>
                <w:sz w:val="14"/>
              </w:rPr>
              <w:t>0,692 [0,48; 0,98]</w:t>
            </w:r>
          </w:p>
        </w:tc>
        <w:tc>
          <w:tcPr>
            <w:tcW w:type="dxa" w:w="1276"/>
          </w:tcPr>
          <w:p>
            <w:pPr>
              <w:keepNext/>
              <w:spacing w:after="0"/>
              <w:jc w:val="center"/>
            </w:pPr>
            <w:r>
              <w:rPr>
                <w:sz w:val="14"/>
              </w:rPr>
              <w:t>0,870 [0,60; 1,29]</w:t>
            </w:r>
          </w:p>
        </w:tc>
      </w:tr>
      <w:tr>
        <w:tc>
          <w:tcPr>
            <w:tcW w:type="dxa" w:w="1474"/>
          </w:tcPr>
          <w:p>
            <w:pPr>
              <w:keepNext/>
              <w:spacing w:after="0"/>
              <w:jc w:val="left"/>
            </w:pPr>
            <w:r>
              <w:rPr>
                <w:sz w:val="14"/>
              </w:rPr>
              <w:t>Naive</w:t>
            </w:r>
          </w:p>
        </w:tc>
        <w:tc>
          <w:tcPr>
            <w:tcW w:type="dxa" w:w="1276"/>
          </w:tcPr>
          <w:p>
            <w:pPr>
              <w:keepNext/>
              <w:spacing w:after="0"/>
              <w:jc w:val="center"/>
            </w:pPr>
            <w:r>
              <w:rPr>
                <w:sz w:val="14"/>
              </w:rPr>
              <w:t>0,928 [0,76; 1,12]</w:t>
            </w:r>
          </w:p>
        </w:tc>
        <w:tc>
          <w:tcPr>
            <w:tcW w:type="dxa" w:w="1276"/>
          </w:tcPr>
          <w:p>
            <w:pPr>
              <w:keepNext/>
              <w:spacing w:after="0"/>
              <w:jc w:val="center"/>
            </w:pPr>
            <w:r>
              <w:rPr>
                <w:sz w:val="14"/>
              </w:rPr>
              <w:t>0,844 [0,82; 0,87]</w:t>
            </w:r>
          </w:p>
        </w:tc>
        <w:tc>
          <w:tcPr>
            <w:tcW w:type="dxa" w:w="1276"/>
          </w:tcPr>
          <w:p>
            <w:pPr>
              <w:keepNext/>
              <w:spacing w:after="0"/>
              <w:jc w:val="center"/>
            </w:pPr>
            <w:r>
              <w:rPr>
                <w:sz w:val="14"/>
              </w:rPr>
              <w:t>0,985 [0,86; 1,13]</w:t>
            </w:r>
          </w:p>
        </w:tc>
        <w:tc>
          <w:tcPr>
            <w:tcW w:type="dxa" w:w="1276"/>
          </w:tcPr>
          <w:p>
            <w:pPr>
              <w:keepNext/>
              <w:spacing w:after="0"/>
              <w:jc w:val="center"/>
            </w:pPr>
            <w:r>
              <w:rPr>
                <w:sz w:val="14"/>
              </w:rPr>
              <w:t>1,329 [1,13; 1,57]</w:t>
            </w:r>
          </w:p>
        </w:tc>
        <w:tc>
          <w:tcPr>
            <w:tcW w:type="dxa" w:w="1276"/>
          </w:tcPr>
          <w:p>
            <w:pPr>
              <w:keepNext/>
              <w:spacing w:after="0"/>
              <w:jc w:val="center"/>
            </w:pPr>
            <w:r>
              <w:rPr>
                <w:sz w:val="14"/>
              </w:rPr>
              <w:t>0,454 [0,30; 0,68]</w:t>
            </w:r>
          </w:p>
        </w:tc>
        <w:tc>
          <w:tcPr>
            <w:tcW w:type="dxa" w:w="1276"/>
          </w:tcPr>
          <w:p>
            <w:pPr>
              <w:keepNext/>
              <w:spacing w:after="0"/>
              <w:jc w:val="center"/>
            </w:pPr>
            <w:r>
              <w:rPr>
                <w:sz w:val="14"/>
              </w:rPr>
              <w:t>0,535 [0,35; 0,84]</w:t>
            </w:r>
          </w:p>
        </w:tc>
      </w:tr>
      <w:tr>
        <w:tc>
          <w:tcPr>
            <w:tcW w:type="dxa" w:w="1474"/>
          </w:tcPr>
          <w:p>
            <w:pPr>
              <w:keepNext/>
              <w:spacing w:after="0"/>
              <w:jc w:val="left"/>
            </w:pPr>
            <w:r>
              <w:rPr>
                <w:sz w:val="14"/>
              </w:rPr>
              <w:t>Selalu nol</w:t>
            </w:r>
          </w:p>
        </w:tc>
        <w:tc>
          <w:tcPr>
            <w:tcW w:type="dxa" w:w="1276"/>
          </w:tcPr>
          <w:p>
            <w:pPr>
              <w:keepNext/>
              <w:spacing w:after="0"/>
              <w:jc w:val="center"/>
            </w:pPr>
            <w:r>
              <w:rPr>
                <w:sz w:val="14"/>
              </w:rPr>
              <w:t>4,782 [3,78; 5,93]</w:t>
            </w:r>
          </w:p>
        </w:tc>
        <w:tc>
          <w:tcPr>
            <w:tcW w:type="dxa" w:w="1276"/>
          </w:tcPr>
          <w:p>
            <w:pPr>
              <w:keepNext/>
              <w:spacing w:after="0"/>
              <w:jc w:val="center"/>
            </w:pPr>
            <w:r>
              <w:rPr>
                <w:sz w:val="14"/>
              </w:rPr>
              <w:t>5,181 [4,93; 5,46]</w:t>
            </w:r>
          </w:p>
        </w:tc>
        <w:tc>
          <w:tcPr>
            <w:tcW w:type="dxa" w:w="1276"/>
          </w:tcPr>
          <w:p>
            <w:pPr>
              <w:keepNext/>
              <w:spacing w:after="0"/>
              <w:jc w:val="center"/>
            </w:pPr>
            <w:r>
              <w:rPr>
                <w:sz w:val="14"/>
              </w:rPr>
              <w:t>5,419 [4,44; 6,62]</w:t>
            </w:r>
          </w:p>
        </w:tc>
        <w:tc>
          <w:tcPr>
            <w:tcW w:type="dxa" w:w="1276"/>
          </w:tcPr>
          <w:p>
            <w:pPr>
              <w:keepNext/>
              <w:spacing w:after="0"/>
              <w:jc w:val="center"/>
            </w:pPr>
            <w:r>
              <w:rPr>
                <w:sz w:val="14"/>
              </w:rPr>
              <w:t>3,855 [3,21; 4,75]</w:t>
            </w:r>
          </w:p>
        </w:tc>
        <w:tc>
          <w:tcPr>
            <w:tcW w:type="dxa" w:w="1276"/>
          </w:tcPr>
          <w:p>
            <w:pPr>
              <w:keepNext/>
              <w:spacing w:after="0"/>
              <w:jc w:val="center"/>
            </w:pPr>
            <w:r>
              <w:rPr>
                <w:sz w:val="14"/>
              </w:rPr>
              <w:t>0,496 [0,32; 0,77]</w:t>
            </w:r>
          </w:p>
        </w:tc>
        <w:tc>
          <w:tcPr>
            <w:tcW w:type="dxa" w:w="1276"/>
          </w:tcPr>
          <w:p>
            <w:pPr>
              <w:keepNext/>
              <w:spacing w:after="0"/>
              <w:jc w:val="center"/>
            </w:pPr>
            <w:r>
              <w:rPr>
                <w:sz w:val="14"/>
              </w:rPr>
              <w:t>0,488 [0,32; 0,76]</w:t>
            </w:r>
          </w:p>
        </w:tc>
      </w:tr>
      <w:tr>
        <w:tc>
          <w:tcPr>
            <w:tcW w:type="dxa" w:w="1474"/>
          </w:tcPr>
          <w:p>
            <w:pPr>
              <w:keepNext/>
              <w:spacing w:after="0"/>
              <w:jc w:val="left"/>
            </w:pPr>
            <w:r>
              <w:rPr>
                <w:sz w:val="14"/>
              </w:rPr>
              <w:t>Seasonal naive</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c>
          <w:tcPr>
            <w:tcW w:type="dxa" w:w="1276"/>
          </w:tcPr>
          <w:p>
            <w:pPr>
              <w:keepNext/>
              <w:spacing w:after="0"/>
              <w:jc w:val="center"/>
            </w:pPr>
            <w:r>
              <w:rPr>
                <w:sz w:val="14"/>
              </w:rPr>
              <w:t>1,000 [1,00; 1,00]</w:t>
            </w:r>
          </w:p>
        </w:tc>
      </w:tr>
      <w:tr>
        <w:tc>
          <w:tcPr>
            <w:tcW w:type="dxa" w:w="1474"/>
          </w:tcPr>
          <w:p>
            <w:pPr>
              <w:keepNext/>
              <w:spacing w:after="0"/>
              <w:jc w:val="left"/>
            </w:pPr>
            <w:r>
              <w:rPr>
                <w:sz w:val="14"/>
              </w:rPr>
              <w:t>SWA-3</w:t>
            </w:r>
          </w:p>
        </w:tc>
        <w:tc>
          <w:tcPr>
            <w:tcW w:type="dxa" w:w="1276"/>
          </w:tcPr>
          <w:p>
            <w:pPr>
              <w:keepNext/>
              <w:spacing w:after="0"/>
              <w:jc w:val="center"/>
            </w:pPr>
            <w:r>
              <w:rPr>
                <w:sz w:val="14"/>
              </w:rPr>
              <w:t>1,002 [0,96; 1,05]</w:t>
            </w:r>
          </w:p>
        </w:tc>
        <w:tc>
          <w:tcPr>
            <w:tcW w:type="dxa" w:w="1276"/>
          </w:tcPr>
          <w:p>
            <w:pPr>
              <w:keepNext/>
              <w:spacing w:after="0"/>
              <w:jc w:val="center"/>
            </w:pPr>
            <w:r>
              <w:rPr>
                <w:sz w:val="14"/>
              </w:rPr>
              <w:t>0,868 [0,86; 0,88]</w:t>
            </w:r>
          </w:p>
        </w:tc>
        <w:tc>
          <w:tcPr>
            <w:tcW w:type="dxa" w:w="1276"/>
          </w:tcPr>
          <w:p>
            <w:pPr>
              <w:keepNext/>
              <w:spacing w:after="0"/>
              <w:jc w:val="center"/>
            </w:pPr>
            <w:r>
              <w:rPr>
                <w:sz w:val="14"/>
              </w:rPr>
              <w:t>1,150 [1,10; 1,21]</w:t>
            </w:r>
          </w:p>
        </w:tc>
        <w:tc>
          <w:tcPr>
            <w:tcW w:type="dxa" w:w="1276"/>
          </w:tcPr>
          <w:p>
            <w:pPr>
              <w:keepNext/>
              <w:spacing w:after="0"/>
              <w:jc w:val="center"/>
            </w:pPr>
            <w:r>
              <w:rPr>
                <w:sz w:val="14"/>
              </w:rPr>
              <w:t>1,125 [1,08; 1,17]</w:t>
            </w:r>
          </w:p>
        </w:tc>
        <w:tc>
          <w:tcPr>
            <w:tcW w:type="dxa" w:w="1276"/>
          </w:tcPr>
          <w:p>
            <w:pPr>
              <w:keepNext/>
              <w:spacing w:after="0"/>
              <w:jc w:val="center"/>
            </w:pPr>
            <w:r>
              <w:rPr>
                <w:sz w:val="14"/>
              </w:rPr>
              <w:t>1,005 [0,91; 1,12]</w:t>
            </w:r>
          </w:p>
        </w:tc>
        <w:tc>
          <w:tcPr>
            <w:tcW w:type="dxa" w:w="1276"/>
          </w:tcPr>
          <w:p>
            <w:pPr>
              <w:keepNext/>
              <w:spacing w:after="0"/>
              <w:jc w:val="center"/>
            </w:pPr>
            <w:r>
              <w:rPr>
                <w:sz w:val="14"/>
              </w:rPr>
              <w:t>1,017 [0,92; 1,13]</w:t>
            </w:r>
          </w:p>
        </w:tc>
      </w:tr>
      <w:tr>
        <w:tc>
          <w:tcPr>
            <w:tcW w:type="dxa" w:w="1474"/>
          </w:tcPr>
          <w:p>
            <w:pPr>
              <w:keepNext/>
              <w:spacing w:after="0"/>
              <w:jc w:val="left"/>
            </w:pPr>
            <w:r>
              <w:rPr>
                <w:sz w:val="14"/>
              </w:rPr>
              <w:t>Croston</w:t>
            </w:r>
          </w:p>
        </w:tc>
        <w:tc>
          <w:tcPr>
            <w:tcW w:type="dxa" w:w="1276"/>
          </w:tcPr>
          <w:p>
            <w:pPr>
              <w:keepNext/>
              <w:spacing w:after="0"/>
              <w:jc w:val="center"/>
            </w:pPr>
            <w:r>
              <w:rPr>
                <w:sz w:val="14"/>
              </w:rPr>
              <w:t>1,024 [0,84; 1,24]</w:t>
            </w:r>
          </w:p>
        </w:tc>
        <w:tc>
          <w:tcPr>
            <w:tcW w:type="dxa" w:w="1276"/>
          </w:tcPr>
          <w:p>
            <w:pPr>
              <w:keepNext/>
              <w:spacing w:after="0"/>
              <w:jc w:val="center"/>
            </w:pPr>
            <w:r>
              <w:rPr>
                <w:sz w:val="14"/>
              </w:rPr>
              <w:t>0,730 [0,71; 0,75]</w:t>
            </w:r>
          </w:p>
        </w:tc>
        <w:tc>
          <w:tcPr>
            <w:tcW w:type="dxa" w:w="1276"/>
          </w:tcPr>
          <w:p>
            <w:pPr>
              <w:keepNext/>
              <w:spacing w:after="0"/>
              <w:jc w:val="center"/>
            </w:pPr>
            <w:r>
              <w:rPr>
                <w:sz w:val="14"/>
              </w:rPr>
              <w:t>1,060 [0,93; 1,21]</w:t>
            </w:r>
          </w:p>
        </w:tc>
        <w:tc>
          <w:tcPr>
            <w:tcW w:type="dxa" w:w="1276"/>
          </w:tcPr>
          <w:p>
            <w:pPr>
              <w:keepNext/>
              <w:spacing w:after="0"/>
              <w:jc w:val="center"/>
            </w:pPr>
            <w:r>
              <w:rPr>
                <w:sz w:val="14"/>
              </w:rPr>
              <w:t>1,485 [1,26; 1,75]</w:t>
            </w:r>
          </w:p>
        </w:tc>
        <w:tc>
          <w:tcPr>
            <w:tcW w:type="dxa" w:w="1276"/>
          </w:tcPr>
          <w:p>
            <w:pPr>
              <w:keepNext/>
              <w:spacing w:after="0"/>
              <w:jc w:val="center"/>
            </w:pPr>
            <w:r>
              <w:rPr>
                <w:sz w:val="14"/>
              </w:rPr>
              <w:t>1,574 [1,18; 2,21]</w:t>
            </w:r>
          </w:p>
        </w:tc>
        <w:tc>
          <w:tcPr>
            <w:tcW w:type="dxa" w:w="1276"/>
          </w:tcPr>
          <w:p>
            <w:pPr>
              <w:keepNext/>
              <w:spacing w:after="0"/>
              <w:jc w:val="center"/>
            </w:pPr>
            <w:r>
              <w:rPr>
                <w:sz w:val="14"/>
              </w:rPr>
              <w:t>2,240 [1,62; 3,20]</w:t>
            </w:r>
          </w:p>
        </w:tc>
      </w:tr>
      <w:tr>
        <w:tc>
          <w:tcPr>
            <w:tcW w:type="dxa" w:w="1474"/>
            <w:tcBorders>
              <w:bottom w:val="single" w:sz="8" w:color="000000"/>
            </w:tcBorders>
          </w:tcPr>
          <w:p>
            <w:pPr>
              <w:keepNext w:val="0"/>
              <w:spacing w:after="0"/>
              <w:jc w:val="left"/>
            </w:pPr>
            <w:r>
              <w:rPr>
                <w:sz w:val="14"/>
              </w:rPr>
              <w:t>TSB</w:t>
            </w:r>
          </w:p>
        </w:tc>
        <w:tc>
          <w:tcPr>
            <w:tcW w:type="dxa" w:w="1276"/>
            <w:tcBorders>
              <w:bottom w:val="single" w:sz="8" w:color="000000"/>
            </w:tcBorders>
          </w:tcPr>
          <w:p>
            <w:pPr>
              <w:keepNext w:val="0"/>
              <w:spacing w:after="0"/>
              <w:jc w:val="center"/>
            </w:pPr>
            <w:r>
              <w:rPr>
                <w:sz w:val="14"/>
              </w:rPr>
              <w:t>1,286 [1,04; 1,56]</w:t>
            </w:r>
          </w:p>
        </w:tc>
        <w:tc>
          <w:tcPr>
            <w:tcW w:type="dxa" w:w="1276"/>
            <w:tcBorders>
              <w:bottom w:val="single" w:sz="8" w:color="000000"/>
            </w:tcBorders>
          </w:tcPr>
          <w:p>
            <w:pPr>
              <w:keepNext w:val="0"/>
              <w:spacing w:after="0"/>
              <w:jc w:val="center"/>
            </w:pPr>
            <w:r>
              <w:rPr>
                <w:sz w:val="14"/>
              </w:rPr>
              <w:t>0,750 [0,73; 0,77]</w:t>
            </w:r>
          </w:p>
        </w:tc>
        <w:tc>
          <w:tcPr>
            <w:tcW w:type="dxa" w:w="1276"/>
            <w:tcBorders>
              <w:bottom w:val="single" w:sz="8" w:color="000000"/>
            </w:tcBorders>
          </w:tcPr>
          <w:p>
            <w:pPr>
              <w:keepNext w:val="0"/>
              <w:spacing w:after="0"/>
              <w:jc w:val="center"/>
            </w:pPr>
            <w:r>
              <w:rPr>
                <w:sz w:val="14"/>
              </w:rPr>
              <w:t>1,023 [0,90; 1,18]</w:t>
            </w:r>
          </w:p>
        </w:tc>
        <w:tc>
          <w:tcPr>
            <w:tcW w:type="dxa" w:w="1276"/>
            <w:tcBorders>
              <w:bottom w:val="single" w:sz="8" w:color="000000"/>
            </w:tcBorders>
          </w:tcPr>
          <w:p>
            <w:pPr>
              <w:keepNext w:val="0"/>
              <w:spacing w:after="0"/>
              <w:jc w:val="center"/>
            </w:pPr>
            <w:r>
              <w:rPr>
                <w:sz w:val="14"/>
              </w:rPr>
              <w:t>1,322 [1,12; 1,56]</w:t>
            </w:r>
          </w:p>
        </w:tc>
        <w:tc>
          <w:tcPr>
            <w:tcW w:type="dxa" w:w="1276"/>
            <w:tcBorders>
              <w:bottom w:val="single" w:sz="8" w:color="000000"/>
            </w:tcBorders>
          </w:tcPr>
          <w:p>
            <w:pPr>
              <w:keepNext w:val="0"/>
              <w:spacing w:after="0"/>
              <w:jc w:val="center"/>
            </w:pPr>
            <w:r>
              <w:rPr>
                <w:sz w:val="14"/>
              </w:rPr>
              <w:t>0,645 [0,41; 0,99]</w:t>
            </w:r>
          </w:p>
        </w:tc>
        <w:tc>
          <w:tcPr>
            <w:tcW w:type="dxa" w:w="1276"/>
            <w:tcBorders>
              <w:bottom w:val="single" w:sz="8" w:color="000000"/>
            </w:tcBorders>
          </w:tcPr>
          <w:p>
            <w:pPr>
              <w:keepNext w:val="0"/>
              <w:spacing w:after="0"/>
              <w:jc w:val="center"/>
            </w:pPr>
            <w:r>
              <w:rPr>
                <w:sz w:val="14"/>
              </w:rPr>
              <w:t>0,661 [0,43; 1,02]</w:t>
            </w:r>
          </w:p>
        </w:tc>
      </w:tr>
    </w:tbl>
    <w:p>
      <w:pPr>
        <w:spacing w:after="40"/>
      </w:pPr>
    </w:p>
    <w:p>
      <w:pPr>
        <w:jc w:val="both"/>
      </w:pPr>
      <w:r>
        <w:rPr/>
        <w:t>Tabel 4 menunjukkan bahwa posisi teratas pada keenam kombinasi dataset dan resolusi selalu ditempati TimesFM-3, Chronos-2, atau Toto, tetapi besar selisihnya berbeda antardataset. Pada Azure 2019 resolusi 5 menit, relMASE TimesFM-3 sebesar 0,469 [0,43; 0,51], sedangkan model pembanding terbaik, yaitu N-BEATS, sebesar 0,586 [0,54; 0,64], atau penurunan galat sebesar 20%. Pada resolusi 1 menit selisihnya 24% (Toto 0,556 [0,51; 0,61] dan N-BEATS 0,734 [0,66; 0,81]). Pada Huawei selisihnya 11% (Chronos-2 0,467 dan N-BEATS 0,525), dan pada Alibaba 7% (TimesFM-3 0,610 dan MSTL-ARIMA 0,653). Pada horizon 5 menit, nilai TimesFM-3 dan MSTL-ARIMA di Alibaba hampir sama (0,540 dan 0,547).</w:t>
      </w:r>
    </w:p>
    <w:p>
      <w:pPr>
        <w:jc w:val="both"/>
      </w:pPr>
      <w:r>
        <w:rPr/>
        <w:t xml:space="preserve">Pada Azure 2021, Toto memperoleh 0,313 (5 menit) dan 0,330 (1 menit), sedangkan pembanding terbaik, yaitu LSTM, memperoleh 0,364 dan 0,439, atau selisih 14% dan 25%. Model yang selalu meramalkan nol hanya kompetitif pada trace ini (0,496 dan 0,488), sedangkan pada keempat kombinasi data padat galatnya 3,9 sampai 5,4 kali galat </w:t>
      </w:r>
      <w:r>
        <w:rPr>
          <w:i/>
        </w:rPr>
        <w:t>seasonal naive</w:t>
      </w:r>
      <w:r>
        <w:rPr/>
        <w:t>.</w:t>
      </w:r>
    </w:p>
    <w:p>
      <w:pPr>
        <w:jc w:val="both"/>
      </w:pPr>
      <w:r>
        <w:rPr/>
        <w:t xml:space="preserve">Ukuran model juga berpengaruh. Model kecil, yaitu TTM-r2 dan Chronos-Bolt-small, kalah dari LightGBM pada keempat kombinasi data Azure, dan pada Azure 2019 resolusi 1 menit TTM-r2 bahkan 54% lebih buruk daripada </w:t>
      </w:r>
      <w:r>
        <w:rPr>
          <w:i/>
        </w:rPr>
        <w:t>seasonal naive</w:t>
      </w:r>
      <w:r>
        <w:rPr/>
        <w:t xml:space="preserve">. Dengan kata lain, keunggulan di atas hanya berlaku untuk model besar yang terbaru, dan label </w:t>
      </w:r>
      <w:r>
        <w:rPr>
          <w:i/>
        </w:rPr>
        <w:t>zero-shot</w:t>
      </w:r>
      <w:r>
        <w:rPr/>
        <w:t xml:space="preserve"> saja tidak menjamin akurasi.</w:t>
      </w:r>
    </w:p>
    <w:p>
      <w:pPr>
        <w:keepNext/>
      </w:pPr>
      <w:r>
        <w:rPr>
          <w:b/>
          <w:sz w:val="19"/>
        </w:rPr>
        <w:t>Tabel 5.</w:t>
      </w:r>
      <w:r>
        <w:rPr>
          <w:sz w:val="19"/>
        </w:rPr>
        <w:t xml:space="preserve"> Uji berpasangan antara TSFM terbaik dan model pembanding terbaik, keduanya dipilih pada periode validasi. Rasio adalah rata-rata geometrik MAE TSFM terhadap MAE pembanding per deret pada periode uji (lebih kecil dari 1 berarti TSFM lebih baik), dengan interval kepercayaan </w:t>
      </w:r>
      <w:r>
        <w:rPr>
          <w:i/>
          <w:sz w:val="19"/>
        </w:rPr>
        <w:t>bootstrap</w:t>
      </w:r>
      <w:r>
        <w:rPr>
          <w:sz w:val="19"/>
        </w:rPr>
        <w:t xml:space="preserve"> berpasangan.</w:t>
      </w:r>
    </w:p>
    <w:tbl>
      <w:tblPr>
        <w:tblW w:type="auto" w:w="0"/>
        <w:jc w:val="center"/>
        <w:tblLayout w:type="fixed"/>
        <w:tblLook w:firstColumn="1" w:firstRow="1" w:lastColumn="0" w:lastRow="0" w:noHBand="0" w:noVBand="1" w:val="04A0"/>
        <w:tblLayout w:type="fixed"/>
      </w:tblPr>
      <w:tblGrid>
        <w:gridCol w:w="1134"/>
        <w:gridCol w:w="1020"/>
        <w:gridCol w:w="1361"/>
        <w:gridCol w:w="510"/>
        <w:gridCol w:w="1644"/>
        <w:gridCol w:w="1247"/>
        <w:gridCol w:w="1247"/>
      </w:tblGrid>
      <w:tr>
        <w:tc>
          <w:tcPr>
            <w:tcW w:type="dxa" w:w="1134"/>
            <w:tcBorders>
              <w:top w:val="single" w:sz="8" w:color="000000"/>
              <w:bottom w:val="single" w:sz="4" w:color="000000"/>
            </w:tcBorders>
          </w:tcPr>
          <w:p>
            <w:pPr>
              <w:keepNext/>
              <w:spacing w:after="0"/>
              <w:jc w:val="left"/>
            </w:pPr>
            <w:r>
              <w:rPr>
                <w:b/>
                <w:sz w:val="15"/>
              </w:rPr>
              <w:t>Dataset</w:t>
            </w:r>
          </w:p>
        </w:tc>
        <w:tc>
          <w:tcPr>
            <w:tcW w:type="dxa" w:w="1020"/>
            <w:tcBorders>
              <w:top w:val="single" w:sz="8" w:color="000000"/>
              <w:bottom w:val="single" w:sz="4" w:color="000000"/>
            </w:tcBorders>
          </w:tcPr>
          <w:p>
            <w:pPr>
              <w:keepNext/>
              <w:spacing w:after="0"/>
              <w:jc w:val="center"/>
            </w:pPr>
            <w:r>
              <w:rPr>
                <w:b/>
                <w:sz w:val="15"/>
              </w:rPr>
              <w:t>TSFM</w:t>
            </w:r>
          </w:p>
        </w:tc>
        <w:tc>
          <w:tcPr>
            <w:tcW w:type="dxa" w:w="1361"/>
            <w:tcBorders>
              <w:top w:val="single" w:sz="8" w:color="000000"/>
              <w:bottom w:val="single" w:sz="4" w:color="000000"/>
            </w:tcBorders>
          </w:tcPr>
          <w:p>
            <w:pPr>
              <w:keepNext/>
              <w:spacing w:after="0"/>
              <w:jc w:val="center"/>
            </w:pPr>
            <w:r>
              <w:rPr>
                <w:b/>
                <w:sz w:val="15"/>
              </w:rPr>
              <w:t>Pembanding</w:t>
            </w:r>
          </w:p>
        </w:tc>
        <w:tc>
          <w:tcPr>
            <w:tcW w:type="dxa" w:w="510"/>
            <w:tcBorders>
              <w:top w:val="single" w:sz="8" w:color="000000"/>
              <w:bottom w:val="single" w:sz="4" w:color="000000"/>
            </w:tcBorders>
          </w:tcPr>
          <w:p>
            <w:pPr>
              <w:keepNext/>
              <w:spacing w:after="0"/>
              <w:jc w:val="center"/>
            </w:pPr>
            <w:r>
              <w:rPr>
                <w:b/>
                <w:sz w:val="15"/>
              </w:rPr>
              <w:t>n</w:t>
            </w:r>
          </w:p>
        </w:tc>
        <w:tc>
          <w:tcPr>
            <w:tcW w:type="dxa" w:w="1644"/>
            <w:tcBorders>
              <w:top w:val="single" w:sz="8" w:color="000000"/>
              <w:bottom w:val="single" w:sz="4" w:color="000000"/>
            </w:tcBorders>
          </w:tcPr>
          <w:p>
            <w:pPr>
              <w:keepNext/>
              <w:spacing w:after="0"/>
              <w:jc w:val="center"/>
            </w:pPr>
            <w:r>
              <w:rPr>
                <w:b/>
                <w:sz w:val="15"/>
              </w:rPr>
              <w:t>Rasio [CI 95%]</w:t>
            </w:r>
          </w:p>
        </w:tc>
        <w:tc>
          <w:tcPr>
            <w:tcW w:type="dxa" w:w="1247"/>
            <w:tcBorders>
              <w:top w:val="single" w:sz="8" w:color="000000"/>
              <w:bottom w:val="single" w:sz="4" w:color="000000"/>
            </w:tcBorders>
          </w:tcPr>
          <w:p>
            <w:pPr>
              <w:keepNext/>
              <w:spacing w:after="0"/>
              <w:jc w:val="center"/>
            </w:pPr>
            <w:r>
              <w:rPr>
                <w:b/>
                <w:sz w:val="15"/>
              </w:rPr>
              <w:t>p Wilcoxon</w:t>
            </w:r>
          </w:p>
        </w:tc>
        <w:tc>
          <w:tcPr>
            <w:tcW w:type="dxa" w:w="1247"/>
            <w:tcBorders>
              <w:top w:val="single" w:sz="8" w:color="000000"/>
              <w:bottom w:val="single" w:sz="4" w:color="000000"/>
            </w:tcBorders>
          </w:tcPr>
          <w:p>
            <w:pPr>
              <w:keepNext/>
              <w:spacing w:after="0"/>
              <w:jc w:val="center"/>
            </w:pPr>
            <w:r>
              <w:rPr>
                <w:b/>
                <w:sz w:val="15"/>
              </w:rPr>
              <w:t>p Holm</w:t>
            </w:r>
          </w:p>
        </w:tc>
      </w:tr>
      <w:tr>
        <w:tc>
          <w:tcPr>
            <w:tcW w:type="dxa" w:w="1134"/>
          </w:tcPr>
          <w:p>
            <w:pPr>
              <w:keepNext/>
              <w:spacing w:after="0"/>
              <w:jc w:val="left"/>
            </w:pPr>
            <w:r>
              <w:rPr>
                <w:sz w:val="15"/>
              </w:rPr>
              <w:t>Huawei 5m</w:t>
            </w:r>
          </w:p>
        </w:tc>
        <w:tc>
          <w:tcPr>
            <w:tcW w:type="dxa" w:w="1020"/>
          </w:tcPr>
          <w:p>
            <w:pPr>
              <w:keepNext/>
              <w:spacing w:after="0"/>
              <w:jc w:val="center"/>
            </w:pPr>
            <w:r>
              <w:rPr>
                <w:sz w:val="15"/>
              </w:rPr>
              <w:t>Chronos-2</w:t>
            </w:r>
          </w:p>
        </w:tc>
        <w:tc>
          <w:tcPr>
            <w:tcW w:type="dxa" w:w="1361"/>
          </w:tcPr>
          <w:p>
            <w:pPr>
              <w:keepNext/>
              <w:spacing w:after="0"/>
              <w:jc w:val="center"/>
            </w:pPr>
            <w:r>
              <w:rPr>
                <w:sz w:val="15"/>
              </w:rPr>
              <w:t>N-BEATS</w:t>
            </w:r>
          </w:p>
        </w:tc>
        <w:tc>
          <w:tcPr>
            <w:tcW w:type="dxa" w:w="510"/>
          </w:tcPr>
          <w:p>
            <w:pPr>
              <w:keepNext/>
              <w:spacing w:after="0"/>
              <w:jc w:val="center"/>
            </w:pPr>
            <w:r>
              <w:rPr>
                <w:sz w:val="15"/>
              </w:rPr>
              <w:t>50</w:t>
            </w:r>
          </w:p>
        </w:tc>
        <w:tc>
          <w:tcPr>
            <w:tcW w:type="dxa" w:w="1644"/>
          </w:tcPr>
          <w:p>
            <w:pPr>
              <w:keepNext/>
              <w:spacing w:after="0"/>
              <w:jc w:val="center"/>
            </w:pPr>
            <w:r>
              <w:rPr>
                <w:sz w:val="15"/>
              </w:rPr>
              <w:t>0,890 [0,86; 0,92]</w:t>
            </w:r>
          </w:p>
        </w:tc>
        <w:tc>
          <w:tcPr>
            <w:tcW w:type="dxa" w:w="1247"/>
          </w:tcPr>
          <w:p>
            <w:pPr>
              <w:keepNext/>
              <w:spacing w:after="0"/>
              <w:jc w:val="center"/>
            </w:pPr>
            <w:r>
              <w:rPr>
                <w:sz w:val="15"/>
              </w:rPr>
              <w:t>1,9 × 10⁻⁷</w:t>
            </w:r>
          </w:p>
        </w:tc>
        <w:tc>
          <w:tcPr>
            <w:tcW w:type="dxa" w:w="1247"/>
          </w:tcPr>
          <w:p>
            <w:pPr>
              <w:keepNext/>
              <w:spacing w:after="0"/>
              <w:jc w:val="center"/>
            </w:pPr>
            <w:r>
              <w:rPr>
                <w:sz w:val="15"/>
              </w:rPr>
              <w:t>4,3 × 10⁻⁷</w:t>
            </w:r>
          </w:p>
        </w:tc>
      </w:tr>
      <w:tr>
        <w:tc>
          <w:tcPr>
            <w:tcW w:type="dxa" w:w="1134"/>
          </w:tcPr>
          <w:p>
            <w:pPr>
              <w:keepNext/>
              <w:spacing w:after="0"/>
              <w:jc w:val="left"/>
            </w:pPr>
            <w:r>
              <w:rPr>
                <w:sz w:val="15"/>
              </w:rPr>
              <w:t>Alibaba 5m</w:t>
            </w:r>
          </w:p>
        </w:tc>
        <w:tc>
          <w:tcPr>
            <w:tcW w:type="dxa" w:w="1020"/>
          </w:tcPr>
          <w:p>
            <w:pPr>
              <w:keepNext/>
              <w:spacing w:after="0"/>
              <w:jc w:val="center"/>
            </w:pPr>
            <w:r>
              <w:rPr>
                <w:sz w:val="15"/>
              </w:rPr>
              <w:t>TimesFM-3</w:t>
            </w:r>
          </w:p>
        </w:tc>
        <w:tc>
          <w:tcPr>
            <w:tcW w:type="dxa" w:w="1361"/>
          </w:tcPr>
          <w:p>
            <w:pPr>
              <w:keepNext/>
              <w:spacing w:after="0"/>
              <w:jc w:val="center"/>
            </w:pPr>
            <w:r>
              <w:rPr>
                <w:sz w:val="15"/>
              </w:rPr>
              <w:t>MSTL-ARIMA</w:t>
            </w:r>
          </w:p>
        </w:tc>
        <w:tc>
          <w:tcPr>
            <w:tcW w:type="dxa" w:w="510"/>
          </w:tcPr>
          <w:p>
            <w:pPr>
              <w:keepNext/>
              <w:spacing w:after="0"/>
              <w:jc w:val="center"/>
            </w:pPr>
            <w:r>
              <w:rPr>
                <w:sz w:val="15"/>
              </w:rPr>
              <w:t>201</w:t>
            </w:r>
          </w:p>
        </w:tc>
        <w:tc>
          <w:tcPr>
            <w:tcW w:type="dxa" w:w="1644"/>
          </w:tcPr>
          <w:p>
            <w:pPr>
              <w:keepNext/>
              <w:spacing w:after="0"/>
              <w:jc w:val="center"/>
            </w:pPr>
            <w:r>
              <w:rPr>
                <w:sz w:val="15"/>
              </w:rPr>
              <w:t>0,933 [0,92; 0,94]</w:t>
            </w:r>
          </w:p>
        </w:tc>
        <w:tc>
          <w:tcPr>
            <w:tcW w:type="dxa" w:w="1247"/>
          </w:tcPr>
          <w:p>
            <w:pPr>
              <w:keepNext/>
              <w:spacing w:after="0"/>
              <w:jc w:val="center"/>
            </w:pPr>
            <w:r>
              <w:rPr>
                <w:sz w:val="15"/>
              </w:rPr>
              <w:t>1,8 × 10⁻³³</w:t>
            </w:r>
          </w:p>
        </w:tc>
        <w:tc>
          <w:tcPr>
            <w:tcW w:type="dxa" w:w="1247"/>
          </w:tcPr>
          <w:p>
            <w:pPr>
              <w:keepNext/>
              <w:spacing w:after="0"/>
              <w:jc w:val="center"/>
            </w:pPr>
            <w:r>
              <w:rPr>
                <w:sz w:val="15"/>
              </w:rPr>
              <w:t>7,3 × 10⁻³³</w:t>
            </w:r>
          </w:p>
        </w:tc>
      </w:tr>
      <w:tr>
        <w:tc>
          <w:tcPr>
            <w:tcW w:type="dxa" w:w="1134"/>
          </w:tcPr>
          <w:p>
            <w:pPr>
              <w:keepNext/>
              <w:spacing w:after="0"/>
              <w:jc w:val="left"/>
            </w:pPr>
            <w:r>
              <w:rPr>
                <w:sz w:val="15"/>
              </w:rPr>
              <w:t>Azure19 5m</w:t>
            </w:r>
          </w:p>
        </w:tc>
        <w:tc>
          <w:tcPr>
            <w:tcW w:type="dxa" w:w="1020"/>
          </w:tcPr>
          <w:p>
            <w:pPr>
              <w:keepNext/>
              <w:spacing w:after="0"/>
              <w:jc w:val="center"/>
            </w:pPr>
            <w:r>
              <w:rPr>
                <w:sz w:val="15"/>
              </w:rPr>
              <w:t>TimesFM-3</w:t>
            </w:r>
          </w:p>
        </w:tc>
        <w:tc>
          <w:tcPr>
            <w:tcW w:type="dxa" w:w="1361"/>
          </w:tcPr>
          <w:p>
            <w:pPr>
              <w:keepNext/>
              <w:spacing w:after="0"/>
              <w:jc w:val="center"/>
            </w:pPr>
            <w:r>
              <w:rPr>
                <w:sz w:val="15"/>
              </w:rPr>
              <w:t>N-BEATS</w:t>
            </w:r>
          </w:p>
        </w:tc>
        <w:tc>
          <w:tcPr>
            <w:tcW w:type="dxa" w:w="510"/>
          </w:tcPr>
          <w:p>
            <w:pPr>
              <w:keepNext/>
              <w:spacing w:after="0"/>
              <w:jc w:val="center"/>
            </w:pPr>
            <w:r>
              <w:rPr>
                <w:sz w:val="15"/>
              </w:rPr>
              <w:t>468</w:t>
            </w:r>
          </w:p>
        </w:tc>
        <w:tc>
          <w:tcPr>
            <w:tcW w:type="dxa" w:w="1644"/>
          </w:tcPr>
          <w:p>
            <w:pPr>
              <w:keepNext/>
              <w:spacing w:after="0"/>
              <w:jc w:val="center"/>
            </w:pPr>
            <w:r>
              <w:rPr>
                <w:sz w:val="15"/>
              </w:rPr>
              <w:t>0,800 [0,77; 0,83]</w:t>
            </w:r>
          </w:p>
        </w:tc>
        <w:tc>
          <w:tcPr>
            <w:tcW w:type="dxa" w:w="1247"/>
          </w:tcPr>
          <w:p>
            <w:pPr>
              <w:keepNext/>
              <w:spacing w:after="0"/>
              <w:jc w:val="center"/>
            </w:pPr>
            <w:r>
              <w:rPr>
                <w:sz w:val="15"/>
              </w:rPr>
              <w:t>4,3 × 10⁻⁵⁹</w:t>
            </w:r>
          </w:p>
        </w:tc>
        <w:tc>
          <w:tcPr>
            <w:tcW w:type="dxa" w:w="1247"/>
          </w:tcPr>
          <w:p>
            <w:pPr>
              <w:keepNext/>
              <w:spacing w:after="0"/>
              <w:jc w:val="center"/>
            </w:pPr>
            <w:r>
              <w:rPr>
                <w:sz w:val="15"/>
              </w:rPr>
              <w:t>2,1 × 10⁻⁵⁸</w:t>
            </w:r>
          </w:p>
        </w:tc>
      </w:tr>
      <w:tr>
        <w:tc>
          <w:tcPr>
            <w:tcW w:type="dxa" w:w="1134"/>
          </w:tcPr>
          <w:p>
            <w:pPr>
              <w:keepNext/>
              <w:spacing w:after="0"/>
              <w:jc w:val="left"/>
            </w:pPr>
            <w:r>
              <w:rPr>
                <w:sz w:val="15"/>
              </w:rPr>
              <w:t>Azure19 1m</w:t>
            </w:r>
          </w:p>
        </w:tc>
        <w:tc>
          <w:tcPr>
            <w:tcW w:type="dxa" w:w="1020"/>
          </w:tcPr>
          <w:p>
            <w:pPr>
              <w:keepNext/>
              <w:spacing w:after="0"/>
              <w:jc w:val="center"/>
            </w:pPr>
            <w:r>
              <w:rPr>
                <w:sz w:val="15"/>
              </w:rPr>
              <w:t>Toto</w:t>
            </w:r>
          </w:p>
        </w:tc>
        <w:tc>
          <w:tcPr>
            <w:tcW w:type="dxa" w:w="1361"/>
          </w:tcPr>
          <w:p>
            <w:pPr>
              <w:keepNext/>
              <w:spacing w:after="0"/>
              <w:jc w:val="center"/>
            </w:pPr>
            <w:r>
              <w:rPr>
                <w:sz w:val="15"/>
              </w:rPr>
              <w:t>N-BEATS</w:t>
            </w:r>
          </w:p>
        </w:tc>
        <w:tc>
          <w:tcPr>
            <w:tcW w:type="dxa" w:w="510"/>
          </w:tcPr>
          <w:p>
            <w:pPr>
              <w:keepNext/>
              <w:spacing w:after="0"/>
              <w:jc w:val="center"/>
            </w:pPr>
            <w:r>
              <w:rPr>
                <w:sz w:val="15"/>
              </w:rPr>
              <w:t>477</w:t>
            </w:r>
          </w:p>
        </w:tc>
        <w:tc>
          <w:tcPr>
            <w:tcW w:type="dxa" w:w="1644"/>
          </w:tcPr>
          <w:p>
            <w:pPr>
              <w:keepNext/>
              <w:spacing w:after="0"/>
              <w:jc w:val="center"/>
            </w:pPr>
            <w:r>
              <w:rPr>
                <w:sz w:val="15"/>
              </w:rPr>
              <w:t>0,758 [0,73; 0,79]</w:t>
            </w:r>
          </w:p>
        </w:tc>
        <w:tc>
          <w:tcPr>
            <w:tcW w:type="dxa" w:w="1247"/>
          </w:tcPr>
          <w:p>
            <w:pPr>
              <w:keepNext/>
              <w:spacing w:after="0"/>
              <w:jc w:val="center"/>
            </w:pPr>
            <w:r>
              <w:rPr>
                <w:sz w:val="15"/>
              </w:rPr>
              <w:t>7,6 × 10⁻⁶¹</w:t>
            </w:r>
          </w:p>
        </w:tc>
        <w:tc>
          <w:tcPr>
            <w:tcW w:type="dxa" w:w="1247"/>
          </w:tcPr>
          <w:p>
            <w:pPr>
              <w:keepNext/>
              <w:spacing w:after="0"/>
              <w:jc w:val="center"/>
            </w:pPr>
            <w:r>
              <w:rPr>
                <w:sz w:val="15"/>
              </w:rPr>
              <w:t>4,6 × 10⁻⁶⁰</w:t>
            </w:r>
          </w:p>
        </w:tc>
      </w:tr>
      <w:tr>
        <w:tc>
          <w:tcPr>
            <w:tcW w:type="dxa" w:w="1134"/>
          </w:tcPr>
          <w:p>
            <w:pPr>
              <w:keepNext/>
              <w:spacing w:after="0"/>
              <w:jc w:val="left"/>
            </w:pPr>
            <w:r>
              <w:rPr>
                <w:sz w:val="15"/>
              </w:rPr>
              <w:t>Azure21 5m</w:t>
            </w:r>
          </w:p>
        </w:tc>
        <w:tc>
          <w:tcPr>
            <w:tcW w:type="dxa" w:w="1020"/>
          </w:tcPr>
          <w:p>
            <w:pPr>
              <w:keepNext/>
              <w:spacing w:after="0"/>
              <w:jc w:val="center"/>
            </w:pPr>
            <w:r>
              <w:rPr>
                <w:sz w:val="15"/>
              </w:rPr>
              <w:t>TimesFM-3</w:t>
            </w:r>
          </w:p>
        </w:tc>
        <w:tc>
          <w:tcPr>
            <w:tcW w:type="dxa" w:w="1361"/>
          </w:tcPr>
          <w:p>
            <w:pPr>
              <w:keepNext/>
              <w:spacing w:after="0"/>
              <w:jc w:val="center"/>
            </w:pPr>
            <w:r>
              <w:rPr>
                <w:sz w:val="15"/>
              </w:rPr>
              <w:t>LSTM</w:t>
            </w:r>
          </w:p>
        </w:tc>
        <w:tc>
          <w:tcPr>
            <w:tcW w:type="dxa" w:w="510"/>
          </w:tcPr>
          <w:p>
            <w:pPr>
              <w:keepNext/>
              <w:spacing w:after="0"/>
              <w:jc w:val="center"/>
            </w:pPr>
            <w:r>
              <w:rPr>
                <w:sz w:val="15"/>
              </w:rPr>
              <w:t>77</w:t>
            </w:r>
          </w:p>
        </w:tc>
        <w:tc>
          <w:tcPr>
            <w:tcW w:type="dxa" w:w="1644"/>
          </w:tcPr>
          <w:p>
            <w:pPr>
              <w:keepNext/>
              <w:spacing w:after="0"/>
              <w:jc w:val="center"/>
            </w:pPr>
            <w:r>
              <w:rPr>
                <w:sz w:val="15"/>
              </w:rPr>
              <w:t>0,870 [0,76; 0,96]</w:t>
            </w:r>
          </w:p>
        </w:tc>
        <w:tc>
          <w:tcPr>
            <w:tcW w:type="dxa" w:w="1247"/>
          </w:tcPr>
          <w:p>
            <w:pPr>
              <w:keepNext/>
              <w:spacing w:after="0"/>
              <w:jc w:val="center"/>
            </w:pPr>
            <w:r>
              <w:rPr>
                <w:sz w:val="15"/>
              </w:rPr>
              <w:t>0,022</w:t>
            </w:r>
          </w:p>
        </w:tc>
        <w:tc>
          <w:tcPr>
            <w:tcW w:type="dxa" w:w="1247"/>
          </w:tcPr>
          <w:p>
            <w:pPr>
              <w:keepNext/>
              <w:spacing w:after="0"/>
              <w:jc w:val="center"/>
            </w:pPr>
            <w:r>
              <w:rPr>
                <w:sz w:val="15"/>
              </w:rPr>
              <w:t>0,022</w:t>
            </w:r>
          </w:p>
        </w:tc>
      </w:tr>
      <w:tr>
        <w:tc>
          <w:tcPr>
            <w:tcW w:type="dxa" w:w="1134"/>
            <w:tcBorders>
              <w:bottom w:val="single" w:sz="8" w:color="000000"/>
            </w:tcBorders>
          </w:tcPr>
          <w:p>
            <w:pPr>
              <w:keepNext w:val="0"/>
              <w:spacing w:after="0"/>
              <w:jc w:val="left"/>
            </w:pPr>
            <w:r>
              <w:rPr>
                <w:sz w:val="15"/>
              </w:rPr>
              <w:t>Azure21 1m</w:t>
            </w:r>
          </w:p>
        </w:tc>
        <w:tc>
          <w:tcPr>
            <w:tcW w:type="dxa" w:w="1020"/>
            <w:tcBorders>
              <w:bottom w:val="single" w:sz="8" w:color="000000"/>
            </w:tcBorders>
          </w:tcPr>
          <w:p>
            <w:pPr>
              <w:keepNext w:val="0"/>
              <w:spacing w:after="0"/>
              <w:jc w:val="center"/>
            </w:pPr>
            <w:r>
              <w:rPr>
                <w:sz w:val="15"/>
              </w:rPr>
              <w:t>Toto</w:t>
            </w:r>
          </w:p>
        </w:tc>
        <w:tc>
          <w:tcPr>
            <w:tcW w:type="dxa" w:w="1361"/>
            <w:tcBorders>
              <w:bottom w:val="single" w:sz="8" w:color="000000"/>
            </w:tcBorders>
          </w:tcPr>
          <w:p>
            <w:pPr>
              <w:keepNext w:val="0"/>
              <w:spacing w:after="0"/>
              <w:jc w:val="center"/>
            </w:pPr>
            <w:r>
              <w:rPr>
                <w:sz w:val="15"/>
              </w:rPr>
              <w:t>LightGBM</w:t>
            </w:r>
          </w:p>
        </w:tc>
        <w:tc>
          <w:tcPr>
            <w:tcW w:type="dxa" w:w="510"/>
            <w:tcBorders>
              <w:bottom w:val="single" w:sz="8" w:color="000000"/>
            </w:tcBorders>
          </w:tcPr>
          <w:p>
            <w:pPr>
              <w:keepNext w:val="0"/>
              <w:spacing w:after="0"/>
              <w:jc w:val="center"/>
            </w:pPr>
            <w:r>
              <w:rPr>
                <w:sz w:val="15"/>
              </w:rPr>
              <w:t>77</w:t>
            </w:r>
          </w:p>
        </w:tc>
        <w:tc>
          <w:tcPr>
            <w:tcW w:type="dxa" w:w="1644"/>
            <w:tcBorders>
              <w:bottom w:val="single" w:sz="8" w:color="000000"/>
            </w:tcBorders>
          </w:tcPr>
          <w:p>
            <w:pPr>
              <w:keepNext w:val="0"/>
              <w:spacing w:after="0"/>
              <w:jc w:val="center"/>
            </w:pPr>
            <w:r>
              <w:rPr>
                <w:sz w:val="15"/>
              </w:rPr>
              <w:t>0,743 [0,64; 0,84]</w:t>
            </w:r>
          </w:p>
        </w:tc>
        <w:tc>
          <w:tcPr>
            <w:tcW w:type="dxa" w:w="1247"/>
            <w:tcBorders>
              <w:bottom w:val="single" w:sz="8" w:color="000000"/>
            </w:tcBorders>
          </w:tcPr>
          <w:p>
            <w:pPr>
              <w:keepNext w:val="0"/>
              <w:spacing w:after="0"/>
              <w:jc w:val="center"/>
            </w:pPr>
            <w:r>
              <w:rPr>
                <w:sz w:val="15"/>
              </w:rPr>
              <w:t>1,4 × 10⁻⁷</w:t>
            </w:r>
          </w:p>
        </w:tc>
        <w:tc>
          <w:tcPr>
            <w:tcW w:type="dxa" w:w="1247"/>
            <w:tcBorders>
              <w:bottom w:val="single" w:sz="8" w:color="000000"/>
            </w:tcBorders>
          </w:tcPr>
          <w:p>
            <w:pPr>
              <w:keepNext w:val="0"/>
              <w:spacing w:after="0"/>
              <w:jc w:val="center"/>
            </w:pPr>
            <w:r>
              <w:rPr>
                <w:sz w:val="15"/>
              </w:rPr>
              <w:t>4,3 × 10⁻⁷</w:t>
            </w:r>
          </w:p>
        </w:tc>
      </w:tr>
    </w:tbl>
    <w:p>
      <w:pPr>
        <w:spacing w:after="40"/>
      </w:pPr>
    </w:p>
    <w:p>
      <w:pPr>
        <w:jc w:val="both"/>
      </w:pPr>
      <w:r>
        <w:rPr/>
        <w:t>Tabel 5 menguji selisih tersebut secara berpasangan. Pada keenam kombinasi, rasio galat TSFM terhadap pembanding berada di bawah 1 dengan interval kepercayaan yang tidak mencakup 1, dan selisihnya signifikan setelah koreksi Holm. Selisih paling lemah terdapat pada Azure 2021 resolusi 5 menit (TimesFM-3 terhadap LSTM, rasio 0,870 [0,76; 0,96], p Holm 0,022). Tumpang tindih interval pada Tabel 4 tidak cukup untuk menilai signifikansi karena kedua model dievaluasi pada deret yang sama. Pasangan yang dipilih pada validasi juga tidak selalu sama dengan model teratas pada Tabel 4. Pada Azure 2021 resolusi 5 menit, misalnya, pasangan yang diuji adalah TimesFM-3 dan LSTM, sedangkan model teratas pada periode uji adalah Toto.</w:t>
      </w:r>
    </w:p>
    <w:p>
      <w:pPr>
        <w:keepNext/>
      </w:pPr>
      <w:r>
        <w:rPr>
          <w:b/>
          <w:sz w:val="19"/>
        </w:rPr>
        <w:t>Tabel 6.</w:t>
      </w:r>
      <w:r>
        <w:rPr>
          <w:sz w:val="19"/>
        </w:rPr>
        <w:t xml:space="preserve"> Sensitivitas terhadap perlakuan galat nol: nilai TSFM terbaik / pembanding terbaik pada horizon terpanjang. Model terbaik dipilih ulang untuk setiap baris.</w:t>
      </w:r>
    </w:p>
    <w:tbl>
      <w:tblPr>
        <w:tblW w:type="auto" w:w="0"/>
        <w:jc w:val="center"/>
        <w:tblLayout w:type="fixed"/>
        <w:tblLook w:firstColumn="1" w:firstRow="1" w:lastColumn="0" w:lastRow="0" w:noHBand="0" w:noVBand="1" w:val="04A0"/>
        <w:tblLayout w:type="fixed"/>
      </w:tblPr>
      <w:tblGrid>
        <w:gridCol w:w="1928"/>
        <w:gridCol w:w="1191"/>
        <w:gridCol w:w="1191"/>
        <w:gridCol w:w="1191"/>
        <w:gridCol w:w="1191"/>
        <w:gridCol w:w="1191"/>
        <w:gridCol w:w="1191"/>
      </w:tblGrid>
      <w:tr>
        <w:tc>
          <w:tcPr>
            <w:tcW w:type="dxa" w:w="1928"/>
            <w:tcBorders>
              <w:top w:val="single" w:sz="8" w:color="000000"/>
              <w:bottom w:val="single" w:sz="4" w:color="000000"/>
            </w:tcBorders>
          </w:tcPr>
          <w:p>
            <w:pPr>
              <w:keepNext/>
              <w:spacing w:after="0"/>
              <w:jc w:val="left"/>
            </w:pPr>
            <w:r>
              <w:rPr>
                <w:b/>
                <w:sz w:val="14"/>
              </w:rPr>
              <w:t>Perlakuan galat nol</w:t>
            </w:r>
          </w:p>
        </w:tc>
        <w:tc>
          <w:tcPr>
            <w:tcW w:type="dxa" w:w="1191"/>
            <w:tcBorders>
              <w:top w:val="single" w:sz="8" w:color="000000"/>
              <w:bottom w:val="single" w:sz="4" w:color="000000"/>
            </w:tcBorders>
          </w:tcPr>
          <w:p>
            <w:pPr>
              <w:keepNext/>
              <w:spacing w:after="0"/>
              <w:jc w:val="center"/>
            </w:pPr>
            <w:r>
              <w:rPr>
                <w:b/>
                <w:sz w:val="14"/>
              </w:rPr>
              <w:t>Huawei 5m</w:t>
            </w:r>
          </w:p>
        </w:tc>
        <w:tc>
          <w:tcPr>
            <w:tcW w:type="dxa" w:w="1191"/>
            <w:tcBorders>
              <w:top w:val="single" w:sz="8" w:color="000000"/>
              <w:bottom w:val="single" w:sz="4" w:color="000000"/>
            </w:tcBorders>
          </w:tcPr>
          <w:p>
            <w:pPr>
              <w:keepNext/>
              <w:spacing w:after="0"/>
              <w:jc w:val="center"/>
            </w:pPr>
            <w:r>
              <w:rPr>
                <w:b/>
                <w:sz w:val="14"/>
              </w:rPr>
              <w:t>Alibaba 5m</w:t>
            </w:r>
          </w:p>
        </w:tc>
        <w:tc>
          <w:tcPr>
            <w:tcW w:type="dxa" w:w="1191"/>
            <w:tcBorders>
              <w:top w:val="single" w:sz="8" w:color="000000"/>
              <w:bottom w:val="single" w:sz="4" w:color="000000"/>
            </w:tcBorders>
          </w:tcPr>
          <w:p>
            <w:pPr>
              <w:keepNext/>
              <w:spacing w:after="0"/>
              <w:jc w:val="center"/>
            </w:pPr>
            <w:r>
              <w:rPr>
                <w:b/>
                <w:sz w:val="14"/>
              </w:rPr>
              <w:t>Azure19 5m</w:t>
            </w:r>
          </w:p>
        </w:tc>
        <w:tc>
          <w:tcPr>
            <w:tcW w:type="dxa" w:w="1191"/>
            <w:tcBorders>
              <w:top w:val="single" w:sz="8" w:color="000000"/>
              <w:bottom w:val="single" w:sz="4" w:color="000000"/>
            </w:tcBorders>
          </w:tcPr>
          <w:p>
            <w:pPr>
              <w:keepNext/>
              <w:spacing w:after="0"/>
              <w:jc w:val="center"/>
            </w:pPr>
            <w:r>
              <w:rPr>
                <w:b/>
                <w:sz w:val="14"/>
              </w:rPr>
              <w:t>Azure19 1m</w:t>
            </w:r>
          </w:p>
        </w:tc>
        <w:tc>
          <w:tcPr>
            <w:tcW w:type="dxa" w:w="1191"/>
            <w:tcBorders>
              <w:top w:val="single" w:sz="8" w:color="000000"/>
              <w:bottom w:val="single" w:sz="4" w:color="000000"/>
            </w:tcBorders>
          </w:tcPr>
          <w:p>
            <w:pPr>
              <w:keepNext/>
              <w:spacing w:after="0"/>
              <w:jc w:val="center"/>
            </w:pPr>
            <w:r>
              <w:rPr>
                <w:b/>
                <w:sz w:val="14"/>
              </w:rPr>
              <w:t>Azure21 5m</w:t>
            </w:r>
          </w:p>
        </w:tc>
        <w:tc>
          <w:tcPr>
            <w:tcW w:type="dxa" w:w="1191"/>
            <w:tcBorders>
              <w:top w:val="single" w:sz="8" w:color="000000"/>
              <w:bottom w:val="single" w:sz="4" w:color="000000"/>
            </w:tcBorders>
          </w:tcPr>
          <w:p>
            <w:pPr>
              <w:keepNext/>
              <w:spacing w:after="0"/>
              <w:jc w:val="center"/>
            </w:pPr>
            <w:r>
              <w:rPr>
                <w:b/>
                <w:sz w:val="14"/>
              </w:rPr>
              <w:t>Azure21 1m</w:t>
            </w:r>
          </w:p>
        </w:tc>
      </w:tr>
      <w:tr>
        <w:tc>
          <w:tcPr>
            <w:tcW w:type="dxa" w:w="1928"/>
          </w:tcPr>
          <w:p>
            <w:pPr>
              <w:keepNext/>
              <w:spacing w:after="0"/>
              <w:jc w:val="left"/>
            </w:pPr>
            <w:r>
              <w:rPr>
                <w:sz w:val="14"/>
              </w:rPr>
              <w:t>batas bawah 10⁻⁹</w:t>
            </w:r>
          </w:p>
        </w:tc>
        <w:tc>
          <w:tcPr>
            <w:tcW w:type="dxa" w:w="1191"/>
          </w:tcPr>
          <w:p>
            <w:pPr>
              <w:keepNext/>
              <w:spacing w:after="0"/>
              <w:jc w:val="center"/>
            </w:pPr>
            <w:r>
              <w:rPr>
                <w:sz w:val="14"/>
              </w:rPr>
              <w:t>0,467 / 0,525</w:t>
            </w:r>
          </w:p>
        </w:tc>
        <w:tc>
          <w:tcPr>
            <w:tcW w:type="dxa" w:w="1191"/>
          </w:tcPr>
          <w:p>
            <w:pPr>
              <w:keepNext/>
              <w:spacing w:after="0"/>
              <w:jc w:val="center"/>
            </w:pPr>
            <w:r>
              <w:rPr>
                <w:sz w:val="14"/>
              </w:rPr>
              <w:t>0,610 / 0,653</w:t>
            </w:r>
          </w:p>
        </w:tc>
        <w:tc>
          <w:tcPr>
            <w:tcW w:type="dxa" w:w="1191"/>
          </w:tcPr>
          <w:p>
            <w:pPr>
              <w:keepNext/>
              <w:spacing w:after="0"/>
              <w:jc w:val="center"/>
            </w:pPr>
            <w:r>
              <w:rPr>
                <w:sz w:val="14"/>
              </w:rPr>
              <w:t>0,468 / 0,586</w:t>
            </w:r>
          </w:p>
        </w:tc>
        <w:tc>
          <w:tcPr>
            <w:tcW w:type="dxa" w:w="1191"/>
          </w:tcPr>
          <w:p>
            <w:pPr>
              <w:keepNext/>
              <w:spacing w:after="0"/>
              <w:jc w:val="center"/>
            </w:pPr>
            <w:r>
              <w:rPr>
                <w:sz w:val="14"/>
              </w:rPr>
              <w:t>0,550 / 0,732</w:t>
            </w:r>
          </w:p>
        </w:tc>
        <w:tc>
          <w:tcPr>
            <w:tcW w:type="dxa" w:w="1191"/>
          </w:tcPr>
          <w:p>
            <w:pPr>
              <w:keepNext/>
              <w:spacing w:after="0"/>
              <w:jc w:val="center"/>
            </w:pPr>
            <w:r>
              <w:rPr>
                <w:sz w:val="14"/>
              </w:rPr>
              <w:t>0,244 / 0,067</w:t>
            </w:r>
          </w:p>
        </w:tc>
        <w:tc>
          <w:tcPr>
            <w:tcW w:type="dxa" w:w="1191"/>
          </w:tcPr>
          <w:p>
            <w:pPr>
              <w:keepNext/>
              <w:spacing w:after="0"/>
              <w:jc w:val="center"/>
            </w:pPr>
            <w:r>
              <w:rPr>
                <w:sz w:val="14"/>
              </w:rPr>
              <w:t>0,271 / 0,081</w:t>
            </w:r>
          </w:p>
        </w:tc>
      </w:tr>
      <w:tr>
        <w:tc>
          <w:tcPr>
            <w:tcW w:type="dxa" w:w="1928"/>
          </w:tcPr>
          <w:p>
            <w:pPr>
              <w:keepNext/>
              <w:spacing w:after="0"/>
              <w:jc w:val="left"/>
            </w:pPr>
            <w:r>
              <w:rPr>
                <w:sz w:val="14"/>
              </w:rPr>
              <w:t>batas bawah 0,001</w:t>
            </w:r>
          </w:p>
        </w:tc>
        <w:tc>
          <w:tcPr>
            <w:tcW w:type="dxa" w:w="1191"/>
          </w:tcPr>
          <w:p>
            <w:pPr>
              <w:keepNext/>
              <w:spacing w:after="0"/>
              <w:jc w:val="center"/>
            </w:pPr>
            <w:r>
              <w:rPr>
                <w:sz w:val="14"/>
              </w:rPr>
              <w:t>0,467 / 0,525</w:t>
            </w:r>
          </w:p>
        </w:tc>
        <w:tc>
          <w:tcPr>
            <w:tcW w:type="dxa" w:w="1191"/>
          </w:tcPr>
          <w:p>
            <w:pPr>
              <w:keepNext/>
              <w:spacing w:after="0"/>
              <w:jc w:val="center"/>
            </w:pPr>
            <w:r>
              <w:rPr>
                <w:sz w:val="14"/>
              </w:rPr>
              <w:t>0,610 / 0,653</w:t>
            </w:r>
          </w:p>
        </w:tc>
        <w:tc>
          <w:tcPr>
            <w:tcW w:type="dxa" w:w="1191"/>
          </w:tcPr>
          <w:p>
            <w:pPr>
              <w:keepNext/>
              <w:spacing w:after="0"/>
              <w:jc w:val="center"/>
            </w:pPr>
            <w:r>
              <w:rPr>
                <w:sz w:val="14"/>
              </w:rPr>
              <w:t>0,468 / 0,586</w:t>
            </w:r>
          </w:p>
        </w:tc>
        <w:tc>
          <w:tcPr>
            <w:tcW w:type="dxa" w:w="1191"/>
          </w:tcPr>
          <w:p>
            <w:pPr>
              <w:keepNext/>
              <w:spacing w:after="0"/>
              <w:jc w:val="center"/>
            </w:pPr>
            <w:r>
              <w:rPr>
                <w:sz w:val="14"/>
              </w:rPr>
              <w:t>0,550 / 0,732</w:t>
            </w:r>
          </w:p>
        </w:tc>
        <w:tc>
          <w:tcPr>
            <w:tcW w:type="dxa" w:w="1191"/>
          </w:tcPr>
          <w:p>
            <w:pPr>
              <w:keepNext/>
              <w:spacing w:after="0"/>
              <w:jc w:val="center"/>
            </w:pPr>
            <w:r>
              <w:rPr>
                <w:sz w:val="14"/>
              </w:rPr>
              <w:t>0,260 / 0,281</w:t>
            </w:r>
          </w:p>
        </w:tc>
        <w:tc>
          <w:tcPr>
            <w:tcW w:type="dxa" w:w="1191"/>
          </w:tcPr>
          <w:p>
            <w:pPr>
              <w:keepNext/>
              <w:spacing w:after="0"/>
              <w:jc w:val="center"/>
            </w:pPr>
            <w:r>
              <w:rPr>
                <w:sz w:val="14"/>
              </w:rPr>
              <w:t>0,275 / 0,339</w:t>
            </w:r>
          </w:p>
        </w:tc>
      </w:tr>
      <w:tr>
        <w:tc>
          <w:tcPr>
            <w:tcW w:type="dxa" w:w="1928"/>
          </w:tcPr>
          <w:p>
            <w:pPr>
              <w:keepNext/>
              <w:spacing w:after="0"/>
              <w:jc w:val="left"/>
            </w:pPr>
            <w:r>
              <w:rPr>
                <w:sz w:val="14"/>
              </w:rPr>
              <w:t>batas bawah 0,01 (utama)</w:t>
            </w:r>
          </w:p>
        </w:tc>
        <w:tc>
          <w:tcPr>
            <w:tcW w:type="dxa" w:w="1191"/>
          </w:tcPr>
          <w:p>
            <w:pPr>
              <w:keepNext/>
              <w:spacing w:after="0"/>
              <w:jc w:val="center"/>
            </w:pPr>
            <w:r>
              <w:rPr>
                <w:sz w:val="14"/>
              </w:rPr>
              <w:t>0,467 / 0,525</w:t>
            </w:r>
          </w:p>
        </w:tc>
        <w:tc>
          <w:tcPr>
            <w:tcW w:type="dxa" w:w="1191"/>
          </w:tcPr>
          <w:p>
            <w:pPr>
              <w:keepNext/>
              <w:spacing w:after="0"/>
              <w:jc w:val="center"/>
            </w:pPr>
            <w:r>
              <w:rPr>
                <w:sz w:val="14"/>
              </w:rPr>
              <w:t>0,610 / 0,653</w:t>
            </w:r>
          </w:p>
        </w:tc>
        <w:tc>
          <w:tcPr>
            <w:tcW w:type="dxa" w:w="1191"/>
          </w:tcPr>
          <w:p>
            <w:pPr>
              <w:keepNext/>
              <w:spacing w:after="0"/>
              <w:jc w:val="center"/>
            </w:pPr>
            <w:r>
              <w:rPr>
                <w:sz w:val="14"/>
              </w:rPr>
              <w:t>0,469 / 0,586</w:t>
            </w:r>
          </w:p>
        </w:tc>
        <w:tc>
          <w:tcPr>
            <w:tcW w:type="dxa" w:w="1191"/>
          </w:tcPr>
          <w:p>
            <w:pPr>
              <w:keepNext/>
              <w:spacing w:after="0"/>
              <w:jc w:val="center"/>
            </w:pPr>
            <w:r>
              <w:rPr>
                <w:sz w:val="14"/>
              </w:rPr>
              <w:t>0,556 / 0,734</w:t>
            </w:r>
          </w:p>
        </w:tc>
        <w:tc>
          <w:tcPr>
            <w:tcW w:type="dxa" w:w="1191"/>
          </w:tcPr>
          <w:p>
            <w:pPr>
              <w:keepNext/>
              <w:spacing w:after="0"/>
              <w:jc w:val="center"/>
            </w:pPr>
            <w:r>
              <w:rPr>
                <w:sz w:val="14"/>
              </w:rPr>
              <w:t>0,313 / 0,364</w:t>
            </w:r>
          </w:p>
        </w:tc>
        <w:tc>
          <w:tcPr>
            <w:tcW w:type="dxa" w:w="1191"/>
          </w:tcPr>
          <w:p>
            <w:pPr>
              <w:keepNext/>
              <w:spacing w:after="0"/>
              <w:jc w:val="center"/>
            </w:pPr>
            <w:r>
              <w:rPr>
                <w:sz w:val="14"/>
              </w:rPr>
              <w:t>0,330 / 0,439</w:t>
            </w:r>
          </w:p>
        </w:tc>
      </w:tr>
      <w:tr>
        <w:tc>
          <w:tcPr>
            <w:tcW w:type="dxa" w:w="1928"/>
          </w:tcPr>
          <w:p>
            <w:pPr>
              <w:keepNext/>
              <w:spacing w:after="0"/>
              <w:jc w:val="left"/>
            </w:pPr>
            <w:r>
              <w:rPr>
                <w:sz w:val="14"/>
              </w:rPr>
              <w:t>batas bawah 0,1</w:t>
            </w:r>
          </w:p>
        </w:tc>
        <w:tc>
          <w:tcPr>
            <w:tcW w:type="dxa" w:w="1191"/>
          </w:tcPr>
          <w:p>
            <w:pPr>
              <w:keepNext/>
              <w:spacing w:after="0"/>
              <w:jc w:val="center"/>
            </w:pPr>
            <w:r>
              <w:rPr>
                <w:sz w:val="14"/>
              </w:rPr>
              <w:t>0,470 / 0,525</w:t>
            </w:r>
          </w:p>
        </w:tc>
        <w:tc>
          <w:tcPr>
            <w:tcW w:type="dxa" w:w="1191"/>
          </w:tcPr>
          <w:p>
            <w:pPr>
              <w:keepNext/>
              <w:spacing w:after="0"/>
              <w:jc w:val="center"/>
            </w:pPr>
            <w:r>
              <w:rPr>
                <w:sz w:val="14"/>
              </w:rPr>
              <w:t>0,610 / 0,653</w:t>
            </w:r>
          </w:p>
        </w:tc>
        <w:tc>
          <w:tcPr>
            <w:tcW w:type="dxa" w:w="1191"/>
          </w:tcPr>
          <w:p>
            <w:pPr>
              <w:keepNext/>
              <w:spacing w:after="0"/>
              <w:jc w:val="center"/>
            </w:pPr>
            <w:r>
              <w:rPr>
                <w:sz w:val="14"/>
              </w:rPr>
              <w:t>0,498 / 0,613</w:t>
            </w:r>
          </w:p>
        </w:tc>
        <w:tc>
          <w:tcPr>
            <w:tcW w:type="dxa" w:w="1191"/>
          </w:tcPr>
          <w:p>
            <w:pPr>
              <w:keepNext/>
              <w:spacing w:after="0"/>
              <w:jc w:val="center"/>
            </w:pPr>
            <w:r>
              <w:rPr>
                <w:sz w:val="14"/>
              </w:rPr>
              <w:t>0,589 / 0,760</w:t>
            </w:r>
          </w:p>
        </w:tc>
        <w:tc>
          <w:tcPr>
            <w:tcW w:type="dxa" w:w="1191"/>
          </w:tcPr>
          <w:p>
            <w:pPr>
              <w:keepNext/>
              <w:spacing w:after="0"/>
              <w:jc w:val="center"/>
            </w:pPr>
            <w:r>
              <w:rPr>
                <w:sz w:val="14"/>
              </w:rPr>
              <w:t>0,417 / 0,478</w:t>
            </w:r>
          </w:p>
        </w:tc>
        <w:tc>
          <w:tcPr>
            <w:tcW w:type="dxa" w:w="1191"/>
          </w:tcPr>
          <w:p>
            <w:pPr>
              <w:keepNext/>
              <w:spacing w:after="0"/>
              <w:jc w:val="center"/>
            </w:pPr>
            <w:r>
              <w:rPr>
                <w:sz w:val="14"/>
              </w:rPr>
              <w:t>0,438 / 0,565</w:t>
            </w:r>
          </w:p>
        </w:tc>
      </w:tr>
      <w:tr>
        <w:tc>
          <w:tcPr>
            <w:tcW w:type="dxa" w:w="1928"/>
          </w:tcPr>
          <w:p>
            <w:pPr>
              <w:keepNext/>
              <w:spacing w:after="0"/>
              <w:jc w:val="left"/>
            </w:pPr>
            <w:r>
              <w:rPr>
                <w:sz w:val="14"/>
              </w:rPr>
              <w:t>rasio jumlah galat</w:t>
            </w:r>
          </w:p>
        </w:tc>
        <w:tc>
          <w:tcPr>
            <w:tcW w:type="dxa" w:w="1191"/>
          </w:tcPr>
          <w:p>
            <w:pPr>
              <w:keepNext/>
              <w:spacing w:after="0"/>
              <w:jc w:val="center"/>
            </w:pPr>
            <w:r>
              <w:rPr>
                <w:sz w:val="14"/>
              </w:rPr>
              <w:t>0,415 / 0,479</w:t>
            </w:r>
          </w:p>
        </w:tc>
        <w:tc>
          <w:tcPr>
            <w:tcW w:type="dxa" w:w="1191"/>
          </w:tcPr>
          <w:p>
            <w:pPr>
              <w:keepNext/>
              <w:spacing w:after="0"/>
              <w:jc w:val="center"/>
            </w:pPr>
            <w:r>
              <w:rPr>
                <w:sz w:val="14"/>
              </w:rPr>
              <w:t>0,616 / 0,657</w:t>
            </w:r>
          </w:p>
        </w:tc>
        <w:tc>
          <w:tcPr>
            <w:tcW w:type="dxa" w:w="1191"/>
          </w:tcPr>
          <w:p>
            <w:pPr>
              <w:keepNext/>
              <w:spacing w:after="0"/>
              <w:jc w:val="center"/>
            </w:pPr>
            <w:r>
              <w:rPr>
                <w:sz w:val="14"/>
              </w:rPr>
              <w:t>0,260 / 0,306</w:t>
            </w:r>
          </w:p>
        </w:tc>
        <w:tc>
          <w:tcPr>
            <w:tcW w:type="dxa" w:w="1191"/>
          </w:tcPr>
          <w:p>
            <w:pPr>
              <w:keepNext/>
              <w:spacing w:after="0"/>
              <w:jc w:val="center"/>
            </w:pPr>
            <w:r>
              <w:rPr>
                <w:sz w:val="14"/>
              </w:rPr>
              <w:t>0,332 / 0,413</w:t>
            </w:r>
          </w:p>
        </w:tc>
        <w:tc>
          <w:tcPr>
            <w:tcW w:type="dxa" w:w="1191"/>
          </w:tcPr>
          <w:p>
            <w:pPr>
              <w:keepNext/>
              <w:spacing w:after="0"/>
              <w:jc w:val="center"/>
            </w:pPr>
            <w:r>
              <w:rPr>
                <w:sz w:val="14"/>
              </w:rPr>
              <w:t>0,395 / 0,424</w:t>
            </w:r>
          </w:p>
        </w:tc>
        <w:tc>
          <w:tcPr>
            <w:tcW w:type="dxa" w:w="1191"/>
          </w:tcPr>
          <w:p>
            <w:pPr>
              <w:keepNext/>
              <w:spacing w:after="0"/>
              <w:jc w:val="center"/>
            </w:pPr>
            <w:r>
              <w:rPr>
                <w:sz w:val="14"/>
              </w:rPr>
              <w:t>0,425 / 0,453</w:t>
            </w:r>
          </w:p>
        </w:tc>
      </w:tr>
      <w:tr>
        <w:tc>
          <w:tcPr>
            <w:tcW w:type="dxa" w:w="1928"/>
            <w:tcBorders>
              <w:bottom w:val="single" w:sz="8" w:color="000000"/>
            </w:tcBorders>
          </w:tcPr>
          <w:p>
            <w:pPr>
              <w:keepNext w:val="0"/>
              <w:spacing w:after="0"/>
              <w:jc w:val="left"/>
            </w:pPr>
            <w:r>
              <w:rPr>
                <w:sz w:val="14"/>
              </w:rPr>
              <w:t>median rasio</w:t>
            </w:r>
          </w:p>
        </w:tc>
        <w:tc>
          <w:tcPr>
            <w:tcW w:type="dxa" w:w="1191"/>
            <w:tcBorders>
              <w:bottom w:val="single" w:sz="8" w:color="000000"/>
            </w:tcBorders>
          </w:tcPr>
          <w:p>
            <w:pPr>
              <w:keepNext w:val="0"/>
              <w:spacing w:after="0"/>
              <w:jc w:val="center"/>
            </w:pPr>
            <w:r>
              <w:rPr>
                <w:sz w:val="14"/>
              </w:rPr>
              <w:t>0,523 / 0,544</w:t>
            </w:r>
          </w:p>
        </w:tc>
        <w:tc>
          <w:tcPr>
            <w:tcW w:type="dxa" w:w="1191"/>
            <w:tcBorders>
              <w:bottom w:val="single" w:sz="8" w:color="000000"/>
            </w:tcBorders>
          </w:tcPr>
          <w:p>
            <w:pPr>
              <w:keepNext w:val="0"/>
              <w:spacing w:after="0"/>
              <w:jc w:val="center"/>
            </w:pPr>
            <w:r>
              <w:rPr>
                <w:sz w:val="14"/>
              </w:rPr>
              <w:t>0,644 / 0,678</w:t>
            </w:r>
          </w:p>
        </w:tc>
        <w:tc>
          <w:tcPr>
            <w:tcW w:type="dxa" w:w="1191"/>
            <w:tcBorders>
              <w:bottom w:val="single" w:sz="8" w:color="000000"/>
            </w:tcBorders>
          </w:tcPr>
          <w:p>
            <w:pPr>
              <w:keepNext w:val="0"/>
              <w:spacing w:after="0"/>
              <w:jc w:val="center"/>
            </w:pPr>
            <w:r>
              <w:rPr>
                <w:sz w:val="14"/>
              </w:rPr>
              <w:t>0,578 / 0,659</w:t>
            </w:r>
          </w:p>
        </w:tc>
        <w:tc>
          <w:tcPr>
            <w:tcW w:type="dxa" w:w="1191"/>
            <w:tcBorders>
              <w:bottom w:val="single" w:sz="8" w:color="000000"/>
            </w:tcBorders>
          </w:tcPr>
          <w:p>
            <w:pPr>
              <w:keepNext w:val="0"/>
              <w:spacing w:after="0"/>
              <w:jc w:val="center"/>
            </w:pPr>
            <w:r>
              <w:rPr>
                <w:sz w:val="14"/>
              </w:rPr>
              <w:t>0,624 / 0,689</w:t>
            </w:r>
          </w:p>
        </w:tc>
        <w:tc>
          <w:tcPr>
            <w:tcW w:type="dxa" w:w="1191"/>
            <w:tcBorders>
              <w:bottom w:val="single" w:sz="8" w:color="000000"/>
            </w:tcBorders>
          </w:tcPr>
          <w:p>
            <w:pPr>
              <w:keepNext w:val="0"/>
              <w:spacing w:after="0"/>
              <w:jc w:val="center"/>
            </w:pPr>
            <w:r>
              <w:rPr>
                <w:sz w:val="14"/>
              </w:rPr>
              <w:t>0,500 / 0,502</w:t>
            </w:r>
          </w:p>
        </w:tc>
        <w:tc>
          <w:tcPr>
            <w:tcW w:type="dxa" w:w="1191"/>
            <w:tcBorders>
              <w:bottom w:val="single" w:sz="8" w:color="000000"/>
            </w:tcBorders>
          </w:tcPr>
          <w:p>
            <w:pPr>
              <w:keepNext w:val="0"/>
              <w:spacing w:after="0"/>
              <w:jc w:val="center"/>
            </w:pPr>
            <w:r>
              <w:rPr>
                <w:sz w:val="14"/>
              </w:rPr>
              <w:t>0,506 / 0,511</w:t>
            </w:r>
          </w:p>
        </w:tc>
      </w:tr>
    </w:tbl>
    <w:p>
      <w:pPr>
        <w:spacing w:after="40"/>
      </w:pPr>
    </w:p>
    <w:p>
      <w:pPr>
        <w:jc w:val="both"/>
      </w:pPr>
      <w:r>
        <w:rPr/>
        <w:t>Tabel 6 memperlihatkan bahwa arah hasil bertahan pada setiap perlakuan galat nol yang masuk akal. Pada empat kombinasi data padat, nilai TSFM hampir sama untuk batas bawah 10⁻⁹ sampai 0,01, dan TSFM tetap lebih baik pada semua baris. Pada Azure 2021, TSFM tetap lebih baik dengan batas bawah 0,001 sampai 0,1 dan menurut rasio jumlah galat, tetapi menurut median rasio selisihnya hampir nol (0,500 dan 0,502 pada resolusi 5 menit; 0,506 dan 0,511 pada 1 menit). Hasil berbalik hanya dengan batas bawah 10⁻⁹. Pada nilai itu, delapan deret dengan MAE model tepat nol masing-masing menyumbang log rasio sekitar −20,7, sehingga rata-rata geometrik ditentukan oleh segelintir deret. Keunggulan TSFM pada Azure 2021 dengan demikian nyata tetapi kecil, dan didorong terutama oleh aplikasi yang aktif.</w:t>
      </w:r>
    </w:p>
    <w:p>
      <w:pPr>
        <w:keepNext/>
      </w:pPr>
      <w:r>
        <w:rPr>
          <w:b/>
          <w:sz w:val="19"/>
        </w:rPr>
        <w:t>Tabel 7.</w:t>
      </w:r>
      <w:r>
        <w:rPr>
          <w:sz w:val="19"/>
        </w:rPr>
        <w:t xml:space="preserve"> Uji Friedman (dengan koreksi nilai seri) dan Nemenyi pada horizon terpanjang. n adalah jumlah deret yang diuji setelah deret dengan MAE </w:t>
      </w:r>
      <w:r>
        <w:rPr>
          <w:i/>
          <w:sz w:val="19"/>
        </w:rPr>
        <w:t>seasonal naive</w:t>
      </w:r>
      <w:r>
        <w:rPr>
          <w:sz w:val="19"/>
        </w:rPr>
        <w:t xml:space="preserve"> nol dikeluarkan, dan k adalah jumlah model. Nilai p dihitung dengan presisi tinggi dan dibulatkan ke pangkat sepuluh terdekat.</w:t>
      </w:r>
    </w:p>
    <w:tbl>
      <w:tblPr>
        <w:tblW w:type="auto" w:w="0"/>
        <w:jc w:val="center"/>
        <w:tblLayout w:type="fixed"/>
        <w:tblLook w:firstColumn="1" w:firstRow="1" w:lastColumn="0" w:lastRow="0" w:noHBand="0" w:noVBand="1" w:val="04A0"/>
        <w:tblLayout w:type="fixed"/>
      </w:tblPr>
      <w:tblGrid>
        <w:gridCol w:w="1247"/>
        <w:gridCol w:w="567"/>
        <w:gridCol w:w="510"/>
        <w:gridCol w:w="907"/>
        <w:gridCol w:w="794"/>
        <w:gridCol w:w="624"/>
        <w:gridCol w:w="1928"/>
        <w:gridCol w:w="1928"/>
      </w:tblGrid>
      <w:tr>
        <w:tc>
          <w:tcPr>
            <w:tcW w:type="dxa" w:w="1247"/>
            <w:tcBorders>
              <w:top w:val="single" w:sz="8" w:color="000000"/>
              <w:bottom w:val="single" w:sz="4" w:color="000000"/>
            </w:tcBorders>
          </w:tcPr>
          <w:p>
            <w:pPr>
              <w:keepNext/>
              <w:spacing w:after="0"/>
              <w:jc w:val="left"/>
            </w:pPr>
            <w:r>
              <w:rPr>
                <w:b/>
                <w:sz w:val="15"/>
              </w:rPr>
              <w:t>Dataset</w:t>
            </w:r>
          </w:p>
        </w:tc>
        <w:tc>
          <w:tcPr>
            <w:tcW w:type="dxa" w:w="567"/>
            <w:tcBorders>
              <w:top w:val="single" w:sz="8" w:color="000000"/>
              <w:bottom w:val="single" w:sz="4" w:color="000000"/>
            </w:tcBorders>
          </w:tcPr>
          <w:p>
            <w:pPr>
              <w:keepNext/>
              <w:spacing w:after="0"/>
              <w:jc w:val="center"/>
            </w:pPr>
            <w:r>
              <w:rPr>
                <w:b/>
                <w:sz w:val="15"/>
              </w:rPr>
              <w:t>n</w:t>
            </w:r>
          </w:p>
        </w:tc>
        <w:tc>
          <w:tcPr>
            <w:tcW w:type="dxa" w:w="510"/>
            <w:tcBorders>
              <w:top w:val="single" w:sz="8" w:color="000000"/>
              <w:bottom w:val="single" w:sz="4" w:color="000000"/>
            </w:tcBorders>
          </w:tcPr>
          <w:p>
            <w:pPr>
              <w:keepNext/>
              <w:spacing w:after="0"/>
              <w:jc w:val="center"/>
            </w:pPr>
            <w:r>
              <w:rPr>
                <w:b/>
                <w:sz w:val="15"/>
              </w:rPr>
              <w:t>k</w:t>
            </w:r>
          </w:p>
        </w:tc>
        <w:tc>
          <w:tcPr>
            <w:tcW w:type="dxa" w:w="907"/>
            <w:tcBorders>
              <w:top w:val="single" w:sz="8" w:color="000000"/>
              <w:bottom w:val="single" w:sz="4" w:color="000000"/>
            </w:tcBorders>
          </w:tcPr>
          <w:p>
            <w:pPr>
              <w:keepNext/>
              <w:spacing w:after="0"/>
              <w:jc w:val="center"/>
            </w:pPr>
            <w:r>
              <w:rPr>
                <w:b/>
                <w:sz w:val="15"/>
              </w:rPr>
              <w:t>χ²</w:t>
            </w:r>
          </w:p>
        </w:tc>
        <w:tc>
          <w:tcPr>
            <w:tcW w:type="dxa" w:w="794"/>
            <w:tcBorders>
              <w:top w:val="single" w:sz="8" w:color="000000"/>
              <w:bottom w:val="single" w:sz="4" w:color="000000"/>
            </w:tcBorders>
          </w:tcPr>
          <w:p>
            <w:pPr>
              <w:keepNext/>
              <w:spacing w:after="0"/>
              <w:jc w:val="center"/>
            </w:pPr>
            <w:r>
              <w:rPr>
                <w:b/>
                <w:sz w:val="15"/>
              </w:rPr>
              <w:t>p</w:t>
            </w:r>
          </w:p>
        </w:tc>
        <w:tc>
          <w:tcPr>
            <w:tcW w:type="dxa" w:w="624"/>
            <w:tcBorders>
              <w:top w:val="single" w:sz="8" w:color="000000"/>
              <w:bottom w:val="single" w:sz="4" w:color="000000"/>
            </w:tcBorders>
          </w:tcPr>
          <w:p>
            <w:pPr>
              <w:keepNext/>
              <w:spacing w:after="0"/>
              <w:jc w:val="center"/>
            </w:pPr>
            <w:r>
              <w:rPr>
                <w:b/>
                <w:sz w:val="15"/>
              </w:rPr>
              <w:t>CD</w:t>
            </w:r>
          </w:p>
        </w:tc>
        <w:tc>
          <w:tcPr>
            <w:tcW w:type="dxa" w:w="1928"/>
            <w:tcBorders>
              <w:top w:val="single" w:sz="8" w:color="000000"/>
              <w:bottom w:val="single" w:sz="4" w:color="000000"/>
            </w:tcBorders>
          </w:tcPr>
          <w:p>
            <w:pPr>
              <w:keepNext/>
              <w:spacing w:after="0"/>
              <w:jc w:val="center"/>
            </w:pPr>
            <w:r>
              <w:rPr>
                <w:b/>
                <w:sz w:val="15"/>
              </w:rPr>
              <w:t>Peringkat 1</w:t>
            </w:r>
          </w:p>
        </w:tc>
        <w:tc>
          <w:tcPr>
            <w:tcW w:type="dxa" w:w="1928"/>
            <w:tcBorders>
              <w:top w:val="single" w:sz="8" w:color="000000"/>
              <w:bottom w:val="single" w:sz="4" w:color="000000"/>
            </w:tcBorders>
          </w:tcPr>
          <w:p>
            <w:pPr>
              <w:keepNext/>
              <w:spacing w:after="0"/>
              <w:jc w:val="center"/>
            </w:pPr>
            <w:r>
              <w:rPr>
                <w:b/>
                <w:sz w:val="15"/>
              </w:rPr>
              <w:t>Peringkat 2</w:t>
            </w:r>
          </w:p>
        </w:tc>
      </w:tr>
      <w:tr>
        <w:tc>
          <w:tcPr>
            <w:tcW w:type="dxa" w:w="1247"/>
          </w:tcPr>
          <w:p>
            <w:pPr>
              <w:keepNext/>
              <w:spacing w:after="0"/>
              <w:jc w:val="left"/>
            </w:pPr>
            <w:r>
              <w:rPr>
                <w:sz w:val="15"/>
              </w:rPr>
              <w:t>Huawei 5m</w:t>
            </w:r>
          </w:p>
        </w:tc>
        <w:tc>
          <w:tcPr>
            <w:tcW w:type="dxa" w:w="567"/>
          </w:tcPr>
          <w:p>
            <w:pPr>
              <w:keepNext/>
              <w:spacing w:after="0"/>
              <w:jc w:val="center"/>
            </w:pPr>
            <w:r>
              <w:rPr>
                <w:sz w:val="15"/>
              </w:rPr>
              <w:t>50</w:t>
            </w:r>
          </w:p>
        </w:tc>
        <w:tc>
          <w:tcPr>
            <w:tcW w:type="dxa" w:w="510"/>
          </w:tcPr>
          <w:p>
            <w:pPr>
              <w:keepNext/>
              <w:spacing w:after="0"/>
              <w:jc w:val="center"/>
            </w:pPr>
            <w:r>
              <w:rPr>
                <w:sz w:val="15"/>
              </w:rPr>
              <w:t>21</w:t>
            </w:r>
          </w:p>
        </w:tc>
        <w:tc>
          <w:tcPr>
            <w:tcW w:type="dxa" w:w="907"/>
          </w:tcPr>
          <w:p>
            <w:pPr>
              <w:keepNext/>
              <w:spacing w:after="0"/>
              <w:jc w:val="center"/>
            </w:pPr>
            <w:r>
              <w:rPr>
                <w:sz w:val="15"/>
              </w:rPr>
              <w:t>752,2</w:t>
            </w:r>
          </w:p>
        </w:tc>
        <w:tc>
          <w:tcPr>
            <w:tcW w:type="dxa" w:w="794"/>
          </w:tcPr>
          <w:p>
            <w:pPr>
              <w:keepNext/>
              <w:spacing w:after="0"/>
              <w:jc w:val="center"/>
            </w:pPr>
            <w:r>
              <w:rPr>
                <w:sz w:val="15"/>
              </w:rPr>
              <w:t>10⁻¹⁴⁶</w:t>
            </w:r>
          </w:p>
        </w:tc>
        <w:tc>
          <w:tcPr>
            <w:tcW w:type="dxa" w:w="624"/>
          </w:tcPr>
          <w:p>
            <w:pPr>
              <w:keepNext/>
              <w:spacing w:after="0"/>
              <w:jc w:val="center"/>
            </w:pPr>
            <w:r>
              <w:rPr>
                <w:sz w:val="15"/>
              </w:rPr>
              <w:t>4,43</w:t>
            </w:r>
          </w:p>
        </w:tc>
        <w:tc>
          <w:tcPr>
            <w:tcW w:type="dxa" w:w="1928"/>
          </w:tcPr>
          <w:p>
            <w:pPr>
              <w:keepNext/>
              <w:spacing w:after="0"/>
              <w:jc w:val="center"/>
            </w:pPr>
            <w:r>
              <w:rPr>
                <w:sz w:val="15"/>
              </w:rPr>
              <w:t>Chronos-2 (2,76)</w:t>
            </w:r>
          </w:p>
        </w:tc>
        <w:tc>
          <w:tcPr>
            <w:tcW w:type="dxa" w:w="1928"/>
          </w:tcPr>
          <w:p>
            <w:pPr>
              <w:keepNext/>
              <w:spacing w:after="0"/>
              <w:jc w:val="center"/>
            </w:pPr>
            <w:r>
              <w:rPr>
                <w:sz w:val="15"/>
              </w:rPr>
              <w:t>TimesFM-3 (2,80)</w:t>
            </w:r>
          </w:p>
        </w:tc>
      </w:tr>
      <w:tr>
        <w:tc>
          <w:tcPr>
            <w:tcW w:type="dxa" w:w="1247"/>
          </w:tcPr>
          <w:p>
            <w:pPr>
              <w:keepNext/>
              <w:spacing w:after="0"/>
              <w:jc w:val="left"/>
            </w:pPr>
            <w:r>
              <w:rPr>
                <w:sz w:val="15"/>
              </w:rPr>
              <w:t>Alibaba 5m</w:t>
            </w:r>
          </w:p>
        </w:tc>
        <w:tc>
          <w:tcPr>
            <w:tcW w:type="dxa" w:w="567"/>
          </w:tcPr>
          <w:p>
            <w:pPr>
              <w:keepNext/>
              <w:spacing w:after="0"/>
              <w:jc w:val="center"/>
            </w:pPr>
            <w:r>
              <w:rPr>
                <w:sz w:val="15"/>
              </w:rPr>
              <w:t>201</w:t>
            </w:r>
          </w:p>
        </w:tc>
        <w:tc>
          <w:tcPr>
            <w:tcW w:type="dxa" w:w="510"/>
          </w:tcPr>
          <w:p>
            <w:pPr>
              <w:keepNext/>
              <w:spacing w:after="0"/>
              <w:jc w:val="center"/>
            </w:pPr>
            <w:r>
              <w:rPr>
                <w:sz w:val="15"/>
              </w:rPr>
              <w:t>21</w:t>
            </w:r>
          </w:p>
        </w:tc>
        <w:tc>
          <w:tcPr>
            <w:tcW w:type="dxa" w:w="907"/>
          </w:tcPr>
          <w:p>
            <w:pPr>
              <w:keepNext/>
              <w:spacing w:after="0"/>
              <w:jc w:val="center"/>
            </w:pPr>
            <w:r>
              <w:rPr>
                <w:sz w:val="15"/>
              </w:rPr>
              <w:t>3554,7</w:t>
            </w:r>
          </w:p>
        </w:tc>
        <w:tc>
          <w:tcPr>
            <w:tcW w:type="dxa" w:w="794"/>
          </w:tcPr>
          <w:p>
            <w:pPr>
              <w:keepNext/>
              <w:spacing w:after="0"/>
              <w:jc w:val="center"/>
            </w:pPr>
            <w:r>
              <w:rPr>
                <w:sz w:val="15"/>
              </w:rPr>
              <w:t>10⁻⁷⁴⁸</w:t>
            </w:r>
          </w:p>
        </w:tc>
        <w:tc>
          <w:tcPr>
            <w:tcW w:type="dxa" w:w="624"/>
          </w:tcPr>
          <w:p>
            <w:pPr>
              <w:keepNext/>
              <w:spacing w:after="0"/>
              <w:jc w:val="center"/>
            </w:pPr>
            <w:r>
              <w:rPr>
                <w:sz w:val="15"/>
              </w:rPr>
              <w:t>2,21</w:t>
            </w:r>
          </w:p>
        </w:tc>
        <w:tc>
          <w:tcPr>
            <w:tcW w:type="dxa" w:w="1928"/>
          </w:tcPr>
          <w:p>
            <w:pPr>
              <w:keepNext/>
              <w:spacing w:after="0"/>
              <w:jc w:val="center"/>
            </w:pPr>
            <w:r>
              <w:rPr>
                <w:sz w:val="15"/>
              </w:rPr>
              <w:t>TimesFM-3 (2,10)</w:t>
            </w:r>
          </w:p>
        </w:tc>
        <w:tc>
          <w:tcPr>
            <w:tcW w:type="dxa" w:w="1928"/>
          </w:tcPr>
          <w:p>
            <w:pPr>
              <w:keepNext/>
              <w:spacing w:after="0"/>
              <w:jc w:val="center"/>
            </w:pPr>
            <w:r>
              <w:rPr>
                <w:sz w:val="15"/>
              </w:rPr>
              <w:t>Chronos-2 (2,48)</w:t>
            </w:r>
          </w:p>
        </w:tc>
      </w:tr>
      <w:tr>
        <w:tc>
          <w:tcPr>
            <w:tcW w:type="dxa" w:w="1247"/>
          </w:tcPr>
          <w:p>
            <w:pPr>
              <w:keepNext/>
              <w:spacing w:after="0"/>
              <w:jc w:val="left"/>
            </w:pPr>
            <w:r>
              <w:rPr>
                <w:sz w:val="15"/>
              </w:rPr>
              <w:t>Azure19 5m</w:t>
            </w:r>
          </w:p>
        </w:tc>
        <w:tc>
          <w:tcPr>
            <w:tcW w:type="dxa" w:w="567"/>
          </w:tcPr>
          <w:p>
            <w:pPr>
              <w:keepNext/>
              <w:spacing w:after="0"/>
              <w:jc w:val="center"/>
            </w:pPr>
            <w:r>
              <w:rPr>
                <w:sz w:val="15"/>
              </w:rPr>
              <w:t>468</w:t>
            </w:r>
          </w:p>
        </w:tc>
        <w:tc>
          <w:tcPr>
            <w:tcW w:type="dxa" w:w="510"/>
          </w:tcPr>
          <w:p>
            <w:pPr>
              <w:keepNext/>
              <w:spacing w:after="0"/>
              <w:jc w:val="center"/>
            </w:pPr>
            <w:r>
              <w:rPr>
                <w:sz w:val="15"/>
              </w:rPr>
              <w:t>20</w:t>
            </w:r>
          </w:p>
        </w:tc>
        <w:tc>
          <w:tcPr>
            <w:tcW w:type="dxa" w:w="907"/>
          </w:tcPr>
          <w:p>
            <w:pPr>
              <w:keepNext/>
              <w:spacing w:after="0"/>
              <w:jc w:val="center"/>
            </w:pPr>
            <w:r>
              <w:rPr>
                <w:sz w:val="15"/>
              </w:rPr>
              <w:t>4504,0</w:t>
            </w:r>
          </w:p>
        </w:tc>
        <w:tc>
          <w:tcPr>
            <w:tcW w:type="dxa" w:w="794"/>
          </w:tcPr>
          <w:p>
            <w:pPr>
              <w:keepNext/>
              <w:spacing w:after="0"/>
              <w:jc w:val="center"/>
            </w:pPr>
            <w:r>
              <w:rPr>
                <w:sz w:val="15"/>
              </w:rPr>
              <w:t>10⁻⁹⁵⁵</w:t>
            </w:r>
          </w:p>
        </w:tc>
        <w:tc>
          <w:tcPr>
            <w:tcW w:type="dxa" w:w="624"/>
          </w:tcPr>
          <w:p>
            <w:pPr>
              <w:keepNext/>
              <w:spacing w:after="0"/>
              <w:jc w:val="center"/>
            </w:pPr>
            <w:r>
              <w:rPr>
                <w:sz w:val="15"/>
              </w:rPr>
              <w:t>1,37</w:t>
            </w:r>
          </w:p>
        </w:tc>
        <w:tc>
          <w:tcPr>
            <w:tcW w:type="dxa" w:w="1928"/>
          </w:tcPr>
          <w:p>
            <w:pPr>
              <w:keepNext/>
              <w:spacing w:after="0"/>
              <w:jc w:val="center"/>
            </w:pPr>
            <w:r>
              <w:rPr>
                <w:sz w:val="15"/>
              </w:rPr>
              <w:t>TimesFM-3 (3,43)</w:t>
            </w:r>
          </w:p>
        </w:tc>
        <w:tc>
          <w:tcPr>
            <w:tcW w:type="dxa" w:w="1928"/>
          </w:tcPr>
          <w:p>
            <w:pPr>
              <w:keepNext/>
              <w:spacing w:after="0"/>
              <w:jc w:val="center"/>
            </w:pPr>
            <w:r>
              <w:rPr>
                <w:sz w:val="15"/>
              </w:rPr>
              <w:t>Chronos-2 (3,92)</w:t>
            </w:r>
          </w:p>
        </w:tc>
      </w:tr>
      <w:tr>
        <w:tc>
          <w:tcPr>
            <w:tcW w:type="dxa" w:w="1247"/>
          </w:tcPr>
          <w:p>
            <w:pPr>
              <w:keepNext/>
              <w:spacing w:after="0"/>
              <w:jc w:val="left"/>
            </w:pPr>
            <w:r>
              <w:rPr>
                <w:sz w:val="15"/>
              </w:rPr>
              <w:t>Azure19 1m</w:t>
            </w:r>
          </w:p>
        </w:tc>
        <w:tc>
          <w:tcPr>
            <w:tcW w:type="dxa" w:w="567"/>
          </w:tcPr>
          <w:p>
            <w:pPr>
              <w:keepNext/>
              <w:spacing w:after="0"/>
              <w:jc w:val="center"/>
            </w:pPr>
            <w:r>
              <w:rPr>
                <w:sz w:val="15"/>
              </w:rPr>
              <w:t>477</w:t>
            </w:r>
          </w:p>
        </w:tc>
        <w:tc>
          <w:tcPr>
            <w:tcW w:type="dxa" w:w="510"/>
          </w:tcPr>
          <w:p>
            <w:pPr>
              <w:keepNext/>
              <w:spacing w:after="0"/>
              <w:jc w:val="center"/>
            </w:pPr>
            <w:r>
              <w:rPr>
                <w:sz w:val="15"/>
              </w:rPr>
              <w:t>18</w:t>
            </w:r>
          </w:p>
        </w:tc>
        <w:tc>
          <w:tcPr>
            <w:tcW w:type="dxa" w:w="907"/>
          </w:tcPr>
          <w:p>
            <w:pPr>
              <w:keepNext/>
              <w:spacing w:after="0"/>
              <w:jc w:val="center"/>
            </w:pPr>
            <w:r>
              <w:rPr>
                <w:sz w:val="15"/>
              </w:rPr>
              <w:t>3668,2</w:t>
            </w:r>
          </w:p>
        </w:tc>
        <w:tc>
          <w:tcPr>
            <w:tcW w:type="dxa" w:w="794"/>
          </w:tcPr>
          <w:p>
            <w:pPr>
              <w:keepNext/>
              <w:spacing w:after="0"/>
              <w:jc w:val="center"/>
            </w:pPr>
            <w:r>
              <w:rPr>
                <w:sz w:val="15"/>
              </w:rPr>
              <w:t>10⁻⁷⁷⁶</w:t>
            </w:r>
          </w:p>
        </w:tc>
        <w:tc>
          <w:tcPr>
            <w:tcW w:type="dxa" w:w="624"/>
          </w:tcPr>
          <w:p>
            <w:pPr>
              <w:keepNext/>
              <w:spacing w:after="0"/>
              <w:jc w:val="center"/>
            </w:pPr>
            <w:r>
              <w:rPr>
                <w:sz w:val="15"/>
              </w:rPr>
              <w:t>1,21</w:t>
            </w:r>
          </w:p>
        </w:tc>
        <w:tc>
          <w:tcPr>
            <w:tcW w:type="dxa" w:w="1928"/>
          </w:tcPr>
          <w:p>
            <w:pPr>
              <w:keepNext/>
              <w:spacing w:after="0"/>
              <w:jc w:val="center"/>
            </w:pPr>
            <w:r>
              <w:rPr>
                <w:sz w:val="15"/>
              </w:rPr>
              <w:t>TimesFM-3 (3,55)</w:t>
            </w:r>
          </w:p>
        </w:tc>
        <w:tc>
          <w:tcPr>
            <w:tcW w:type="dxa" w:w="1928"/>
          </w:tcPr>
          <w:p>
            <w:pPr>
              <w:keepNext/>
              <w:spacing w:after="0"/>
              <w:jc w:val="center"/>
            </w:pPr>
            <w:r>
              <w:rPr>
                <w:sz w:val="15"/>
              </w:rPr>
              <w:t>Toto (3,74)</w:t>
            </w:r>
          </w:p>
        </w:tc>
      </w:tr>
      <w:tr>
        <w:tc>
          <w:tcPr>
            <w:tcW w:type="dxa" w:w="1247"/>
          </w:tcPr>
          <w:p>
            <w:pPr>
              <w:keepNext/>
              <w:spacing w:after="0"/>
              <w:jc w:val="left"/>
            </w:pPr>
            <w:r>
              <w:rPr>
                <w:sz w:val="15"/>
              </w:rPr>
              <w:t>Azure21 5m</w:t>
            </w:r>
          </w:p>
        </w:tc>
        <w:tc>
          <w:tcPr>
            <w:tcW w:type="dxa" w:w="567"/>
          </w:tcPr>
          <w:p>
            <w:pPr>
              <w:keepNext/>
              <w:spacing w:after="0"/>
              <w:jc w:val="center"/>
            </w:pPr>
            <w:r>
              <w:rPr>
                <w:sz w:val="15"/>
              </w:rPr>
              <w:t>77</w:t>
            </w:r>
          </w:p>
        </w:tc>
        <w:tc>
          <w:tcPr>
            <w:tcW w:type="dxa" w:w="510"/>
          </w:tcPr>
          <w:p>
            <w:pPr>
              <w:keepNext/>
              <w:spacing w:after="0"/>
              <w:jc w:val="center"/>
            </w:pPr>
            <w:r>
              <w:rPr>
                <w:sz w:val="15"/>
              </w:rPr>
              <w:t>20</w:t>
            </w:r>
          </w:p>
        </w:tc>
        <w:tc>
          <w:tcPr>
            <w:tcW w:type="dxa" w:w="907"/>
          </w:tcPr>
          <w:p>
            <w:pPr>
              <w:keepNext/>
              <w:spacing w:after="0"/>
              <w:jc w:val="center"/>
            </w:pPr>
            <w:r>
              <w:rPr>
                <w:sz w:val="15"/>
              </w:rPr>
              <w:t>741,6</w:t>
            </w:r>
          </w:p>
        </w:tc>
        <w:tc>
          <w:tcPr>
            <w:tcW w:type="dxa" w:w="794"/>
          </w:tcPr>
          <w:p>
            <w:pPr>
              <w:keepNext/>
              <w:spacing w:after="0"/>
              <w:jc w:val="center"/>
            </w:pPr>
            <w:r>
              <w:rPr>
                <w:sz w:val="15"/>
              </w:rPr>
              <w:t>10⁻¹⁴⁴</w:t>
            </w:r>
          </w:p>
        </w:tc>
        <w:tc>
          <w:tcPr>
            <w:tcW w:type="dxa" w:w="624"/>
          </w:tcPr>
          <w:p>
            <w:pPr>
              <w:keepNext/>
              <w:spacing w:after="0"/>
              <w:jc w:val="center"/>
            </w:pPr>
            <w:r>
              <w:rPr>
                <w:sz w:val="15"/>
              </w:rPr>
              <w:t>3,38</w:t>
            </w:r>
          </w:p>
        </w:tc>
        <w:tc>
          <w:tcPr>
            <w:tcW w:type="dxa" w:w="1928"/>
          </w:tcPr>
          <w:p>
            <w:pPr>
              <w:keepNext/>
              <w:spacing w:after="0"/>
              <w:jc w:val="center"/>
            </w:pPr>
            <w:r>
              <w:rPr>
                <w:sz w:val="15"/>
              </w:rPr>
              <w:t>TiRex (5,83)</w:t>
            </w:r>
          </w:p>
        </w:tc>
        <w:tc>
          <w:tcPr>
            <w:tcW w:type="dxa" w:w="1928"/>
          </w:tcPr>
          <w:p>
            <w:pPr>
              <w:keepNext/>
              <w:spacing w:after="0"/>
              <w:jc w:val="center"/>
            </w:pPr>
            <w:r>
              <w:rPr>
                <w:sz w:val="15"/>
              </w:rPr>
              <w:t>Selalu nol (5,95)</w:t>
            </w:r>
          </w:p>
        </w:tc>
      </w:tr>
      <w:tr>
        <w:tc>
          <w:tcPr>
            <w:tcW w:type="dxa" w:w="1247"/>
            <w:tcBorders>
              <w:bottom w:val="single" w:sz="8" w:color="000000"/>
            </w:tcBorders>
          </w:tcPr>
          <w:p>
            <w:pPr>
              <w:keepNext w:val="0"/>
              <w:spacing w:after="0"/>
              <w:jc w:val="left"/>
            </w:pPr>
            <w:r>
              <w:rPr>
                <w:sz w:val="15"/>
              </w:rPr>
              <w:t>Azure21 1m</w:t>
            </w:r>
          </w:p>
        </w:tc>
        <w:tc>
          <w:tcPr>
            <w:tcW w:type="dxa" w:w="567"/>
            <w:tcBorders>
              <w:bottom w:val="single" w:sz="8" w:color="000000"/>
            </w:tcBorders>
          </w:tcPr>
          <w:p>
            <w:pPr>
              <w:keepNext w:val="0"/>
              <w:spacing w:after="0"/>
              <w:jc w:val="center"/>
            </w:pPr>
            <w:r>
              <w:rPr>
                <w:sz w:val="15"/>
              </w:rPr>
              <w:t>77</w:t>
            </w:r>
          </w:p>
        </w:tc>
        <w:tc>
          <w:tcPr>
            <w:tcW w:type="dxa" w:w="510"/>
            <w:tcBorders>
              <w:bottom w:val="single" w:sz="8" w:color="000000"/>
            </w:tcBorders>
          </w:tcPr>
          <w:p>
            <w:pPr>
              <w:keepNext w:val="0"/>
              <w:spacing w:after="0"/>
              <w:jc w:val="center"/>
            </w:pPr>
            <w:r>
              <w:rPr>
                <w:sz w:val="15"/>
              </w:rPr>
              <w:t>18</w:t>
            </w:r>
          </w:p>
        </w:tc>
        <w:tc>
          <w:tcPr>
            <w:tcW w:type="dxa" w:w="907"/>
            <w:tcBorders>
              <w:bottom w:val="single" w:sz="8" w:color="000000"/>
            </w:tcBorders>
          </w:tcPr>
          <w:p>
            <w:pPr>
              <w:keepNext w:val="0"/>
              <w:spacing w:after="0"/>
              <w:jc w:val="center"/>
            </w:pPr>
            <w:r>
              <w:rPr>
                <w:sz w:val="15"/>
              </w:rPr>
              <w:t>614,7</w:t>
            </w:r>
          </w:p>
        </w:tc>
        <w:tc>
          <w:tcPr>
            <w:tcW w:type="dxa" w:w="794"/>
            <w:tcBorders>
              <w:bottom w:val="single" w:sz="8" w:color="000000"/>
            </w:tcBorders>
          </w:tcPr>
          <w:p>
            <w:pPr>
              <w:keepNext w:val="0"/>
              <w:spacing w:after="0"/>
              <w:jc w:val="center"/>
            </w:pPr>
            <w:r>
              <w:rPr>
                <w:sz w:val="15"/>
              </w:rPr>
              <w:t>10⁻¹¹⁹</w:t>
            </w:r>
          </w:p>
        </w:tc>
        <w:tc>
          <w:tcPr>
            <w:tcW w:type="dxa" w:w="624"/>
            <w:tcBorders>
              <w:bottom w:val="single" w:sz="8" w:color="000000"/>
            </w:tcBorders>
          </w:tcPr>
          <w:p>
            <w:pPr>
              <w:keepNext w:val="0"/>
              <w:spacing w:after="0"/>
              <w:jc w:val="center"/>
            </w:pPr>
            <w:r>
              <w:rPr>
                <w:sz w:val="15"/>
              </w:rPr>
              <w:t>3,00</w:t>
            </w:r>
          </w:p>
        </w:tc>
        <w:tc>
          <w:tcPr>
            <w:tcW w:type="dxa" w:w="1928"/>
            <w:tcBorders>
              <w:bottom w:val="single" w:sz="8" w:color="000000"/>
            </w:tcBorders>
          </w:tcPr>
          <w:p>
            <w:pPr>
              <w:keepNext w:val="0"/>
              <w:spacing w:after="0"/>
              <w:jc w:val="center"/>
            </w:pPr>
            <w:r>
              <w:rPr>
                <w:sz w:val="15"/>
              </w:rPr>
              <w:t>Selalu nol (4,18)</w:t>
            </w:r>
          </w:p>
        </w:tc>
        <w:tc>
          <w:tcPr>
            <w:tcW w:type="dxa" w:w="1928"/>
            <w:tcBorders>
              <w:bottom w:val="single" w:sz="8" w:color="000000"/>
            </w:tcBorders>
          </w:tcPr>
          <w:p>
            <w:pPr>
              <w:keepNext w:val="0"/>
              <w:spacing w:after="0"/>
              <w:jc w:val="center"/>
            </w:pPr>
            <w:r>
              <w:rPr>
                <w:sz w:val="15"/>
              </w:rPr>
              <w:t>Toto (5,27)</w:t>
            </w:r>
          </w:p>
        </w:tc>
      </w:tr>
    </w:tbl>
    <w:p>
      <w:pPr>
        <w:spacing w:after="40"/>
      </w:pPr>
    </w:p>
    <w:p>
      <w:pPr>
        <w:keepNext/>
        <w:jc w:val="center"/>
      </w:pPr>
      <w:r>
        <w:drawing>
          <wp:inline xmlns:a="http://schemas.openxmlformats.org/drawingml/2006/main" xmlns:pic="http://schemas.openxmlformats.org/drawingml/2006/picture">
            <wp:extent cx="5580000" cy="2442143"/>
            <wp:docPr id="1" name="Picture 1"/>
            <wp:cNvGraphicFramePr>
              <a:graphicFrameLocks noChangeAspect="1"/>
            </wp:cNvGraphicFramePr>
            <a:graphic>
              <a:graphicData uri="http://schemas.openxmlformats.org/drawingml/2006/picture">
                <pic:pic>
                  <pic:nvPicPr>
                    <pic:cNvPr id="0" name="cd_azure2019_1min_id.png"/>
                    <pic:cNvPicPr/>
                  </pic:nvPicPr>
                  <pic:blipFill>
                    <a:blip r:embed="rId9"/>
                    <a:stretch>
                      <a:fillRect/>
                    </a:stretch>
                  </pic:blipFill>
                  <pic:spPr>
                    <a:xfrm>
                      <a:off x="0" y="0"/>
                      <a:ext cx="5580000" cy="2442143"/>
                    </a:xfrm>
                    <a:prstGeom prst="rect"/>
                  </pic:spPr>
                </pic:pic>
              </a:graphicData>
            </a:graphic>
          </wp:inline>
        </w:drawing>
      </w:r>
    </w:p>
    <w:p>
      <w:pPr>
        <w:jc w:val="center"/>
      </w:pPr>
      <w:r>
        <w:rPr>
          <w:b/>
          <w:sz w:val="19"/>
        </w:rPr>
        <w:t>Gambar 1.</w:t>
      </w:r>
      <w:r>
        <w:rPr>
          <w:sz w:val="19"/>
        </w:rPr>
        <w:t xml:space="preserve"> Diagram </w:t>
      </w:r>
      <w:r>
        <w:rPr>
          <w:i/>
          <w:sz w:val="19"/>
        </w:rPr>
        <w:t>critical difference</w:t>
      </w:r>
      <w:r>
        <w:rPr>
          <w:sz w:val="19"/>
        </w:rPr>
        <w:t xml:space="preserve"> (CD) dengan uji Nemenyi (α = 0,05) untuk Azure 2019 resolusi 1 menit pada horizon 60 menit. Angka menunjukkan peringkat rata-rata MAE per deret (1 = terbaik), dan garis horizontal menghubungkan model yang tidak berbeda secara signifikan. Biru menandai TSFM, oranye menandai model pembanding terlatih, dan hijau menandai model pembanding statistik.</w:t>
      </w:r>
    </w:p>
    <w:p>
      <w:pPr>
        <w:jc w:val="both"/>
      </w:pPr>
      <w:r>
        <w:rPr/>
        <w:t>Tabel 7 merangkum uji signifikansi. Uji Friedman menolak hipotesis bahwa semua model setara pada keenam kombinasi, dengan nilai p antara 10⁻¹¹⁹ dan 10⁻⁹⁵⁵. Meski demikian, model peringkat pertama tidak pernah berbeda secara signifikan dari model peringkat kedua. Pada Azure 2019 resolusi 1 menit (Gambar 1), TimesFM-3 (3,55) dan Toto (3,74) berada dalam satu kelompok, sedangkan pembanding terbaik, yaitu N-BEATS (8,17), terpisah lebih dari satu nilai CD (1,21). Karena itu kami memakai istilah “kelompok teratas” untuk ketiga TSFM terbaik. Pada Azure 2021 resolusi 1 menit, model yang selalu meramalkan nol justru menempati peringkat rata-rata terbaik, karena pada banyak deret aktualnya nol dan model ini tidak pernah meleset sama sekali. Rata-rata geometrik pada Tabel 4 tetap menempatkan Toto di depan karena selisih galatnya besar pada aplikasi yang aktif.</w:t>
      </w:r>
    </w:p>
    <w:p>
      <w:pPr>
        <w:keepNext/>
      </w:pPr>
      <w:r>
        <w:rPr>
          <w:b/>
          <w:sz w:val="19"/>
        </w:rPr>
        <w:t>Tabel 8.</w:t>
      </w:r>
      <w:r>
        <w:rPr>
          <w:sz w:val="19"/>
        </w:rPr>
        <w:t xml:space="preserve"> relMASE untuk setiap kelas pola. Deret dengan MAE </w:t>
      </w:r>
      <w:r>
        <w:rPr>
          <w:i/>
          <w:sz w:val="19"/>
        </w:rPr>
        <w:t>seasonal naive</w:t>
      </w:r>
      <w:r>
        <w:rPr>
          <w:sz w:val="19"/>
        </w:rPr>
        <w:t xml:space="preserve"> nol dikeluarkan, sehingga jumlah deret (n) lebih kecil daripada Tabel 1.</w:t>
      </w:r>
    </w:p>
    <w:tbl>
      <w:tblPr>
        <w:tblW w:type="auto" w:w="0"/>
        <w:jc w:val="center"/>
        <w:tblLayout w:type="fixed"/>
        <w:tblLook w:firstColumn="1" w:firstRow="1" w:lastColumn="0" w:lastRow="0" w:noHBand="0" w:noVBand="1" w:val="04A0"/>
        <w:tblLayout w:type="fixed"/>
      </w:tblPr>
      <w:tblGrid>
        <w:gridCol w:w="2041"/>
        <w:gridCol w:w="1701"/>
        <w:gridCol w:w="1928"/>
        <w:gridCol w:w="1928"/>
      </w:tblGrid>
      <w:tr>
        <w:tc>
          <w:tcPr>
            <w:tcW w:type="dxa" w:w="2041"/>
            <w:tcBorders>
              <w:top w:val="single" w:sz="8" w:color="000000"/>
              <w:bottom w:val="single" w:sz="4" w:color="000000"/>
            </w:tcBorders>
          </w:tcPr>
          <w:p>
            <w:pPr>
              <w:keepNext/>
              <w:spacing w:after="0"/>
              <w:jc w:val="left"/>
            </w:pPr>
            <w:r>
              <w:rPr>
                <w:b/>
                <w:sz w:val="17"/>
              </w:rPr>
              <w:t>Dataset, horizon</w:t>
            </w:r>
          </w:p>
        </w:tc>
        <w:tc>
          <w:tcPr>
            <w:tcW w:type="dxa" w:w="1701"/>
            <w:tcBorders>
              <w:top w:val="single" w:sz="8" w:color="000000"/>
              <w:bottom w:val="single" w:sz="4" w:color="000000"/>
            </w:tcBorders>
          </w:tcPr>
          <w:p>
            <w:pPr>
              <w:keepNext/>
              <w:spacing w:after="0"/>
              <w:jc w:val="center"/>
            </w:pPr>
            <w:r>
              <w:rPr>
                <w:b/>
                <w:sz w:val="17"/>
              </w:rPr>
              <w:t>Kelas (n)</w:t>
            </w:r>
          </w:p>
        </w:tc>
        <w:tc>
          <w:tcPr>
            <w:tcW w:type="dxa" w:w="1928"/>
            <w:tcBorders>
              <w:top w:val="single" w:sz="8" w:color="000000"/>
              <w:bottom w:val="single" w:sz="4" w:color="000000"/>
            </w:tcBorders>
          </w:tcPr>
          <w:p>
            <w:pPr>
              <w:keepNext/>
              <w:spacing w:after="0"/>
              <w:jc w:val="center"/>
            </w:pPr>
            <w:r>
              <w:rPr>
                <w:b/>
                <w:sz w:val="17"/>
              </w:rPr>
              <w:t>TSFM terbaik</w:t>
            </w:r>
          </w:p>
        </w:tc>
        <w:tc>
          <w:tcPr>
            <w:tcW w:type="dxa" w:w="1928"/>
            <w:tcBorders>
              <w:top w:val="single" w:sz="8" w:color="000000"/>
              <w:bottom w:val="single" w:sz="4" w:color="000000"/>
            </w:tcBorders>
          </w:tcPr>
          <w:p>
            <w:pPr>
              <w:keepNext/>
              <w:spacing w:after="0"/>
              <w:jc w:val="center"/>
            </w:pPr>
            <w:r>
              <w:rPr>
                <w:b/>
                <w:sz w:val="17"/>
              </w:rPr>
              <w:t>Pembanding terbaik</w:t>
            </w:r>
          </w:p>
        </w:tc>
      </w:tr>
      <w:tr>
        <w:tc>
          <w:tcPr>
            <w:tcW w:type="dxa" w:w="2041"/>
          </w:tcPr>
          <w:p>
            <w:pPr>
              <w:keepNext/>
              <w:spacing w:after="0"/>
              <w:jc w:val="left"/>
            </w:pPr>
            <w:r>
              <w:rPr>
                <w:sz w:val="17"/>
              </w:rPr>
              <w:t>Azure19 5m, 60 mnt</w:t>
            </w:r>
          </w:p>
        </w:tc>
        <w:tc>
          <w:tcPr>
            <w:tcW w:type="dxa" w:w="1701"/>
          </w:tcPr>
          <w:p>
            <w:pPr>
              <w:keepNext/>
              <w:spacing w:after="0"/>
              <w:jc w:val="center"/>
            </w:pPr>
            <w:r>
              <w:rPr>
                <w:sz w:val="17"/>
              </w:rPr>
              <w:t>smooth (209)</w:t>
            </w:r>
          </w:p>
        </w:tc>
        <w:tc>
          <w:tcPr>
            <w:tcW w:type="dxa" w:w="1928"/>
          </w:tcPr>
          <w:p>
            <w:pPr>
              <w:keepNext/>
              <w:spacing w:after="0"/>
              <w:jc w:val="center"/>
            </w:pPr>
            <w:r>
              <w:rPr>
                <w:sz w:val="17"/>
              </w:rPr>
              <w:t>0,454 TimesFM-3</w:t>
            </w:r>
          </w:p>
        </w:tc>
        <w:tc>
          <w:tcPr>
            <w:tcW w:type="dxa" w:w="1928"/>
          </w:tcPr>
          <w:p>
            <w:pPr>
              <w:keepNext/>
              <w:spacing w:after="0"/>
              <w:jc w:val="center"/>
            </w:pPr>
            <w:r>
              <w:rPr>
                <w:sz w:val="17"/>
              </w:rPr>
              <w:t>0,541 N-BEATS</w:t>
            </w:r>
          </w:p>
        </w:tc>
      </w:tr>
      <w:tr>
        <w:tc>
          <w:tcPr>
            <w:tcW w:type="dxa" w:w="2041"/>
          </w:tcPr>
          <w:p>
            <w:pPr>
              <w:keepNext/>
              <w:spacing w:after="0"/>
              <w:jc w:val="left"/>
            </w:pPr>
            <w:r>
              <w:rPr>
                <w:sz w:val="17"/>
              </w:rPr>
            </w:r>
          </w:p>
        </w:tc>
        <w:tc>
          <w:tcPr>
            <w:tcW w:type="dxa" w:w="1701"/>
          </w:tcPr>
          <w:p>
            <w:pPr>
              <w:keepNext/>
              <w:spacing w:after="0"/>
              <w:jc w:val="center"/>
            </w:pPr>
            <w:r>
              <w:rPr>
                <w:sz w:val="17"/>
              </w:rPr>
              <w:t>erratic (140)</w:t>
            </w:r>
          </w:p>
        </w:tc>
        <w:tc>
          <w:tcPr>
            <w:tcW w:type="dxa" w:w="1928"/>
          </w:tcPr>
          <w:p>
            <w:pPr>
              <w:keepNext/>
              <w:spacing w:after="0"/>
              <w:jc w:val="center"/>
            </w:pPr>
            <w:r>
              <w:rPr>
                <w:sz w:val="17"/>
              </w:rPr>
              <w:t>0,455 TimesFM-3</w:t>
            </w:r>
          </w:p>
        </w:tc>
        <w:tc>
          <w:tcPr>
            <w:tcW w:type="dxa" w:w="1928"/>
          </w:tcPr>
          <w:p>
            <w:pPr>
              <w:keepNext/>
              <w:spacing w:after="0"/>
              <w:jc w:val="center"/>
            </w:pPr>
            <w:r>
              <w:rPr>
                <w:sz w:val="17"/>
              </w:rPr>
              <w:t>0,566 N-BEATS</w:t>
            </w:r>
          </w:p>
        </w:tc>
      </w:tr>
      <w:tr>
        <w:tc>
          <w:tcPr>
            <w:tcW w:type="dxa" w:w="2041"/>
          </w:tcPr>
          <w:p>
            <w:pPr>
              <w:keepNext/>
              <w:spacing w:after="0"/>
              <w:jc w:val="left"/>
            </w:pPr>
            <w:r>
              <w:rPr>
                <w:sz w:val="17"/>
              </w:rPr>
            </w:r>
          </w:p>
        </w:tc>
        <w:tc>
          <w:tcPr>
            <w:tcW w:type="dxa" w:w="1701"/>
          </w:tcPr>
          <w:p>
            <w:pPr>
              <w:keepNext/>
              <w:spacing w:after="0"/>
              <w:jc w:val="center"/>
            </w:pPr>
            <w:r>
              <w:rPr>
                <w:sz w:val="17"/>
              </w:rPr>
              <w:t>lumpy (79)</w:t>
            </w:r>
          </w:p>
        </w:tc>
        <w:tc>
          <w:tcPr>
            <w:tcW w:type="dxa" w:w="1928"/>
          </w:tcPr>
          <w:p>
            <w:pPr>
              <w:keepNext/>
              <w:spacing w:after="0"/>
              <w:jc w:val="center"/>
            </w:pPr>
            <w:r>
              <w:rPr>
                <w:sz w:val="17"/>
              </w:rPr>
              <w:t>0,474 TimesFM-3</w:t>
            </w:r>
          </w:p>
        </w:tc>
        <w:tc>
          <w:tcPr>
            <w:tcW w:type="dxa" w:w="1928"/>
          </w:tcPr>
          <w:p>
            <w:pPr>
              <w:keepNext/>
              <w:spacing w:after="0"/>
              <w:jc w:val="center"/>
            </w:pPr>
            <w:r>
              <w:rPr>
                <w:sz w:val="17"/>
              </w:rPr>
              <w:t>0,614 N-BEATS</w:t>
            </w:r>
          </w:p>
        </w:tc>
      </w:tr>
      <w:tr>
        <w:tc>
          <w:tcPr>
            <w:tcW w:type="dxa" w:w="2041"/>
          </w:tcPr>
          <w:p>
            <w:pPr>
              <w:keepNext/>
              <w:spacing w:after="0"/>
              <w:jc w:val="left"/>
            </w:pPr>
            <w:r>
              <w:rPr>
                <w:sz w:val="17"/>
              </w:rPr>
            </w:r>
          </w:p>
        </w:tc>
        <w:tc>
          <w:tcPr>
            <w:tcW w:type="dxa" w:w="1701"/>
          </w:tcPr>
          <w:p>
            <w:pPr>
              <w:keepNext/>
              <w:spacing w:after="0"/>
              <w:jc w:val="center"/>
            </w:pPr>
            <w:r>
              <w:rPr>
                <w:sz w:val="17"/>
              </w:rPr>
              <w:t>intermittent (40)</w:t>
            </w:r>
          </w:p>
        </w:tc>
        <w:tc>
          <w:tcPr>
            <w:tcW w:type="dxa" w:w="1928"/>
          </w:tcPr>
          <w:p>
            <w:pPr>
              <w:keepNext/>
              <w:spacing w:after="0"/>
              <w:jc w:val="center"/>
            </w:pPr>
            <w:r>
              <w:rPr>
                <w:sz w:val="17"/>
              </w:rPr>
              <w:t>0,607 TimesFM-3</w:t>
            </w:r>
          </w:p>
        </w:tc>
        <w:tc>
          <w:tcPr>
            <w:tcW w:type="dxa" w:w="1928"/>
          </w:tcPr>
          <w:p>
            <w:pPr>
              <w:keepNext/>
              <w:spacing w:after="0"/>
              <w:jc w:val="center"/>
            </w:pPr>
            <w:r>
              <w:rPr>
                <w:sz w:val="17"/>
              </w:rPr>
              <w:t>0,927 N-BEATS</w:t>
            </w:r>
          </w:p>
        </w:tc>
      </w:tr>
      <w:tr>
        <w:tc>
          <w:tcPr>
            <w:tcW w:type="dxa" w:w="2041"/>
          </w:tcPr>
          <w:p>
            <w:pPr>
              <w:keepNext/>
              <w:spacing w:after="0"/>
              <w:jc w:val="left"/>
            </w:pPr>
            <w:r>
              <w:rPr>
                <w:sz w:val="17"/>
              </w:rPr>
              <w:t>Azure19 1m, 60 mnt</w:t>
            </w:r>
          </w:p>
        </w:tc>
        <w:tc>
          <w:tcPr>
            <w:tcW w:type="dxa" w:w="1701"/>
          </w:tcPr>
          <w:p>
            <w:pPr>
              <w:keepNext/>
              <w:spacing w:after="0"/>
              <w:jc w:val="center"/>
            </w:pPr>
            <w:r>
              <w:rPr>
                <w:sz w:val="17"/>
              </w:rPr>
              <w:t>smooth (149)</w:t>
            </w:r>
          </w:p>
        </w:tc>
        <w:tc>
          <w:tcPr>
            <w:tcW w:type="dxa" w:w="1928"/>
          </w:tcPr>
          <w:p>
            <w:pPr>
              <w:keepNext/>
              <w:spacing w:after="0"/>
              <w:jc w:val="center"/>
            </w:pPr>
            <w:r>
              <w:rPr>
                <w:sz w:val="17"/>
              </w:rPr>
              <w:t>0,474 TimesFM-3</w:t>
            </w:r>
          </w:p>
        </w:tc>
        <w:tc>
          <w:tcPr>
            <w:tcW w:type="dxa" w:w="1928"/>
          </w:tcPr>
          <w:p>
            <w:pPr>
              <w:keepNext/>
              <w:spacing w:after="0"/>
              <w:jc w:val="center"/>
            </w:pPr>
            <w:r>
              <w:rPr>
                <w:sz w:val="17"/>
              </w:rPr>
              <w:t>0,587 N-BEATS</w:t>
            </w:r>
          </w:p>
        </w:tc>
      </w:tr>
      <w:tr>
        <w:tc>
          <w:tcPr>
            <w:tcW w:type="dxa" w:w="2041"/>
          </w:tcPr>
          <w:p>
            <w:pPr>
              <w:keepNext/>
              <w:spacing w:after="0"/>
              <w:jc w:val="left"/>
            </w:pPr>
            <w:r>
              <w:rPr>
                <w:sz w:val="17"/>
              </w:rPr>
            </w:r>
          </w:p>
        </w:tc>
        <w:tc>
          <w:tcPr>
            <w:tcW w:type="dxa" w:w="1701"/>
          </w:tcPr>
          <w:p>
            <w:pPr>
              <w:keepNext/>
              <w:spacing w:after="0"/>
              <w:jc w:val="center"/>
            </w:pPr>
            <w:r>
              <w:rPr>
                <w:sz w:val="17"/>
              </w:rPr>
              <w:t>erratic (131)</w:t>
            </w:r>
          </w:p>
        </w:tc>
        <w:tc>
          <w:tcPr>
            <w:tcW w:type="dxa" w:w="1928"/>
          </w:tcPr>
          <w:p>
            <w:pPr>
              <w:keepNext/>
              <w:spacing w:after="0"/>
              <w:jc w:val="center"/>
            </w:pPr>
            <w:r>
              <w:rPr>
                <w:sz w:val="17"/>
              </w:rPr>
              <w:t>0,487 Chronos-2</w:t>
            </w:r>
          </w:p>
        </w:tc>
        <w:tc>
          <w:tcPr>
            <w:tcW w:type="dxa" w:w="1928"/>
          </w:tcPr>
          <w:p>
            <w:pPr>
              <w:keepNext/>
              <w:spacing w:after="0"/>
              <w:jc w:val="center"/>
            </w:pPr>
            <w:r>
              <w:rPr>
                <w:sz w:val="17"/>
              </w:rPr>
              <w:t>0,613 N-BEATS</w:t>
            </w:r>
          </w:p>
        </w:tc>
      </w:tr>
      <w:tr>
        <w:tc>
          <w:tcPr>
            <w:tcW w:type="dxa" w:w="2041"/>
          </w:tcPr>
          <w:p>
            <w:pPr>
              <w:keepNext/>
              <w:spacing w:after="0"/>
              <w:jc w:val="left"/>
            </w:pPr>
            <w:r>
              <w:rPr>
                <w:sz w:val="17"/>
              </w:rPr>
            </w:r>
          </w:p>
        </w:tc>
        <w:tc>
          <w:tcPr>
            <w:tcW w:type="dxa" w:w="1701"/>
          </w:tcPr>
          <w:p>
            <w:pPr>
              <w:keepNext/>
              <w:spacing w:after="0"/>
              <w:jc w:val="center"/>
            </w:pPr>
            <w:r>
              <w:rPr>
                <w:sz w:val="17"/>
              </w:rPr>
              <w:t>lumpy (115)</w:t>
            </w:r>
          </w:p>
        </w:tc>
        <w:tc>
          <w:tcPr>
            <w:tcW w:type="dxa" w:w="1928"/>
          </w:tcPr>
          <w:p>
            <w:pPr>
              <w:keepNext/>
              <w:spacing w:after="0"/>
              <w:jc w:val="center"/>
            </w:pPr>
            <w:r>
              <w:rPr>
                <w:sz w:val="17"/>
              </w:rPr>
              <w:t>0,530 Toto</w:t>
            </w:r>
          </w:p>
        </w:tc>
        <w:tc>
          <w:tcPr>
            <w:tcW w:type="dxa" w:w="1928"/>
          </w:tcPr>
          <w:p>
            <w:pPr>
              <w:keepNext/>
              <w:spacing w:after="0"/>
              <w:jc w:val="center"/>
            </w:pPr>
            <w:r>
              <w:rPr>
                <w:sz w:val="17"/>
              </w:rPr>
              <w:t>0,673 LightGBM</w:t>
            </w:r>
          </w:p>
        </w:tc>
      </w:tr>
      <w:tr>
        <w:tc>
          <w:tcPr>
            <w:tcW w:type="dxa" w:w="2041"/>
          </w:tcPr>
          <w:p>
            <w:pPr>
              <w:keepNext/>
              <w:spacing w:after="0"/>
              <w:jc w:val="left"/>
            </w:pPr>
            <w:r>
              <w:rPr>
                <w:sz w:val="17"/>
              </w:rPr>
            </w:r>
          </w:p>
        </w:tc>
        <w:tc>
          <w:tcPr>
            <w:tcW w:type="dxa" w:w="1701"/>
          </w:tcPr>
          <w:p>
            <w:pPr>
              <w:keepNext/>
              <w:spacing w:after="0"/>
              <w:jc w:val="center"/>
            </w:pPr>
            <w:r>
              <w:rPr>
                <w:sz w:val="17"/>
              </w:rPr>
              <w:t>intermittent (82)</w:t>
            </w:r>
          </w:p>
        </w:tc>
        <w:tc>
          <w:tcPr>
            <w:tcW w:type="dxa" w:w="1928"/>
          </w:tcPr>
          <w:p>
            <w:pPr>
              <w:keepNext/>
              <w:spacing w:after="0"/>
              <w:jc w:val="center"/>
            </w:pPr>
            <w:r>
              <w:rPr>
                <w:sz w:val="17"/>
              </w:rPr>
              <w:t>0,896 Toto</w:t>
            </w:r>
          </w:p>
        </w:tc>
        <w:tc>
          <w:tcPr>
            <w:tcW w:type="dxa" w:w="1928"/>
          </w:tcPr>
          <w:p>
            <w:pPr>
              <w:keepNext/>
              <w:spacing w:after="0"/>
              <w:jc w:val="center"/>
            </w:pPr>
            <w:r>
              <w:rPr>
                <w:sz w:val="17"/>
              </w:rPr>
              <w:t>1,099 SWA-3</w:t>
            </w:r>
          </w:p>
        </w:tc>
      </w:tr>
      <w:tr>
        <w:tc>
          <w:tcPr>
            <w:tcW w:type="dxa" w:w="2041"/>
          </w:tcPr>
          <w:p>
            <w:pPr>
              <w:keepNext/>
              <w:spacing w:after="0"/>
              <w:jc w:val="left"/>
            </w:pPr>
            <w:r>
              <w:rPr>
                <w:sz w:val="17"/>
              </w:rPr>
              <w:t>Azure21 1m, 60 mnt</w:t>
            </w:r>
          </w:p>
        </w:tc>
        <w:tc>
          <w:tcPr>
            <w:tcW w:type="dxa" w:w="1701"/>
          </w:tcPr>
          <w:p>
            <w:pPr>
              <w:keepNext/>
              <w:spacing w:after="0"/>
              <w:jc w:val="center"/>
            </w:pPr>
            <w:r>
              <w:rPr>
                <w:sz w:val="17"/>
              </w:rPr>
              <w:t>intermittent (42)</w:t>
            </w:r>
          </w:p>
        </w:tc>
        <w:tc>
          <w:tcPr>
            <w:tcW w:type="dxa" w:w="1928"/>
          </w:tcPr>
          <w:p>
            <w:pPr>
              <w:keepNext/>
              <w:spacing w:after="0"/>
              <w:jc w:val="center"/>
            </w:pPr>
            <w:r>
              <w:rPr>
                <w:sz w:val="17"/>
              </w:rPr>
              <w:t>0,478 Toto</w:t>
            </w:r>
          </w:p>
        </w:tc>
        <w:tc>
          <w:tcPr>
            <w:tcW w:type="dxa" w:w="1928"/>
          </w:tcPr>
          <w:p>
            <w:pPr>
              <w:keepNext/>
              <w:spacing w:after="0"/>
              <w:jc w:val="center"/>
            </w:pPr>
            <w:r>
              <w:rPr>
                <w:sz w:val="17"/>
              </w:rPr>
              <w:t>0,642 LightGBM</w:t>
            </w:r>
          </w:p>
        </w:tc>
      </w:tr>
      <w:tr>
        <w:tc>
          <w:tcPr>
            <w:tcW w:type="dxa" w:w="2041"/>
            <w:tcBorders>
              <w:bottom w:val="single" w:sz="8" w:color="000000"/>
            </w:tcBorders>
          </w:tcPr>
          <w:p>
            <w:pPr>
              <w:keepNext w:val="0"/>
              <w:spacing w:after="0"/>
              <w:jc w:val="left"/>
            </w:pPr>
            <w:r>
              <w:rPr>
                <w:sz w:val="17"/>
              </w:rPr>
            </w:r>
          </w:p>
        </w:tc>
        <w:tc>
          <w:tcPr>
            <w:tcW w:type="dxa" w:w="1701"/>
            <w:tcBorders>
              <w:bottom w:val="single" w:sz="8" w:color="000000"/>
            </w:tcBorders>
          </w:tcPr>
          <w:p>
            <w:pPr>
              <w:keepNext w:val="0"/>
              <w:spacing w:after="0"/>
              <w:jc w:val="center"/>
            </w:pPr>
            <w:r>
              <w:rPr>
                <w:sz w:val="17"/>
              </w:rPr>
              <w:t>lumpy (35)</w:t>
            </w:r>
          </w:p>
        </w:tc>
        <w:tc>
          <w:tcPr>
            <w:tcW w:type="dxa" w:w="1928"/>
            <w:tcBorders>
              <w:bottom w:val="single" w:sz="8" w:color="000000"/>
            </w:tcBorders>
          </w:tcPr>
          <w:p>
            <w:pPr>
              <w:keepNext w:val="0"/>
              <w:spacing w:after="0"/>
              <w:jc w:val="center"/>
            </w:pPr>
            <w:r>
              <w:rPr>
                <w:sz w:val="17"/>
              </w:rPr>
              <w:t>0,212 Toto</w:t>
            </w:r>
          </w:p>
        </w:tc>
        <w:tc>
          <w:tcPr>
            <w:tcW w:type="dxa" w:w="1928"/>
            <w:tcBorders>
              <w:bottom w:val="single" w:sz="8" w:color="000000"/>
            </w:tcBorders>
          </w:tcPr>
          <w:p>
            <w:pPr>
              <w:keepNext w:val="0"/>
              <w:spacing w:after="0"/>
              <w:jc w:val="center"/>
            </w:pPr>
            <w:r>
              <w:rPr>
                <w:sz w:val="17"/>
              </w:rPr>
              <w:t>0,254 LSTM</w:t>
            </w:r>
          </w:p>
        </w:tc>
      </w:tr>
    </w:tbl>
    <w:p>
      <w:pPr>
        <w:spacing w:after="40"/>
      </w:pPr>
    </w:p>
    <w:p>
      <w:pPr>
        <w:jc w:val="both"/>
      </w:pPr>
      <w:r>
        <w:rPr/>
        <w:t xml:space="preserve">Analisis per kelas pada Tabel 8 memperlihatkan pola yang sama. TSFM terbaik unggul pada setiap kelas di kedua trace Azure, termasuk kelas </w:t>
      </w:r>
      <w:r>
        <w:rPr>
          <w:i/>
        </w:rPr>
        <w:t>intermittent</w:t>
      </w:r>
      <w:r>
        <w:rPr/>
        <w:t xml:space="preserve"> dan </w:t>
      </w:r>
      <w:r>
        <w:rPr>
          <w:i/>
        </w:rPr>
        <w:t>lumpy</w:t>
      </w:r>
      <w:r>
        <w:rPr/>
        <w:t>. Kedua trace itu berbeda jauh dalam tingkat kejarangannya. Median aplikasi Azure 2019 aktif selama 1.172 menit per hari, dan 16% aplikasinya tidak memiliki invokasi pada lebih dari 95% menit. Median aplikasi Azure 2021 hanya aktif 2 menit per hari, dan 79% aplikasinya tidak memiliki invokasi pada lebih dari 95% menit.</w:t>
      </w:r>
    </w:p>
    <w:p>
      <w:pPr>
        <w:keepNext/>
      </w:pPr>
      <w:r>
        <w:rPr>
          <w:b/>
          <w:sz w:val="19"/>
        </w:rPr>
        <w:t>Tabel 9.</w:t>
      </w:r>
      <w:r>
        <w:rPr>
          <w:sz w:val="19"/>
        </w:rPr>
        <w:t xml:space="preserve"> Azure 2021 resolusi 1 menit, dipisah menurut aktivitas pada periode uji. Kolom aktif mencakup 69 aplikasi yang dipanggil setidaknya sekali dan memiliki MAE </w:t>
      </w:r>
      <w:r>
        <w:rPr>
          <w:i/>
          <w:sz w:val="19"/>
        </w:rPr>
        <w:t>seasonal naive</w:t>
      </w:r>
      <w:r>
        <w:rPr>
          <w:sz w:val="19"/>
        </w:rPr>
        <w:t xml:space="preserve"> positif. Kolom terakhir adalah rata-rata ramalan (invokasi per menit) pada 50 aplikasi yang sama sekali tidak dipanggil selama periode uji, sehingga sama dengan MAE-nya.</w:t>
      </w:r>
    </w:p>
    <w:tbl>
      <w:tblPr>
        <w:tblW w:type="auto" w:w="0"/>
        <w:jc w:val="center"/>
        <w:tblLayout w:type="fixed"/>
        <w:tblLook w:firstColumn="1" w:firstRow="1" w:lastColumn="0" w:lastRow="0" w:noHBand="0" w:noVBand="1" w:val="04A0"/>
        <w:tblLayout w:type="fixed"/>
      </w:tblPr>
      <w:tblGrid>
        <w:gridCol w:w="2041"/>
        <w:gridCol w:w="1587"/>
        <w:gridCol w:w="1928"/>
        <w:gridCol w:w="2381"/>
      </w:tblGrid>
      <w:tr>
        <w:tc>
          <w:tcPr>
            <w:tcW w:type="dxa" w:w="2041"/>
            <w:tcBorders>
              <w:top w:val="single" w:sz="8" w:color="000000"/>
              <w:bottom w:val="single" w:sz="4" w:color="000000"/>
            </w:tcBorders>
          </w:tcPr>
          <w:p>
            <w:pPr>
              <w:keepNext/>
              <w:spacing w:after="0"/>
              <w:jc w:val="left"/>
            </w:pPr>
            <w:r>
              <w:rPr>
                <w:b/>
                <w:sz w:val="17"/>
              </w:rPr>
              <w:t>Model</w:t>
            </w:r>
          </w:p>
        </w:tc>
        <w:tc>
          <w:tcPr>
            <w:tcW w:type="dxa" w:w="1587"/>
            <w:tcBorders>
              <w:top w:val="single" w:sz="8" w:color="000000"/>
              <w:bottom w:val="single" w:sz="4" w:color="000000"/>
            </w:tcBorders>
          </w:tcPr>
          <w:p>
            <w:pPr>
              <w:keepNext/>
              <w:spacing w:after="0"/>
              <w:jc w:val="center"/>
            </w:pPr>
            <w:r>
              <w:rPr>
                <w:b/>
                <w:sz w:val="17"/>
              </w:rPr>
              <w:t>relMASE aktif</w:t>
            </w:r>
          </w:p>
        </w:tc>
        <w:tc>
          <w:tcPr>
            <w:tcW w:type="dxa" w:w="1928"/>
            <w:tcBorders>
              <w:top w:val="single" w:sz="8" w:color="000000"/>
              <w:bottom w:val="single" w:sz="4" w:color="000000"/>
            </w:tcBorders>
          </w:tcPr>
          <w:p>
            <w:pPr>
              <w:keepNext/>
              <w:spacing w:after="0"/>
              <w:jc w:val="center"/>
            </w:pPr>
            <w:r>
              <w:rPr>
                <w:b/>
                <w:sz w:val="17"/>
              </w:rPr>
              <w:t>Rasio jumlah galat aktif</w:t>
            </w:r>
          </w:p>
        </w:tc>
        <w:tc>
          <w:tcPr>
            <w:tcW w:type="dxa" w:w="2381"/>
            <w:tcBorders>
              <w:top w:val="single" w:sz="8" w:color="000000"/>
              <w:bottom w:val="single" w:sz="4" w:color="000000"/>
            </w:tcBorders>
          </w:tcPr>
          <w:p>
            <w:pPr>
              <w:keepNext/>
              <w:spacing w:after="0"/>
              <w:jc w:val="center"/>
            </w:pPr>
            <w:r>
              <w:rPr>
                <w:b/>
                <w:sz w:val="17"/>
              </w:rPr>
              <w:t>Ramalan berlebih (tidak aktif)</w:t>
            </w:r>
          </w:p>
        </w:tc>
      </w:tr>
      <w:tr>
        <w:tc>
          <w:tcPr>
            <w:tcW w:type="dxa" w:w="2041"/>
          </w:tcPr>
          <w:p>
            <w:pPr>
              <w:keepNext/>
              <w:spacing w:after="0"/>
              <w:jc w:val="left"/>
            </w:pPr>
            <w:r>
              <w:rPr>
                <w:sz w:val="17"/>
              </w:rPr>
              <w:t>TimesFM-3</w:t>
            </w:r>
          </w:p>
        </w:tc>
        <w:tc>
          <w:tcPr>
            <w:tcW w:type="dxa" w:w="1587"/>
          </w:tcPr>
          <w:p>
            <w:pPr>
              <w:keepNext/>
              <w:spacing w:after="0"/>
              <w:jc w:val="center"/>
            </w:pPr>
            <w:r>
              <w:rPr>
                <w:sz w:val="17"/>
              </w:rPr>
              <w:t>0,525</w:t>
            </w:r>
          </w:p>
        </w:tc>
        <w:tc>
          <w:tcPr>
            <w:tcW w:type="dxa" w:w="1928"/>
          </w:tcPr>
          <w:p>
            <w:pPr>
              <w:keepNext/>
              <w:spacing w:after="0"/>
              <w:jc w:val="center"/>
            </w:pPr>
            <w:r>
              <w:rPr>
                <w:sz w:val="17"/>
              </w:rPr>
              <w:t>0,443</w:t>
            </w:r>
          </w:p>
        </w:tc>
        <w:tc>
          <w:tcPr>
            <w:tcW w:type="dxa" w:w="2381"/>
          </w:tcPr>
          <w:p>
            <w:pPr>
              <w:keepNext/>
              <w:spacing w:after="0"/>
              <w:jc w:val="center"/>
            </w:pPr>
            <w:r>
              <w:rPr>
                <w:sz w:val="17"/>
              </w:rPr>
              <w:t>0,00001</w:t>
            </w:r>
          </w:p>
        </w:tc>
      </w:tr>
      <w:tr>
        <w:tc>
          <w:tcPr>
            <w:tcW w:type="dxa" w:w="2041"/>
          </w:tcPr>
          <w:p>
            <w:pPr>
              <w:keepNext/>
              <w:spacing w:after="0"/>
              <w:jc w:val="left"/>
            </w:pPr>
            <w:r>
              <w:rPr>
                <w:sz w:val="17"/>
              </w:rPr>
              <w:t>Chronos-2</w:t>
            </w:r>
          </w:p>
        </w:tc>
        <w:tc>
          <w:tcPr>
            <w:tcW w:type="dxa" w:w="1587"/>
          </w:tcPr>
          <w:p>
            <w:pPr>
              <w:keepNext/>
              <w:spacing w:after="0"/>
              <w:jc w:val="center"/>
            </w:pPr>
            <w:r>
              <w:rPr>
                <w:sz w:val="17"/>
              </w:rPr>
              <w:t>0,531</w:t>
            </w:r>
          </w:p>
        </w:tc>
        <w:tc>
          <w:tcPr>
            <w:tcW w:type="dxa" w:w="1928"/>
          </w:tcPr>
          <w:p>
            <w:pPr>
              <w:keepNext/>
              <w:spacing w:after="0"/>
              <w:jc w:val="center"/>
            </w:pPr>
            <w:r>
              <w:rPr>
                <w:sz w:val="17"/>
              </w:rPr>
              <w:t>0,436</w:t>
            </w:r>
          </w:p>
        </w:tc>
        <w:tc>
          <w:tcPr>
            <w:tcW w:type="dxa" w:w="2381"/>
          </w:tcPr>
          <w:p>
            <w:pPr>
              <w:keepNext/>
              <w:spacing w:after="0"/>
              <w:jc w:val="center"/>
            </w:pPr>
            <w:r>
              <w:rPr>
                <w:sz w:val="17"/>
              </w:rPr>
              <w:t>0,00001</w:t>
            </w:r>
          </w:p>
        </w:tc>
      </w:tr>
      <w:tr>
        <w:tc>
          <w:tcPr>
            <w:tcW w:type="dxa" w:w="2041"/>
          </w:tcPr>
          <w:p>
            <w:pPr>
              <w:keepNext/>
              <w:spacing w:after="0"/>
              <w:jc w:val="left"/>
            </w:pPr>
            <w:r>
              <w:rPr>
                <w:sz w:val="17"/>
              </w:rPr>
              <w:t>Toto</w:t>
            </w:r>
          </w:p>
        </w:tc>
        <w:tc>
          <w:tcPr>
            <w:tcW w:type="dxa" w:w="1587"/>
          </w:tcPr>
          <w:p>
            <w:pPr>
              <w:keepNext/>
              <w:spacing w:after="0"/>
              <w:jc w:val="center"/>
            </w:pPr>
            <w:r>
              <w:rPr>
                <w:sz w:val="17"/>
              </w:rPr>
              <w:t>0,495</w:t>
            </w:r>
          </w:p>
        </w:tc>
        <w:tc>
          <w:tcPr>
            <w:tcW w:type="dxa" w:w="1928"/>
          </w:tcPr>
          <w:p>
            <w:pPr>
              <w:keepNext/>
              <w:spacing w:after="0"/>
              <w:jc w:val="center"/>
            </w:pPr>
            <w:r>
              <w:rPr>
                <w:sz w:val="17"/>
              </w:rPr>
              <w:t>0,425</w:t>
            </w:r>
          </w:p>
        </w:tc>
        <w:tc>
          <w:tcPr>
            <w:tcW w:type="dxa" w:w="2381"/>
          </w:tcPr>
          <w:p>
            <w:pPr>
              <w:keepNext/>
              <w:spacing w:after="0"/>
              <w:jc w:val="center"/>
            </w:pPr>
            <w:r>
              <w:rPr>
                <w:sz w:val="17"/>
              </w:rPr>
              <w:t>0,00003</w:t>
            </w:r>
          </w:p>
        </w:tc>
      </w:tr>
      <w:tr>
        <w:tc>
          <w:tcPr>
            <w:tcW w:type="dxa" w:w="2041"/>
          </w:tcPr>
          <w:p>
            <w:pPr>
              <w:keepNext/>
              <w:spacing w:after="0"/>
              <w:jc w:val="left"/>
            </w:pPr>
            <w:r>
              <w:rPr>
                <w:sz w:val="17"/>
              </w:rPr>
              <w:t>TiRex</w:t>
            </w:r>
          </w:p>
        </w:tc>
        <w:tc>
          <w:tcPr>
            <w:tcW w:type="dxa" w:w="1587"/>
          </w:tcPr>
          <w:p>
            <w:pPr>
              <w:keepNext/>
              <w:spacing w:after="0"/>
              <w:jc w:val="center"/>
            </w:pPr>
            <w:r>
              <w:rPr>
                <w:sz w:val="17"/>
              </w:rPr>
              <w:t>0,566</w:t>
            </w:r>
          </w:p>
        </w:tc>
        <w:tc>
          <w:tcPr>
            <w:tcW w:type="dxa" w:w="1928"/>
          </w:tcPr>
          <w:p>
            <w:pPr>
              <w:keepNext/>
              <w:spacing w:after="0"/>
              <w:jc w:val="center"/>
            </w:pPr>
            <w:r>
              <w:rPr>
                <w:sz w:val="17"/>
              </w:rPr>
              <w:t>0,435</w:t>
            </w:r>
          </w:p>
        </w:tc>
        <w:tc>
          <w:tcPr>
            <w:tcW w:type="dxa" w:w="2381"/>
          </w:tcPr>
          <w:p>
            <w:pPr>
              <w:keepNext/>
              <w:spacing w:after="0"/>
              <w:jc w:val="center"/>
            </w:pPr>
            <w:r>
              <w:rPr>
                <w:sz w:val="17"/>
              </w:rPr>
              <w:t>0,00004</w:t>
            </w:r>
          </w:p>
        </w:tc>
      </w:tr>
      <w:tr>
        <w:tc>
          <w:tcPr>
            <w:tcW w:type="dxa" w:w="2041"/>
          </w:tcPr>
          <w:p>
            <w:pPr>
              <w:keepNext/>
              <w:spacing w:after="0"/>
              <w:jc w:val="left"/>
            </w:pPr>
            <w:r>
              <w:rPr>
                <w:sz w:val="17"/>
              </w:rPr>
              <w:t>LightGBM</w:t>
            </w:r>
          </w:p>
        </w:tc>
        <w:tc>
          <w:tcPr>
            <w:tcW w:type="dxa" w:w="1587"/>
          </w:tcPr>
          <w:p>
            <w:pPr>
              <w:keepNext/>
              <w:spacing w:after="0"/>
              <w:jc w:val="center"/>
            </w:pPr>
            <w:r>
              <w:rPr>
                <w:sz w:val="17"/>
              </w:rPr>
              <w:t>0,690</w:t>
            </w:r>
          </w:p>
        </w:tc>
        <w:tc>
          <w:tcPr>
            <w:tcW w:type="dxa" w:w="1928"/>
          </w:tcPr>
          <w:p>
            <w:pPr>
              <w:keepNext/>
              <w:spacing w:after="0"/>
              <w:jc w:val="center"/>
            </w:pPr>
            <w:r>
              <w:rPr>
                <w:sz w:val="17"/>
              </w:rPr>
              <w:t>0,591</w:t>
            </w:r>
          </w:p>
        </w:tc>
        <w:tc>
          <w:tcPr>
            <w:tcW w:type="dxa" w:w="2381"/>
          </w:tcPr>
          <w:p>
            <w:pPr>
              <w:keepNext/>
              <w:spacing w:after="0"/>
              <w:jc w:val="center"/>
            </w:pPr>
            <w:r>
              <w:rPr>
                <w:sz w:val="17"/>
              </w:rPr>
              <w:t>0,00000</w:t>
            </w:r>
          </w:p>
        </w:tc>
      </w:tr>
      <w:tr>
        <w:tc>
          <w:tcPr>
            <w:tcW w:type="dxa" w:w="2041"/>
          </w:tcPr>
          <w:p>
            <w:pPr>
              <w:keepNext/>
              <w:spacing w:after="0"/>
              <w:jc w:val="left"/>
            </w:pPr>
            <w:r>
              <w:rPr>
                <w:sz w:val="17"/>
              </w:rPr>
              <w:t>LSTM</w:t>
            </w:r>
          </w:p>
        </w:tc>
        <w:tc>
          <w:tcPr>
            <w:tcW w:type="dxa" w:w="1587"/>
          </w:tcPr>
          <w:p>
            <w:pPr>
              <w:keepNext/>
              <w:spacing w:after="0"/>
              <w:jc w:val="center"/>
            </w:pPr>
            <w:r>
              <w:rPr>
                <w:sz w:val="17"/>
              </w:rPr>
              <w:t>0,680</w:t>
            </w:r>
          </w:p>
        </w:tc>
        <w:tc>
          <w:tcPr>
            <w:tcW w:type="dxa" w:w="1928"/>
          </w:tcPr>
          <w:p>
            <w:pPr>
              <w:keepNext/>
              <w:spacing w:after="0"/>
              <w:jc w:val="center"/>
            </w:pPr>
            <w:r>
              <w:rPr>
                <w:sz w:val="17"/>
              </w:rPr>
              <w:t>0,483</w:t>
            </w:r>
          </w:p>
        </w:tc>
        <w:tc>
          <w:tcPr>
            <w:tcW w:type="dxa" w:w="2381"/>
          </w:tcPr>
          <w:p>
            <w:pPr>
              <w:keepNext/>
              <w:spacing w:after="0"/>
              <w:jc w:val="center"/>
            </w:pPr>
            <w:r>
              <w:rPr>
                <w:sz w:val="17"/>
              </w:rPr>
              <w:t>0,00000</w:t>
            </w:r>
          </w:p>
        </w:tc>
      </w:tr>
      <w:tr>
        <w:tc>
          <w:tcPr>
            <w:tcW w:type="dxa" w:w="2041"/>
          </w:tcPr>
          <w:p>
            <w:pPr>
              <w:keepNext/>
              <w:spacing w:after="0"/>
              <w:jc w:val="left"/>
            </w:pPr>
            <w:r>
              <w:rPr>
                <w:sz w:val="17"/>
              </w:rPr>
              <w:t>N-BEATS</w:t>
            </w:r>
          </w:p>
        </w:tc>
        <w:tc>
          <w:tcPr>
            <w:tcW w:type="dxa" w:w="1587"/>
          </w:tcPr>
          <w:p>
            <w:pPr>
              <w:keepNext/>
              <w:spacing w:after="0"/>
              <w:jc w:val="center"/>
            </w:pPr>
            <w:r>
              <w:rPr>
                <w:sz w:val="17"/>
              </w:rPr>
              <w:t>0,613</w:t>
            </w:r>
          </w:p>
        </w:tc>
        <w:tc>
          <w:tcPr>
            <w:tcW w:type="dxa" w:w="1928"/>
          </w:tcPr>
          <w:p>
            <w:pPr>
              <w:keepNext/>
              <w:spacing w:after="0"/>
              <w:jc w:val="center"/>
            </w:pPr>
            <w:r>
              <w:rPr>
                <w:sz w:val="17"/>
              </w:rPr>
              <w:t>0,453</w:t>
            </w:r>
          </w:p>
        </w:tc>
        <w:tc>
          <w:tcPr>
            <w:tcW w:type="dxa" w:w="2381"/>
          </w:tcPr>
          <w:p>
            <w:pPr>
              <w:keepNext/>
              <w:spacing w:after="0"/>
              <w:jc w:val="center"/>
            </w:pPr>
            <w:r>
              <w:rPr>
                <w:sz w:val="17"/>
              </w:rPr>
              <w:t>0,00029</w:t>
            </w:r>
          </w:p>
        </w:tc>
      </w:tr>
      <w:tr>
        <w:tc>
          <w:tcPr>
            <w:tcW w:type="dxa" w:w="2041"/>
          </w:tcPr>
          <w:p>
            <w:pPr>
              <w:keepNext/>
              <w:spacing w:after="0"/>
              <w:jc w:val="left"/>
            </w:pPr>
            <w:r>
              <w:rPr>
                <w:sz w:val="17"/>
              </w:rPr>
              <w:t>Naive</w:t>
            </w:r>
          </w:p>
        </w:tc>
        <w:tc>
          <w:tcPr>
            <w:tcW w:type="dxa" w:w="1587"/>
          </w:tcPr>
          <w:p>
            <w:pPr>
              <w:keepNext/>
              <w:spacing w:after="0"/>
              <w:jc w:val="center"/>
            </w:pPr>
            <w:r>
              <w:rPr>
                <w:sz w:val="17"/>
              </w:rPr>
              <w:t>0,848</w:t>
            </w:r>
          </w:p>
        </w:tc>
        <w:tc>
          <w:tcPr>
            <w:tcW w:type="dxa" w:w="1928"/>
          </w:tcPr>
          <w:p>
            <w:pPr>
              <w:keepNext/>
              <w:spacing w:after="0"/>
              <w:jc w:val="center"/>
            </w:pPr>
            <w:r>
              <w:rPr>
                <w:sz w:val="17"/>
              </w:rPr>
              <w:t>0,524</w:t>
            </w:r>
          </w:p>
        </w:tc>
        <w:tc>
          <w:tcPr>
            <w:tcW w:type="dxa" w:w="2381"/>
          </w:tcPr>
          <w:p>
            <w:pPr>
              <w:keepNext/>
              <w:spacing w:after="0"/>
              <w:jc w:val="center"/>
            </w:pPr>
            <w:r>
              <w:rPr>
                <w:sz w:val="17"/>
              </w:rPr>
              <w:t>0,00000</w:t>
            </w:r>
          </w:p>
        </w:tc>
      </w:tr>
      <w:tr>
        <w:tc>
          <w:tcPr>
            <w:tcW w:type="dxa" w:w="2041"/>
          </w:tcPr>
          <w:p>
            <w:pPr>
              <w:keepNext/>
              <w:spacing w:after="0"/>
              <w:jc w:val="left"/>
            </w:pPr>
            <w:r>
              <w:rPr>
                <w:sz w:val="17"/>
              </w:rPr>
              <w:t>TSB</w:t>
            </w:r>
          </w:p>
        </w:tc>
        <w:tc>
          <w:tcPr>
            <w:tcW w:type="dxa" w:w="1587"/>
          </w:tcPr>
          <w:p>
            <w:pPr>
              <w:keepNext/>
              <w:spacing w:after="0"/>
              <w:jc w:val="center"/>
            </w:pPr>
            <w:r>
              <w:rPr>
                <w:sz w:val="17"/>
              </w:rPr>
              <w:t>1,075</w:t>
            </w:r>
          </w:p>
        </w:tc>
        <w:tc>
          <w:tcPr>
            <w:tcW w:type="dxa" w:w="1928"/>
          </w:tcPr>
          <w:p>
            <w:pPr>
              <w:keepNext/>
              <w:spacing w:after="0"/>
              <w:jc w:val="center"/>
            </w:pPr>
            <w:r>
              <w:rPr>
                <w:sz w:val="17"/>
              </w:rPr>
              <w:t>0,643</w:t>
            </w:r>
          </w:p>
        </w:tc>
        <w:tc>
          <w:tcPr>
            <w:tcW w:type="dxa" w:w="2381"/>
          </w:tcPr>
          <w:p>
            <w:pPr>
              <w:keepNext/>
              <w:spacing w:after="0"/>
              <w:jc w:val="center"/>
            </w:pPr>
            <w:r>
              <w:rPr>
                <w:sz w:val="17"/>
              </w:rPr>
              <w:t>0,00000</w:t>
            </w:r>
          </w:p>
        </w:tc>
      </w:tr>
      <w:tr>
        <w:tc>
          <w:tcPr>
            <w:tcW w:type="dxa" w:w="2041"/>
            <w:tcBorders>
              <w:bottom w:val="single" w:sz="8" w:color="000000"/>
            </w:tcBorders>
          </w:tcPr>
          <w:p>
            <w:pPr>
              <w:keepNext w:val="0"/>
              <w:spacing w:after="0"/>
              <w:jc w:val="left"/>
            </w:pPr>
            <w:r>
              <w:rPr>
                <w:sz w:val="17"/>
              </w:rPr>
              <w:t>Selalu nol</w:t>
            </w:r>
          </w:p>
        </w:tc>
        <w:tc>
          <w:tcPr>
            <w:tcW w:type="dxa" w:w="1587"/>
            <w:tcBorders>
              <w:bottom w:val="single" w:sz="8" w:color="000000"/>
            </w:tcBorders>
          </w:tcPr>
          <w:p>
            <w:pPr>
              <w:keepNext w:val="0"/>
              <w:spacing w:after="0"/>
              <w:jc w:val="center"/>
            </w:pPr>
            <w:r>
              <w:rPr>
                <w:sz w:val="17"/>
              </w:rPr>
              <w:t>0,766</w:t>
            </w:r>
          </w:p>
        </w:tc>
        <w:tc>
          <w:tcPr>
            <w:tcW w:type="dxa" w:w="1928"/>
            <w:tcBorders>
              <w:bottom w:val="single" w:sz="8" w:color="000000"/>
            </w:tcBorders>
          </w:tcPr>
          <w:p>
            <w:pPr>
              <w:keepNext w:val="0"/>
              <w:spacing w:after="0"/>
              <w:jc w:val="center"/>
            </w:pPr>
            <w:r>
              <w:rPr>
                <w:sz w:val="17"/>
              </w:rPr>
              <w:t>0,540</w:t>
            </w:r>
          </w:p>
        </w:tc>
        <w:tc>
          <w:tcPr>
            <w:tcW w:type="dxa" w:w="2381"/>
            <w:tcBorders>
              <w:bottom w:val="single" w:sz="8" w:color="000000"/>
            </w:tcBorders>
          </w:tcPr>
          <w:p>
            <w:pPr>
              <w:keepNext w:val="0"/>
              <w:spacing w:after="0"/>
              <w:jc w:val="center"/>
            </w:pPr>
            <w:r>
              <w:rPr>
                <w:sz w:val="17"/>
              </w:rPr>
              <w:t>0,00000</w:t>
            </w:r>
          </w:p>
        </w:tc>
      </w:tr>
    </w:tbl>
    <w:p>
      <w:pPr>
        <w:spacing w:after="40"/>
      </w:pPr>
    </w:p>
    <w:p>
      <w:pPr>
        <w:jc w:val="both"/>
      </w:pPr>
      <w:r>
        <w:rPr/>
        <w:t xml:space="preserve">Pemisahan pada Tabel 9 menjelaskan perbedaan dua sudut pandang tersebut. Dari 119 aplikasi Azure 2021, 50 (42%) sama sekali tidak dipanggil selama periode uji, dan 42 (35%) dikeluarkan dari relMASE karena MAE </w:t>
      </w:r>
      <w:r>
        <w:rPr>
          <w:i/>
        </w:rPr>
        <w:t>seasonal naive</w:t>
      </w:r>
      <w:r>
        <w:rPr/>
        <w:t>-nya nol. Pada aplikasi yang aktif, TSFM unggul menurut kedua metrik: relMASE Toto 0,495, dibanding 0,613 untuk N-BEATS dan 0,680 untuk LSTM. Pada aplikasi yang tidak aktif, ramalan berlebih seluruh model kurang dari 0,001 invokasi per menit, sehingga TSFM tidak terus menghasilkan nilai positif yang berarti.</w:t>
      </w:r>
    </w:p>
    <w:p>
      <w:pPr>
        <w:pStyle w:val="Heading2"/>
      </w:pPr>
      <w:r>
        <w:t>4.2 Evaluasi ulang konfigurasi Toner dkk.</w:t>
      </w:r>
    </w:p>
    <w:p>
      <w:pPr>
        <w:jc w:val="both"/>
      </w:pPr>
      <w:r>
        <w:rPr/>
        <w:t>Untuk melihat pengaruh generasi model, kami mengulang protokol Toner dkk. [8] pada data Huawei dengan konteks 520 langkah, horizon 30, 96, dan 336 langkah, serta metrik MASE rata-rata (Tabel 10). Data, panjang konteks, dan horizonnya sama, tetapi pembagian data uji, titik awal, dan cara agregasinya mengikuti protokol kami, sehingga angka mutlaknya tidak dapat dibandingkan langsung dengan tabel pada paper tersebut.</w:t>
      </w:r>
    </w:p>
    <w:p>
      <w:pPr>
        <w:keepNext/>
      </w:pPr>
      <w:r>
        <w:rPr>
          <w:b/>
          <w:sz w:val="19"/>
        </w:rPr>
        <w:t>Tabel 10.</w:t>
      </w:r>
      <w:r>
        <w:rPr>
          <w:sz w:val="19"/>
        </w:rPr>
        <w:t xml:space="preserve"> Evaluasi ulang dengan konfigurasi Toner dkk. (Huawei 5 menit, C = 520, MASE rata-rata). Nilai lebih kecil lebih baik.</w:t>
      </w:r>
    </w:p>
    <w:tbl>
      <w:tblPr>
        <w:tblW w:type="auto" w:w="0"/>
        <w:jc w:val="center"/>
        <w:tblLayout w:type="fixed"/>
        <w:tblLook w:firstColumn="1" w:firstRow="1" w:lastColumn="0" w:lastRow="0" w:noHBand="0" w:noVBand="1" w:val="04A0"/>
        <w:tblLayout w:type="fixed"/>
      </w:tblPr>
      <w:tblGrid>
        <w:gridCol w:w="2041"/>
        <w:gridCol w:w="1361"/>
        <w:gridCol w:w="1361"/>
        <w:gridCol w:w="1361"/>
      </w:tblGrid>
      <w:tr>
        <w:tc>
          <w:tcPr>
            <w:tcW w:type="dxa" w:w="2041"/>
            <w:tcBorders>
              <w:top w:val="single" w:sz="8" w:color="000000"/>
              <w:bottom w:val="single" w:sz="4" w:color="000000"/>
            </w:tcBorders>
          </w:tcPr>
          <w:p>
            <w:pPr>
              <w:keepNext/>
              <w:spacing w:after="0"/>
              <w:jc w:val="left"/>
            </w:pPr>
            <w:r>
              <w:rPr>
                <w:b/>
                <w:sz w:val="17"/>
              </w:rPr>
              <w:t>Model</w:t>
            </w:r>
          </w:p>
        </w:tc>
        <w:tc>
          <w:tcPr>
            <w:tcW w:type="dxa" w:w="1361"/>
            <w:tcBorders>
              <w:top w:val="single" w:sz="8" w:color="000000"/>
              <w:bottom w:val="single" w:sz="4" w:color="000000"/>
            </w:tcBorders>
          </w:tcPr>
          <w:p>
            <w:pPr>
              <w:keepNext/>
              <w:spacing w:after="0"/>
              <w:jc w:val="center"/>
            </w:pPr>
            <w:r>
              <w:rPr>
                <w:b/>
                <w:sz w:val="17"/>
              </w:rPr>
              <w:t>H = 30</w:t>
            </w:r>
          </w:p>
        </w:tc>
        <w:tc>
          <w:tcPr>
            <w:tcW w:type="dxa" w:w="1361"/>
            <w:tcBorders>
              <w:top w:val="single" w:sz="8" w:color="000000"/>
              <w:bottom w:val="single" w:sz="4" w:color="000000"/>
            </w:tcBorders>
          </w:tcPr>
          <w:p>
            <w:pPr>
              <w:keepNext/>
              <w:spacing w:after="0"/>
              <w:jc w:val="center"/>
            </w:pPr>
            <w:r>
              <w:rPr>
                <w:b/>
                <w:sz w:val="17"/>
              </w:rPr>
              <w:t>H = 96</w:t>
            </w:r>
          </w:p>
        </w:tc>
        <w:tc>
          <w:tcPr>
            <w:tcW w:type="dxa" w:w="1361"/>
            <w:tcBorders>
              <w:top w:val="single" w:sz="8" w:color="000000"/>
              <w:bottom w:val="single" w:sz="4" w:color="000000"/>
            </w:tcBorders>
          </w:tcPr>
          <w:p>
            <w:pPr>
              <w:keepNext/>
              <w:spacing w:after="0"/>
              <w:jc w:val="center"/>
            </w:pPr>
            <w:r>
              <w:rPr>
                <w:b/>
                <w:sz w:val="17"/>
              </w:rPr>
              <w:t>H = 336</w:t>
            </w:r>
          </w:p>
        </w:tc>
      </w:tr>
      <w:tr>
        <w:tc>
          <w:tcPr>
            <w:tcW w:type="dxa" w:w="2041"/>
          </w:tcPr>
          <w:p>
            <w:pPr>
              <w:keepNext/>
              <w:spacing w:after="0"/>
              <w:jc w:val="left"/>
            </w:pPr>
            <w:r>
              <w:rPr>
                <w:sz w:val="17"/>
              </w:rPr>
              <w:t>TimesFM-3</w:t>
            </w:r>
          </w:p>
        </w:tc>
        <w:tc>
          <w:tcPr>
            <w:tcW w:type="dxa" w:w="1361"/>
          </w:tcPr>
          <w:p>
            <w:pPr>
              <w:keepNext/>
              <w:spacing w:after="0"/>
              <w:jc w:val="center"/>
            </w:pPr>
            <w:r>
              <w:rPr>
                <w:b/>
                <w:sz w:val="17"/>
              </w:rPr>
              <w:t>0,912</w:t>
            </w:r>
          </w:p>
        </w:tc>
        <w:tc>
          <w:tcPr>
            <w:tcW w:type="dxa" w:w="1361"/>
          </w:tcPr>
          <w:p>
            <w:pPr>
              <w:keepNext/>
              <w:spacing w:after="0"/>
              <w:jc w:val="center"/>
            </w:pPr>
            <w:r>
              <w:rPr>
                <w:sz w:val="17"/>
              </w:rPr>
              <w:t>1,102</w:t>
            </w:r>
          </w:p>
        </w:tc>
        <w:tc>
          <w:tcPr>
            <w:tcW w:type="dxa" w:w="1361"/>
          </w:tcPr>
          <w:p>
            <w:pPr>
              <w:keepNext/>
              <w:spacing w:after="0"/>
              <w:jc w:val="center"/>
            </w:pPr>
            <w:r>
              <w:rPr>
                <w:sz w:val="17"/>
              </w:rPr>
              <w:t>1,347</w:t>
            </w:r>
          </w:p>
        </w:tc>
      </w:tr>
      <w:tr>
        <w:tc>
          <w:tcPr>
            <w:tcW w:type="dxa" w:w="2041"/>
          </w:tcPr>
          <w:p>
            <w:pPr>
              <w:keepNext/>
              <w:spacing w:after="0"/>
              <w:jc w:val="left"/>
            </w:pPr>
            <w:r>
              <w:rPr>
                <w:sz w:val="17"/>
              </w:rPr>
              <w:t>Chronos-2</w:t>
            </w:r>
          </w:p>
        </w:tc>
        <w:tc>
          <w:tcPr>
            <w:tcW w:type="dxa" w:w="1361"/>
          </w:tcPr>
          <w:p>
            <w:pPr>
              <w:keepNext/>
              <w:spacing w:after="0"/>
              <w:jc w:val="center"/>
            </w:pPr>
            <w:r>
              <w:rPr>
                <w:sz w:val="17"/>
              </w:rPr>
              <w:t>0,920</w:t>
            </w:r>
          </w:p>
        </w:tc>
        <w:tc>
          <w:tcPr>
            <w:tcW w:type="dxa" w:w="1361"/>
          </w:tcPr>
          <w:p>
            <w:pPr>
              <w:keepNext/>
              <w:spacing w:after="0"/>
              <w:jc w:val="center"/>
            </w:pPr>
            <w:r>
              <w:rPr>
                <w:b/>
                <w:sz w:val="17"/>
              </w:rPr>
              <w:t>1,082</w:t>
            </w:r>
          </w:p>
        </w:tc>
        <w:tc>
          <w:tcPr>
            <w:tcW w:type="dxa" w:w="1361"/>
          </w:tcPr>
          <w:p>
            <w:pPr>
              <w:keepNext/>
              <w:spacing w:after="0"/>
              <w:jc w:val="center"/>
            </w:pPr>
            <w:r>
              <w:rPr>
                <w:b/>
                <w:sz w:val="17"/>
              </w:rPr>
              <w:t>1,301</w:t>
            </w:r>
          </w:p>
        </w:tc>
      </w:tr>
      <w:tr>
        <w:tc>
          <w:tcPr>
            <w:tcW w:type="dxa" w:w="2041"/>
          </w:tcPr>
          <w:p>
            <w:pPr>
              <w:keepNext/>
              <w:spacing w:after="0"/>
              <w:jc w:val="left"/>
            </w:pPr>
            <w:r>
              <w:rPr>
                <w:sz w:val="17"/>
              </w:rPr>
              <w:t>TimesFM-2.5</w:t>
            </w:r>
          </w:p>
        </w:tc>
        <w:tc>
          <w:tcPr>
            <w:tcW w:type="dxa" w:w="1361"/>
          </w:tcPr>
          <w:p>
            <w:pPr>
              <w:keepNext/>
              <w:spacing w:after="0"/>
              <w:jc w:val="center"/>
            </w:pPr>
            <w:r>
              <w:rPr>
                <w:sz w:val="17"/>
              </w:rPr>
              <w:t>0,996</w:t>
            </w:r>
          </w:p>
        </w:tc>
        <w:tc>
          <w:tcPr>
            <w:tcW w:type="dxa" w:w="1361"/>
          </w:tcPr>
          <w:p>
            <w:pPr>
              <w:keepNext/>
              <w:spacing w:after="0"/>
              <w:jc w:val="center"/>
            </w:pPr>
            <w:r>
              <w:rPr>
                <w:sz w:val="17"/>
              </w:rPr>
              <w:t>1,216</w:t>
            </w:r>
          </w:p>
        </w:tc>
        <w:tc>
          <w:tcPr>
            <w:tcW w:type="dxa" w:w="1361"/>
          </w:tcPr>
          <w:p>
            <w:pPr>
              <w:keepNext/>
              <w:spacing w:after="0"/>
              <w:jc w:val="center"/>
            </w:pPr>
            <w:r>
              <w:rPr>
                <w:sz w:val="17"/>
              </w:rPr>
              <w:t>1,453</w:t>
            </w:r>
          </w:p>
        </w:tc>
      </w:tr>
      <w:tr>
        <w:tc>
          <w:tcPr>
            <w:tcW w:type="dxa" w:w="2041"/>
          </w:tcPr>
          <w:p>
            <w:pPr>
              <w:keepNext/>
              <w:spacing w:after="0"/>
              <w:jc w:val="left"/>
            </w:pPr>
            <w:r>
              <w:rPr>
                <w:sz w:val="17"/>
              </w:rPr>
              <w:t>Toto</w:t>
            </w:r>
          </w:p>
        </w:tc>
        <w:tc>
          <w:tcPr>
            <w:tcW w:type="dxa" w:w="1361"/>
          </w:tcPr>
          <w:p>
            <w:pPr>
              <w:keepNext/>
              <w:spacing w:after="0"/>
              <w:jc w:val="center"/>
            </w:pPr>
            <w:r>
              <w:rPr>
                <w:sz w:val="17"/>
              </w:rPr>
              <w:t>1,004</w:t>
            </w:r>
          </w:p>
        </w:tc>
        <w:tc>
          <w:tcPr>
            <w:tcW w:type="dxa" w:w="1361"/>
          </w:tcPr>
          <w:p>
            <w:pPr>
              <w:keepNext/>
              <w:spacing w:after="0"/>
              <w:jc w:val="center"/>
            </w:pPr>
            <w:r>
              <w:rPr>
                <w:sz w:val="17"/>
              </w:rPr>
              <w:t>1,347</w:t>
            </w:r>
          </w:p>
        </w:tc>
        <w:tc>
          <w:tcPr>
            <w:tcW w:type="dxa" w:w="1361"/>
          </w:tcPr>
          <w:p>
            <w:pPr>
              <w:keepNext/>
              <w:spacing w:after="0"/>
              <w:jc w:val="center"/>
            </w:pPr>
            <w:r>
              <w:rPr>
                <w:sz w:val="17"/>
              </w:rPr>
              <w:t>1,671</w:t>
            </w:r>
          </w:p>
        </w:tc>
      </w:tr>
      <w:tr>
        <w:tc>
          <w:tcPr>
            <w:tcW w:type="dxa" w:w="2041"/>
          </w:tcPr>
          <w:p>
            <w:pPr>
              <w:keepNext/>
              <w:spacing w:after="0"/>
              <w:jc w:val="left"/>
            </w:pPr>
            <w:r>
              <w:rPr>
                <w:sz w:val="17"/>
              </w:rPr>
              <w:t>TiRex</w:t>
            </w:r>
          </w:p>
        </w:tc>
        <w:tc>
          <w:tcPr>
            <w:tcW w:type="dxa" w:w="1361"/>
          </w:tcPr>
          <w:p>
            <w:pPr>
              <w:keepNext/>
              <w:spacing w:after="0"/>
              <w:jc w:val="center"/>
            </w:pPr>
            <w:r>
              <w:rPr>
                <w:sz w:val="17"/>
              </w:rPr>
              <w:t>1,100</w:t>
            </w:r>
          </w:p>
        </w:tc>
        <w:tc>
          <w:tcPr>
            <w:tcW w:type="dxa" w:w="1361"/>
          </w:tcPr>
          <w:p>
            <w:pPr>
              <w:keepNext/>
              <w:spacing w:after="0"/>
              <w:jc w:val="center"/>
            </w:pPr>
            <w:r>
              <w:rPr>
                <w:sz w:val="17"/>
              </w:rPr>
              <w:t>1,402</w:t>
            </w:r>
          </w:p>
        </w:tc>
        <w:tc>
          <w:tcPr>
            <w:tcW w:type="dxa" w:w="1361"/>
          </w:tcPr>
          <w:p>
            <w:pPr>
              <w:keepNext/>
              <w:spacing w:after="0"/>
              <w:jc w:val="center"/>
            </w:pPr>
            <w:r>
              <w:rPr>
                <w:sz w:val="17"/>
              </w:rPr>
              <w:t>1,606</w:t>
            </w:r>
          </w:p>
        </w:tc>
      </w:tr>
      <w:tr>
        <w:tc>
          <w:tcPr>
            <w:tcW w:type="dxa" w:w="2041"/>
          </w:tcPr>
          <w:p>
            <w:pPr>
              <w:keepNext/>
              <w:spacing w:after="0"/>
              <w:jc w:val="left"/>
            </w:pPr>
            <w:r>
              <w:rPr>
                <w:sz w:val="17"/>
              </w:rPr>
              <w:t>Moirai-2-S</w:t>
            </w:r>
          </w:p>
        </w:tc>
        <w:tc>
          <w:tcPr>
            <w:tcW w:type="dxa" w:w="1361"/>
          </w:tcPr>
          <w:p>
            <w:pPr>
              <w:keepNext/>
              <w:spacing w:after="0"/>
              <w:jc w:val="center"/>
            </w:pPr>
            <w:r>
              <w:rPr>
                <w:sz w:val="17"/>
              </w:rPr>
              <w:t>1,124</w:t>
            </w:r>
          </w:p>
        </w:tc>
        <w:tc>
          <w:tcPr>
            <w:tcW w:type="dxa" w:w="1361"/>
          </w:tcPr>
          <w:p>
            <w:pPr>
              <w:keepNext/>
              <w:spacing w:after="0"/>
              <w:jc w:val="center"/>
            </w:pPr>
            <w:r>
              <w:rPr>
                <w:sz w:val="17"/>
              </w:rPr>
              <w:t>1,558</w:t>
            </w:r>
          </w:p>
        </w:tc>
        <w:tc>
          <w:tcPr>
            <w:tcW w:type="dxa" w:w="1361"/>
          </w:tcPr>
          <w:p>
            <w:pPr>
              <w:keepNext/>
              <w:spacing w:after="0"/>
              <w:jc w:val="center"/>
            </w:pPr>
            <w:r>
              <w:rPr>
                <w:sz w:val="17"/>
              </w:rPr>
              <w:t>2,096</w:t>
            </w:r>
          </w:p>
        </w:tc>
      </w:tr>
      <w:tr>
        <w:tc>
          <w:tcPr>
            <w:tcW w:type="dxa" w:w="2041"/>
          </w:tcPr>
          <w:p>
            <w:pPr>
              <w:keepNext/>
              <w:spacing w:after="0"/>
              <w:jc w:val="left"/>
            </w:pPr>
            <w:r>
              <w:rPr>
                <w:sz w:val="17"/>
              </w:rPr>
              <w:t>Chronos-Bolt-S</w:t>
            </w:r>
          </w:p>
        </w:tc>
        <w:tc>
          <w:tcPr>
            <w:tcW w:type="dxa" w:w="1361"/>
          </w:tcPr>
          <w:p>
            <w:pPr>
              <w:keepNext/>
              <w:spacing w:after="0"/>
              <w:jc w:val="center"/>
            </w:pPr>
            <w:r>
              <w:rPr>
                <w:sz w:val="17"/>
              </w:rPr>
              <w:t>1,222</w:t>
            </w:r>
          </w:p>
        </w:tc>
        <w:tc>
          <w:tcPr>
            <w:tcW w:type="dxa" w:w="1361"/>
          </w:tcPr>
          <w:p>
            <w:pPr>
              <w:keepNext/>
              <w:spacing w:after="0"/>
              <w:jc w:val="center"/>
            </w:pPr>
            <w:r>
              <w:rPr>
                <w:sz w:val="17"/>
              </w:rPr>
              <w:t>1,468</w:t>
            </w:r>
          </w:p>
        </w:tc>
        <w:tc>
          <w:tcPr>
            <w:tcW w:type="dxa" w:w="1361"/>
          </w:tcPr>
          <w:p>
            <w:pPr>
              <w:keepNext/>
              <w:spacing w:after="0"/>
              <w:jc w:val="center"/>
            </w:pPr>
            <w:r>
              <w:rPr>
                <w:sz w:val="17"/>
              </w:rPr>
              <w:t>1,653</w:t>
            </w:r>
          </w:p>
        </w:tc>
      </w:tr>
      <w:tr>
        <w:tc>
          <w:tcPr>
            <w:tcW w:type="dxa" w:w="2041"/>
          </w:tcPr>
          <w:p>
            <w:pPr>
              <w:keepNext/>
              <w:spacing w:after="0"/>
              <w:jc w:val="left"/>
            </w:pPr>
            <w:r>
              <w:rPr>
                <w:sz w:val="17"/>
              </w:rPr>
              <w:t>TTM-r2</w:t>
            </w:r>
          </w:p>
        </w:tc>
        <w:tc>
          <w:tcPr>
            <w:tcW w:type="dxa" w:w="1361"/>
          </w:tcPr>
          <w:p>
            <w:pPr>
              <w:keepNext/>
              <w:spacing w:after="0"/>
              <w:jc w:val="center"/>
            </w:pPr>
            <w:r>
              <w:rPr>
                <w:sz w:val="17"/>
              </w:rPr>
              <w:t>1,290</w:t>
            </w:r>
          </w:p>
        </w:tc>
        <w:tc>
          <w:tcPr>
            <w:tcW w:type="dxa" w:w="1361"/>
          </w:tcPr>
          <w:p>
            <w:pPr>
              <w:keepNext/>
              <w:spacing w:after="0"/>
              <w:jc w:val="center"/>
            </w:pPr>
            <w:r>
              <w:rPr>
                <w:sz w:val="17"/>
              </w:rPr>
              <w:t>1,600</w:t>
            </w:r>
          </w:p>
        </w:tc>
        <w:tc>
          <w:tcPr>
            <w:tcW w:type="dxa" w:w="1361"/>
          </w:tcPr>
          <w:p>
            <w:pPr>
              <w:keepNext/>
              <w:spacing w:after="0"/>
              <w:jc w:val="center"/>
            </w:pPr>
            <w:r>
              <w:rPr>
                <w:sz w:val="17"/>
              </w:rPr>
              <w:t>–</w:t>
            </w:r>
          </w:p>
        </w:tc>
      </w:tr>
      <w:tr>
        <w:tc>
          <w:tcPr>
            <w:tcW w:type="dxa" w:w="2041"/>
          </w:tcPr>
          <w:p>
            <w:pPr>
              <w:keepNext/>
              <w:spacing w:after="0"/>
              <w:jc w:val="left"/>
            </w:pPr>
            <w:r>
              <w:rPr>
                <w:sz w:val="17"/>
              </w:rPr>
              <w:t>Seasonal naive</w:t>
            </w:r>
          </w:p>
        </w:tc>
        <w:tc>
          <w:tcPr>
            <w:tcW w:type="dxa" w:w="1361"/>
          </w:tcPr>
          <w:p>
            <w:pPr>
              <w:keepNext/>
              <w:spacing w:after="0"/>
              <w:jc w:val="center"/>
            </w:pPr>
            <w:r>
              <w:rPr>
                <w:sz w:val="17"/>
              </w:rPr>
              <w:t>1,324</w:t>
            </w:r>
          </w:p>
        </w:tc>
        <w:tc>
          <w:tcPr>
            <w:tcW w:type="dxa" w:w="1361"/>
          </w:tcPr>
          <w:p>
            <w:pPr>
              <w:keepNext/>
              <w:spacing w:after="0"/>
              <w:jc w:val="center"/>
            </w:pPr>
            <w:r>
              <w:rPr>
                <w:sz w:val="17"/>
              </w:rPr>
              <w:t>1,358</w:t>
            </w:r>
          </w:p>
        </w:tc>
        <w:tc>
          <w:tcPr>
            <w:tcW w:type="dxa" w:w="1361"/>
          </w:tcPr>
          <w:p>
            <w:pPr>
              <w:keepNext/>
              <w:spacing w:after="0"/>
              <w:jc w:val="center"/>
            </w:pPr>
            <w:r>
              <w:rPr>
                <w:sz w:val="17"/>
              </w:rPr>
              <w:t>1,459</w:t>
            </w:r>
          </w:p>
        </w:tc>
      </w:tr>
      <w:tr>
        <w:tc>
          <w:tcPr>
            <w:tcW w:type="dxa" w:w="2041"/>
            <w:tcBorders>
              <w:bottom w:val="single" w:sz="8" w:color="000000"/>
            </w:tcBorders>
          </w:tcPr>
          <w:p>
            <w:pPr>
              <w:keepNext w:val="0"/>
              <w:spacing w:after="0"/>
              <w:jc w:val="left"/>
            </w:pPr>
            <w:r>
              <w:rPr>
                <w:sz w:val="17"/>
              </w:rPr>
              <w:t>Naive</w:t>
            </w:r>
          </w:p>
        </w:tc>
        <w:tc>
          <w:tcPr>
            <w:tcW w:type="dxa" w:w="1361"/>
            <w:tcBorders>
              <w:bottom w:val="single" w:sz="8" w:color="000000"/>
            </w:tcBorders>
          </w:tcPr>
          <w:p>
            <w:pPr>
              <w:keepNext w:val="0"/>
              <w:spacing w:after="0"/>
              <w:jc w:val="center"/>
            </w:pPr>
            <w:r>
              <w:rPr>
                <w:sz w:val="17"/>
              </w:rPr>
              <w:t>1,936</w:t>
            </w:r>
          </w:p>
        </w:tc>
        <w:tc>
          <w:tcPr>
            <w:tcW w:type="dxa" w:w="1361"/>
            <w:tcBorders>
              <w:bottom w:val="single" w:sz="8" w:color="000000"/>
            </w:tcBorders>
          </w:tcPr>
          <w:p>
            <w:pPr>
              <w:keepNext w:val="0"/>
              <w:spacing w:after="0"/>
              <w:jc w:val="center"/>
            </w:pPr>
            <w:r>
              <w:rPr>
                <w:sz w:val="17"/>
              </w:rPr>
              <w:t>3,413</w:t>
            </w:r>
          </w:p>
        </w:tc>
        <w:tc>
          <w:tcPr>
            <w:tcW w:type="dxa" w:w="1361"/>
            <w:tcBorders>
              <w:bottom w:val="single" w:sz="8" w:color="000000"/>
            </w:tcBorders>
          </w:tcPr>
          <w:p>
            <w:pPr>
              <w:keepNext w:val="0"/>
              <w:spacing w:after="0"/>
              <w:jc w:val="center"/>
            </w:pPr>
            <w:r>
              <w:rPr>
                <w:sz w:val="17"/>
              </w:rPr>
              <w:t>4,054</w:t>
            </w:r>
          </w:p>
        </w:tc>
      </w:tr>
    </w:tbl>
    <w:p>
      <w:pPr>
        <w:spacing w:after="40"/>
      </w:pPr>
    </w:p>
    <w:p>
      <w:pPr>
        <w:jc w:val="both"/>
      </w:pPr>
      <w:r>
        <w:rPr/>
        <w:t xml:space="preserve">Chronos-2 dan TimesFM-3 mengalahkan </w:t>
      </w:r>
      <w:r>
        <w:rPr>
          <w:i/>
        </w:rPr>
        <w:t>seasonal naive</w:t>
      </w:r>
      <w:r>
        <w:rPr/>
        <w:t xml:space="preserve"> pada ketiga horizon. Model kecil, yaitu Chronos-Bolt-S, Moirai-2-S, dan TTM-r2, kalah atau setara pada horizon 96 langkah ke atas, sama dengan temuan Toner dkk. Hasil ini mengindikasikan bahwa hasil negatif pada studi tersebut berkaitan dengan generasi dan ukuran model yang diuji. Atribusi sebab yang lebih kuat memerlukan model lama dan baru yang dijalankan pada protokol yang identik.</w:t>
      </w:r>
    </w:p>
    <w:p>
      <w:pPr>
        <w:pStyle w:val="Heading2"/>
      </w:pPr>
      <w:r>
        <w:t>4.3 Panjang konteks</w:t>
      </w:r>
    </w:p>
    <w:p>
      <w:pPr>
        <w:keepNext/>
        <w:jc w:val="center"/>
      </w:pPr>
      <w:r>
        <w:drawing>
          <wp:inline xmlns:a="http://schemas.openxmlformats.org/drawingml/2006/main" xmlns:pic="http://schemas.openxmlformats.org/drawingml/2006/picture">
            <wp:extent cx="5220000" cy="2034180"/>
            <wp:docPr id="2" name="Picture 2"/>
            <wp:cNvGraphicFramePr>
              <a:graphicFrameLocks noChangeAspect="1"/>
            </wp:cNvGraphicFramePr>
            <a:graphic>
              <a:graphicData uri="http://schemas.openxmlformats.org/drawingml/2006/picture">
                <pic:pic>
                  <pic:nvPicPr>
                    <pic:cNvPr id="0" name="context_ablation_id.png"/>
                    <pic:cNvPicPr/>
                  </pic:nvPicPr>
                  <pic:blipFill>
                    <a:blip r:embed="rId10"/>
                    <a:stretch>
                      <a:fillRect/>
                    </a:stretch>
                  </pic:blipFill>
                  <pic:spPr>
                    <a:xfrm>
                      <a:off x="0" y="0"/>
                      <a:ext cx="5220000" cy="2034180"/>
                    </a:xfrm>
                    <a:prstGeom prst="rect"/>
                  </pic:spPr>
                </pic:pic>
              </a:graphicData>
            </a:graphic>
          </wp:inline>
        </w:drawing>
      </w:r>
    </w:p>
    <w:p>
      <w:pPr>
        <w:jc w:val="center"/>
      </w:pPr>
      <w:r>
        <w:rPr>
          <w:b/>
          <w:sz w:val="19"/>
        </w:rPr>
        <w:t>Gambar 2.</w:t>
      </w:r>
      <w:r>
        <w:rPr>
          <w:sz w:val="19"/>
        </w:rPr>
        <w:t xml:space="preserve"> relMASE pada horizon terpanjang sebagai fungsi panjang konteks C. Panel kiri menunjukkan Azure 2019 resolusi 1 menit, dan panel kanan menunjukkan Huawei resolusi 5 menit.</w:t>
      </w:r>
    </w:p>
    <w:p>
      <w:pPr>
        <w:jc w:val="both"/>
      </w:pPr>
      <w:r>
        <w:rPr/>
        <w:t>Gambar 2 memperlihatkan bahwa konteks yang lebih panjang membantu sampai sekitar 2048 langkah pada kedua dataset, dan sesudah itu perbaikannya kecil. Pada Huawei 5 menit, memperpanjang konteks dari 512 ke 1024 langkah (dari 1,8 ke 3,5 hari) menurunkan relMASE Chronos-2 dari 0,561 menjadi 0,470, dan perubahan dari 1024 ke 2048 langkah hanya 0,003. Di atas 2048, TimesFM-3 masih membaik dari 0,471 menjadi 0,436 pada 6912 langkah, Chronos-2 hanya turun ke 0,458, dan Toto sedikit memburuk (0,515 menjadi 0,523 pada 4096). Pada Azure 2019 1 menit, konteks 2048 langkah (sekitar 34 jam) lebih baik daripada 512 langkah untuk ketiga model: Chronos-2 dari 0,612 menjadi 0,584, TimesFM-3 dari 0,625 menjadi 0,566, dan Toto dari 0,588 menjadi 0,556. Di atas 2048, Toto masih sedikit membaik (0,548 pada 4096), sedangkan Chronos-2 sedikit memburuk (0,596 pada 8192) dan menjadi 4,4 kali lebih lambat. Hasil TiRex identik untuk C ≥ 2048, yang mengindikasikan bahwa konteksnya dipotong secara internal. Konteks utama C = 2048 dengan demikian wajar untuk kedua resolusi, walaupun TimesFM-3 pada data 5 menit masih bisa diperbaiki sekitar 7% dengan konteks yang lebih panjang.</w:t>
      </w:r>
    </w:p>
    <w:p>
      <w:pPr>
        <w:pStyle w:val="Heading2"/>
      </w:pPr>
      <w:r>
        <w:t>4.4 Biaya komputasi (RQ2)</w:t>
      </w:r>
    </w:p>
    <w:p>
      <w:pPr>
        <w:keepNext/>
      </w:pPr>
      <w:r>
        <w:rPr>
          <w:b/>
          <w:sz w:val="19"/>
        </w:rPr>
        <w:t>Tabel 11.</w:t>
      </w:r>
      <w:r>
        <w:rPr>
          <w:sz w:val="19"/>
        </w:rPr>
        <w:t xml:space="preserve"> Latensi inferensi p50 (ms) di CPU dengan 4 utas dan horizon 60, beserta memori puncak. ᵃ Model dikompilasi dengan </w:t>
      </w:r>
      <w:r>
        <w:rPr>
          <w:i/>
          <w:sz w:val="19"/>
        </w:rPr>
        <w:t>batch</w:t>
      </w:r>
      <w:r>
        <w:rPr>
          <w:sz w:val="19"/>
        </w:rPr>
        <w:t xml:space="preserve"> internal 64, sehingga angka untuk </w:t>
      </w:r>
      <w:r>
        <w:rPr>
          <w:i/>
          <w:sz w:val="19"/>
        </w:rPr>
        <w:t>batch</w:t>
      </w:r>
      <w:r>
        <w:rPr>
          <w:sz w:val="19"/>
        </w:rPr>
        <w:t xml:space="preserve"> 1 ikut terpengaruh </w:t>
      </w:r>
      <w:r>
        <w:rPr>
          <w:i/>
          <w:sz w:val="19"/>
        </w:rPr>
        <w:t>padding</w:t>
      </w:r>
      <w:r>
        <w:rPr>
          <w:sz w:val="19"/>
        </w:rPr>
        <w:t>. RSS (</w:t>
      </w:r>
      <w:r>
        <w:rPr>
          <w:i/>
          <w:sz w:val="19"/>
        </w:rPr>
        <w:t>resident set size</w:t>
      </w:r>
      <w:r>
        <w:rPr>
          <w:sz w:val="19"/>
        </w:rPr>
        <w:t>) mencakup sekitar 1,3 GB data yang dimuat oleh program pengukur.</w:t>
      </w:r>
    </w:p>
    <w:tbl>
      <w:tblPr>
        <w:tblW w:type="auto" w:w="0"/>
        <w:jc w:val="center"/>
        <w:tblLayout w:type="fixed"/>
        <w:tblLook w:firstColumn="1" w:firstRow="1" w:lastColumn="0" w:lastRow="0" w:noHBand="0" w:noVBand="1" w:val="04A0"/>
        <w:tblLayout w:type="fixed"/>
      </w:tblPr>
      <w:tblGrid>
        <w:gridCol w:w="2041"/>
        <w:gridCol w:w="1077"/>
        <w:gridCol w:w="1077"/>
        <w:gridCol w:w="1077"/>
        <w:gridCol w:w="1134"/>
        <w:gridCol w:w="964"/>
      </w:tblGrid>
      <w:tr>
        <w:tc>
          <w:tcPr>
            <w:tcW w:type="dxa" w:w="2041"/>
            <w:tcBorders>
              <w:top w:val="single" w:sz="8" w:color="000000"/>
              <w:bottom w:val="single" w:sz="4" w:color="000000"/>
            </w:tcBorders>
          </w:tcPr>
          <w:p>
            <w:pPr>
              <w:keepNext/>
              <w:spacing w:after="0"/>
              <w:jc w:val="left"/>
            </w:pPr>
            <w:r>
              <w:rPr>
                <w:b/>
                <w:sz w:val="16"/>
              </w:rPr>
              <w:t>Model</w:t>
            </w:r>
          </w:p>
        </w:tc>
        <w:tc>
          <w:tcPr>
            <w:tcW w:type="dxa" w:w="1077"/>
            <w:tcBorders>
              <w:top w:val="single" w:sz="8" w:color="000000"/>
              <w:bottom w:val="single" w:sz="4" w:color="000000"/>
            </w:tcBorders>
          </w:tcPr>
          <w:p>
            <w:pPr>
              <w:keepNext/>
              <w:spacing w:after="0"/>
              <w:jc w:val="center"/>
            </w:pPr>
            <w:r>
              <w:rPr>
                <w:b/>
                <w:sz w:val="16"/>
              </w:rPr>
              <w:t>b=1, C=512</w:t>
            </w:r>
          </w:p>
        </w:tc>
        <w:tc>
          <w:tcPr>
            <w:tcW w:type="dxa" w:w="1077"/>
            <w:tcBorders>
              <w:top w:val="single" w:sz="8" w:color="000000"/>
              <w:bottom w:val="single" w:sz="4" w:color="000000"/>
            </w:tcBorders>
          </w:tcPr>
          <w:p>
            <w:pPr>
              <w:keepNext/>
              <w:spacing w:after="0"/>
              <w:jc w:val="center"/>
            </w:pPr>
            <w:r>
              <w:rPr>
                <w:b/>
                <w:sz w:val="16"/>
              </w:rPr>
              <w:t>b=1, C=2048</w:t>
            </w:r>
          </w:p>
        </w:tc>
        <w:tc>
          <w:tcPr>
            <w:tcW w:type="dxa" w:w="1077"/>
            <w:tcBorders>
              <w:top w:val="single" w:sz="8" w:color="000000"/>
              <w:bottom w:val="single" w:sz="4" w:color="000000"/>
            </w:tcBorders>
          </w:tcPr>
          <w:p>
            <w:pPr>
              <w:keepNext/>
              <w:spacing w:after="0"/>
              <w:jc w:val="center"/>
            </w:pPr>
            <w:r>
              <w:rPr>
                <w:b/>
                <w:sz w:val="16"/>
              </w:rPr>
              <w:t>b=64, C=512</w:t>
            </w:r>
          </w:p>
        </w:tc>
        <w:tc>
          <w:tcPr>
            <w:tcW w:type="dxa" w:w="1134"/>
            <w:tcBorders>
              <w:top w:val="single" w:sz="8" w:color="000000"/>
              <w:bottom w:val="single" w:sz="4" w:color="000000"/>
            </w:tcBorders>
          </w:tcPr>
          <w:p>
            <w:pPr>
              <w:keepNext/>
              <w:spacing w:after="0"/>
              <w:jc w:val="center"/>
            </w:pPr>
            <w:r>
              <w:rPr>
                <w:b/>
                <w:sz w:val="16"/>
              </w:rPr>
              <w:t>b=64, C=2048</w:t>
            </w:r>
          </w:p>
        </w:tc>
        <w:tc>
          <w:tcPr>
            <w:tcW w:type="dxa" w:w="964"/>
            <w:tcBorders>
              <w:top w:val="single" w:sz="8" w:color="000000"/>
              <w:bottom w:val="single" w:sz="4" w:color="000000"/>
            </w:tcBorders>
          </w:tcPr>
          <w:p>
            <w:pPr>
              <w:keepNext/>
              <w:spacing w:after="0"/>
              <w:jc w:val="center"/>
            </w:pPr>
            <w:r>
              <w:rPr>
                <w:b/>
                <w:sz w:val="16"/>
              </w:rPr>
              <w:t>RSS (MB)</w:t>
            </w:r>
          </w:p>
        </w:tc>
      </w:tr>
      <w:tr>
        <w:tc>
          <w:tcPr>
            <w:tcW w:type="dxa" w:w="2041"/>
          </w:tcPr>
          <w:p>
            <w:pPr>
              <w:keepNext/>
              <w:spacing w:after="0"/>
              <w:jc w:val="left"/>
            </w:pPr>
            <w:r>
              <w:rPr>
                <w:sz w:val="16"/>
              </w:rPr>
              <w:t>Naive, seasonal naive</w:t>
            </w:r>
          </w:p>
        </w:tc>
        <w:tc>
          <w:tcPr>
            <w:tcW w:type="dxa" w:w="1077"/>
          </w:tcPr>
          <w:p>
            <w:pPr>
              <w:keepNext/>
              <w:spacing w:after="0"/>
              <w:jc w:val="center"/>
            </w:pPr>
            <w:r>
              <w:rPr>
                <w:sz w:val="16"/>
              </w:rPr>
              <w:t>&lt;0,1</w:t>
            </w:r>
          </w:p>
        </w:tc>
        <w:tc>
          <w:tcPr>
            <w:tcW w:type="dxa" w:w="1077"/>
          </w:tcPr>
          <w:p>
            <w:pPr>
              <w:keepNext/>
              <w:spacing w:after="0"/>
              <w:jc w:val="center"/>
            </w:pPr>
            <w:r>
              <w:rPr>
                <w:sz w:val="16"/>
              </w:rPr>
              <w:t>&lt;0,1</w:t>
            </w:r>
          </w:p>
        </w:tc>
        <w:tc>
          <w:tcPr>
            <w:tcW w:type="dxa" w:w="1077"/>
          </w:tcPr>
          <w:p>
            <w:pPr>
              <w:keepNext/>
              <w:spacing w:after="0"/>
              <w:jc w:val="center"/>
            </w:pPr>
            <w:r>
              <w:rPr>
                <w:sz w:val="16"/>
              </w:rPr>
              <w:t>&lt;0,1</w:t>
            </w:r>
          </w:p>
        </w:tc>
        <w:tc>
          <w:tcPr>
            <w:tcW w:type="dxa" w:w="1134"/>
          </w:tcPr>
          <w:p>
            <w:pPr>
              <w:keepNext/>
              <w:spacing w:after="0"/>
              <w:jc w:val="center"/>
            </w:pPr>
            <w:r>
              <w:rPr>
                <w:sz w:val="16"/>
              </w:rPr>
              <w:t>&lt;0,1</w:t>
            </w:r>
          </w:p>
        </w:tc>
        <w:tc>
          <w:tcPr>
            <w:tcW w:type="dxa" w:w="964"/>
          </w:tcPr>
          <w:p>
            <w:pPr>
              <w:keepNext/>
              <w:spacing w:after="0"/>
              <w:jc w:val="center"/>
            </w:pPr>
            <w:r>
              <w:rPr>
                <w:sz w:val="16"/>
              </w:rPr>
              <w:t>1300</w:t>
            </w:r>
          </w:p>
        </w:tc>
      </w:tr>
      <w:tr>
        <w:tc>
          <w:tcPr>
            <w:tcW w:type="dxa" w:w="2041"/>
          </w:tcPr>
          <w:p>
            <w:pPr>
              <w:keepNext/>
              <w:spacing w:after="0"/>
              <w:jc w:val="left"/>
            </w:pPr>
            <w:r>
              <w:rPr>
                <w:sz w:val="16"/>
              </w:rPr>
              <w:t>TSB, Croston</w:t>
            </w:r>
          </w:p>
        </w:tc>
        <w:tc>
          <w:tcPr>
            <w:tcW w:type="dxa" w:w="1077"/>
          </w:tcPr>
          <w:p>
            <w:pPr>
              <w:keepNext/>
              <w:spacing w:after="0"/>
              <w:jc w:val="center"/>
            </w:pPr>
            <w:r>
              <w:rPr>
                <w:sz w:val="16"/>
              </w:rPr>
              <w:t>0,2</w:t>
            </w:r>
          </w:p>
        </w:tc>
        <w:tc>
          <w:tcPr>
            <w:tcW w:type="dxa" w:w="1077"/>
          </w:tcPr>
          <w:p>
            <w:pPr>
              <w:keepNext/>
              <w:spacing w:after="0"/>
              <w:jc w:val="center"/>
            </w:pPr>
            <w:r>
              <w:rPr>
                <w:sz w:val="16"/>
              </w:rPr>
              <w:t>0,3</w:t>
            </w:r>
          </w:p>
        </w:tc>
        <w:tc>
          <w:tcPr>
            <w:tcW w:type="dxa" w:w="1077"/>
          </w:tcPr>
          <w:p>
            <w:pPr>
              <w:keepNext/>
              <w:spacing w:after="0"/>
              <w:jc w:val="center"/>
            </w:pPr>
            <w:r>
              <w:rPr>
                <w:sz w:val="16"/>
              </w:rPr>
              <w:t>8,5</w:t>
            </w:r>
          </w:p>
        </w:tc>
        <w:tc>
          <w:tcPr>
            <w:tcW w:type="dxa" w:w="1134"/>
          </w:tcPr>
          <w:p>
            <w:pPr>
              <w:keepNext/>
              <w:spacing w:after="0"/>
              <w:jc w:val="center"/>
            </w:pPr>
            <w:r>
              <w:rPr>
                <w:sz w:val="16"/>
              </w:rPr>
              <w:t>14</w:t>
            </w:r>
          </w:p>
        </w:tc>
        <w:tc>
          <w:tcPr>
            <w:tcW w:type="dxa" w:w="964"/>
          </w:tcPr>
          <w:p>
            <w:pPr>
              <w:keepNext/>
              <w:spacing w:after="0"/>
              <w:jc w:val="center"/>
            </w:pPr>
            <w:r>
              <w:rPr>
                <w:sz w:val="16"/>
              </w:rPr>
              <w:t>1400</w:t>
            </w:r>
          </w:p>
        </w:tc>
      </w:tr>
      <w:tr>
        <w:tc>
          <w:tcPr>
            <w:tcW w:type="dxa" w:w="2041"/>
          </w:tcPr>
          <w:p>
            <w:pPr>
              <w:keepNext/>
              <w:spacing w:after="0"/>
              <w:jc w:val="left"/>
            </w:pPr>
            <w:r>
              <w:rPr>
                <w:sz w:val="16"/>
              </w:rPr>
              <w:t>TTM-r2</w:t>
            </w:r>
          </w:p>
        </w:tc>
        <w:tc>
          <w:tcPr>
            <w:tcW w:type="dxa" w:w="1077"/>
          </w:tcPr>
          <w:p>
            <w:pPr>
              <w:keepNext/>
              <w:spacing w:after="0"/>
              <w:jc w:val="center"/>
            </w:pPr>
            <w:r>
              <w:rPr>
                <w:sz w:val="16"/>
              </w:rPr>
              <w:t>1,3</w:t>
            </w:r>
          </w:p>
        </w:tc>
        <w:tc>
          <w:tcPr>
            <w:tcW w:type="dxa" w:w="1077"/>
          </w:tcPr>
          <w:p>
            <w:pPr>
              <w:keepNext/>
              <w:spacing w:after="0"/>
              <w:jc w:val="center"/>
            </w:pPr>
            <w:r>
              <w:rPr>
                <w:sz w:val="16"/>
              </w:rPr>
              <w:t>1,7</w:t>
            </w:r>
          </w:p>
        </w:tc>
        <w:tc>
          <w:tcPr>
            <w:tcW w:type="dxa" w:w="1077"/>
          </w:tcPr>
          <w:p>
            <w:pPr>
              <w:keepNext/>
              <w:spacing w:after="0"/>
              <w:jc w:val="center"/>
            </w:pPr>
            <w:r>
              <w:rPr>
                <w:sz w:val="16"/>
              </w:rPr>
              <w:t>6,7</w:t>
            </w:r>
          </w:p>
        </w:tc>
        <w:tc>
          <w:tcPr>
            <w:tcW w:type="dxa" w:w="1134"/>
          </w:tcPr>
          <w:p>
            <w:pPr>
              <w:keepNext/>
              <w:spacing w:after="0"/>
              <w:jc w:val="center"/>
            </w:pPr>
            <w:r>
              <w:rPr>
                <w:sz w:val="16"/>
              </w:rPr>
              <w:t>15</w:t>
            </w:r>
          </w:p>
        </w:tc>
        <w:tc>
          <w:tcPr>
            <w:tcW w:type="dxa" w:w="964"/>
          </w:tcPr>
          <w:p>
            <w:pPr>
              <w:keepNext/>
              <w:spacing w:after="0"/>
              <w:jc w:val="center"/>
            </w:pPr>
            <w:r>
              <w:rPr>
                <w:sz w:val="16"/>
              </w:rPr>
              <w:t>1586</w:t>
            </w:r>
          </w:p>
        </w:tc>
      </w:tr>
      <w:tr>
        <w:tc>
          <w:tcPr>
            <w:tcW w:type="dxa" w:w="2041"/>
          </w:tcPr>
          <w:p>
            <w:pPr>
              <w:keepNext/>
              <w:spacing w:after="0"/>
              <w:jc w:val="left"/>
            </w:pPr>
            <w:r>
              <w:rPr>
                <w:sz w:val="16"/>
              </w:rPr>
              <w:t>Chronos-Bolt-S</w:t>
            </w:r>
          </w:p>
        </w:tc>
        <w:tc>
          <w:tcPr>
            <w:tcW w:type="dxa" w:w="1077"/>
          </w:tcPr>
          <w:p>
            <w:pPr>
              <w:keepNext/>
              <w:spacing w:after="0"/>
              <w:jc w:val="center"/>
            </w:pPr>
            <w:r>
              <w:rPr>
                <w:sz w:val="16"/>
              </w:rPr>
              <w:t>8,2</w:t>
            </w:r>
          </w:p>
        </w:tc>
        <w:tc>
          <w:tcPr>
            <w:tcW w:type="dxa" w:w="1077"/>
          </w:tcPr>
          <w:p>
            <w:pPr>
              <w:keepNext/>
              <w:spacing w:after="0"/>
              <w:jc w:val="center"/>
            </w:pPr>
            <w:r>
              <w:rPr>
                <w:sz w:val="16"/>
              </w:rPr>
              <w:t>13,5</w:t>
            </w:r>
          </w:p>
        </w:tc>
        <w:tc>
          <w:tcPr>
            <w:tcW w:type="dxa" w:w="1077"/>
          </w:tcPr>
          <w:p>
            <w:pPr>
              <w:keepNext/>
              <w:spacing w:after="0"/>
              <w:jc w:val="center"/>
            </w:pPr>
            <w:r>
              <w:rPr>
                <w:sz w:val="16"/>
              </w:rPr>
              <w:t>94</w:t>
            </w:r>
          </w:p>
        </w:tc>
        <w:tc>
          <w:tcPr>
            <w:tcW w:type="dxa" w:w="1134"/>
          </w:tcPr>
          <w:p>
            <w:pPr>
              <w:keepNext/>
              <w:spacing w:after="0"/>
              <w:jc w:val="center"/>
            </w:pPr>
            <w:r>
              <w:rPr>
                <w:sz w:val="16"/>
              </w:rPr>
              <w:t>338</w:t>
            </w:r>
          </w:p>
        </w:tc>
        <w:tc>
          <w:tcPr>
            <w:tcW w:type="dxa" w:w="964"/>
          </w:tcPr>
          <w:p>
            <w:pPr>
              <w:keepNext/>
              <w:spacing w:after="0"/>
              <w:jc w:val="center"/>
            </w:pPr>
            <w:r>
              <w:rPr>
                <w:sz w:val="16"/>
              </w:rPr>
              <w:t>1943</w:t>
            </w:r>
          </w:p>
        </w:tc>
      </w:tr>
      <w:tr>
        <w:tc>
          <w:tcPr>
            <w:tcW w:type="dxa" w:w="2041"/>
          </w:tcPr>
          <w:p>
            <w:pPr>
              <w:keepNext/>
              <w:spacing w:after="0"/>
              <w:jc w:val="left"/>
            </w:pPr>
            <w:r>
              <w:rPr>
                <w:sz w:val="16"/>
              </w:rPr>
              <w:t>Moirai-2-S</w:t>
            </w:r>
          </w:p>
        </w:tc>
        <w:tc>
          <w:tcPr>
            <w:tcW w:type="dxa" w:w="1077"/>
          </w:tcPr>
          <w:p>
            <w:pPr>
              <w:keepNext/>
              <w:spacing w:after="0"/>
              <w:jc w:val="center"/>
            </w:pPr>
            <w:r>
              <w:rPr>
                <w:sz w:val="16"/>
              </w:rPr>
              <w:t>4,2</w:t>
            </w:r>
          </w:p>
        </w:tc>
        <w:tc>
          <w:tcPr>
            <w:tcW w:type="dxa" w:w="1077"/>
          </w:tcPr>
          <w:p>
            <w:pPr>
              <w:keepNext/>
              <w:spacing w:after="0"/>
              <w:jc w:val="center"/>
            </w:pPr>
            <w:r>
              <w:rPr>
                <w:sz w:val="16"/>
              </w:rPr>
              <w:t>10,5</w:t>
            </w:r>
          </w:p>
        </w:tc>
        <w:tc>
          <w:tcPr>
            <w:tcW w:type="dxa" w:w="1077"/>
          </w:tcPr>
          <w:p>
            <w:pPr>
              <w:keepNext/>
              <w:spacing w:after="0"/>
              <w:jc w:val="center"/>
            </w:pPr>
            <w:r>
              <w:rPr>
                <w:sz w:val="16"/>
              </w:rPr>
              <w:t>112</w:t>
            </w:r>
          </w:p>
        </w:tc>
        <w:tc>
          <w:tcPr>
            <w:tcW w:type="dxa" w:w="1134"/>
          </w:tcPr>
          <w:p>
            <w:pPr>
              <w:keepNext/>
              <w:spacing w:after="0"/>
              <w:jc w:val="center"/>
            </w:pPr>
            <w:r>
              <w:rPr>
                <w:sz w:val="16"/>
              </w:rPr>
              <w:t>473</w:t>
            </w:r>
          </w:p>
        </w:tc>
        <w:tc>
          <w:tcPr>
            <w:tcW w:type="dxa" w:w="964"/>
          </w:tcPr>
          <w:p>
            <w:pPr>
              <w:keepNext/>
              <w:spacing w:after="0"/>
              <w:jc w:val="center"/>
            </w:pPr>
            <w:r>
              <w:rPr>
                <w:sz w:val="16"/>
              </w:rPr>
              <w:t>1667</w:t>
            </w:r>
          </w:p>
        </w:tc>
      </w:tr>
      <w:tr>
        <w:tc>
          <w:tcPr>
            <w:tcW w:type="dxa" w:w="2041"/>
          </w:tcPr>
          <w:p>
            <w:pPr>
              <w:keepNext/>
              <w:spacing w:after="0"/>
              <w:jc w:val="left"/>
            </w:pPr>
            <w:r>
              <w:rPr>
                <w:sz w:val="16"/>
              </w:rPr>
              <w:t>Toto (rata-rata)</w:t>
            </w:r>
          </w:p>
        </w:tc>
        <w:tc>
          <w:tcPr>
            <w:tcW w:type="dxa" w:w="1077"/>
          </w:tcPr>
          <w:p>
            <w:pPr>
              <w:keepNext/>
              <w:spacing w:after="0"/>
              <w:jc w:val="center"/>
            </w:pPr>
            <w:r>
              <w:rPr>
                <w:sz w:val="16"/>
              </w:rPr>
              <w:t>27,7</w:t>
            </w:r>
          </w:p>
        </w:tc>
        <w:tc>
          <w:tcPr>
            <w:tcW w:type="dxa" w:w="1077"/>
          </w:tcPr>
          <w:p>
            <w:pPr>
              <w:keepNext/>
              <w:spacing w:after="0"/>
              <w:jc w:val="center"/>
            </w:pPr>
            <w:r>
              <w:rPr>
                <w:sz w:val="16"/>
              </w:rPr>
              <w:t>29,2</w:t>
            </w:r>
          </w:p>
        </w:tc>
        <w:tc>
          <w:tcPr>
            <w:tcW w:type="dxa" w:w="1077"/>
          </w:tcPr>
          <w:p>
            <w:pPr>
              <w:keepNext/>
              <w:spacing w:after="0"/>
              <w:jc w:val="center"/>
            </w:pPr>
            <w:r>
              <w:rPr>
                <w:sz w:val="16"/>
              </w:rPr>
              <w:t>184</w:t>
            </w:r>
          </w:p>
        </w:tc>
        <w:tc>
          <w:tcPr>
            <w:tcW w:type="dxa" w:w="1134"/>
          </w:tcPr>
          <w:p>
            <w:pPr>
              <w:keepNext/>
              <w:spacing w:after="0"/>
              <w:jc w:val="center"/>
            </w:pPr>
            <w:r>
              <w:rPr>
                <w:sz w:val="16"/>
              </w:rPr>
              <w:t>657</w:t>
            </w:r>
          </w:p>
        </w:tc>
        <w:tc>
          <w:tcPr>
            <w:tcW w:type="dxa" w:w="964"/>
          </w:tcPr>
          <w:p>
            <w:pPr>
              <w:keepNext/>
              <w:spacing w:after="0"/>
              <w:jc w:val="center"/>
            </w:pPr>
            <w:r>
              <w:rPr>
                <w:sz w:val="16"/>
              </w:rPr>
              <w:t>2925</w:t>
            </w:r>
          </w:p>
        </w:tc>
      </w:tr>
      <w:tr>
        <w:tc>
          <w:tcPr>
            <w:tcW w:type="dxa" w:w="2041"/>
          </w:tcPr>
          <w:p>
            <w:pPr>
              <w:keepNext/>
              <w:spacing w:after="0"/>
              <w:jc w:val="left"/>
            </w:pPr>
            <w:r>
              <w:rPr>
                <w:sz w:val="16"/>
              </w:rPr>
              <w:t>Chronos-2</w:t>
            </w:r>
          </w:p>
        </w:tc>
        <w:tc>
          <w:tcPr>
            <w:tcW w:type="dxa" w:w="1077"/>
          </w:tcPr>
          <w:p>
            <w:pPr>
              <w:keepNext/>
              <w:spacing w:after="0"/>
              <w:jc w:val="center"/>
            </w:pPr>
            <w:r>
              <w:rPr>
                <w:sz w:val="16"/>
              </w:rPr>
              <w:t>27,5</w:t>
            </w:r>
          </w:p>
        </w:tc>
        <w:tc>
          <w:tcPr>
            <w:tcW w:type="dxa" w:w="1077"/>
          </w:tcPr>
          <w:p>
            <w:pPr>
              <w:keepNext/>
              <w:spacing w:after="0"/>
              <w:jc w:val="center"/>
            </w:pPr>
            <w:r>
              <w:rPr>
                <w:sz w:val="16"/>
              </w:rPr>
              <w:t>49,5</w:t>
            </w:r>
          </w:p>
        </w:tc>
        <w:tc>
          <w:tcPr>
            <w:tcW w:type="dxa" w:w="1077"/>
          </w:tcPr>
          <w:p>
            <w:pPr>
              <w:keepNext/>
              <w:spacing w:after="0"/>
              <w:jc w:val="center"/>
            </w:pPr>
            <w:r>
              <w:rPr>
                <w:sz w:val="16"/>
              </w:rPr>
              <w:t>477</w:t>
            </w:r>
          </w:p>
        </w:tc>
        <w:tc>
          <w:tcPr>
            <w:tcW w:type="dxa" w:w="1134"/>
          </w:tcPr>
          <w:p>
            <w:pPr>
              <w:keepNext/>
              <w:spacing w:after="0"/>
              <w:jc w:val="center"/>
            </w:pPr>
            <w:r>
              <w:rPr>
                <w:sz w:val="16"/>
              </w:rPr>
              <w:t>1696</w:t>
            </w:r>
          </w:p>
        </w:tc>
        <w:tc>
          <w:tcPr>
            <w:tcW w:type="dxa" w:w="964"/>
          </w:tcPr>
          <w:p>
            <w:pPr>
              <w:keepNext/>
              <w:spacing w:after="0"/>
              <w:jc w:val="center"/>
            </w:pPr>
            <w:r>
              <w:rPr>
                <w:sz w:val="16"/>
              </w:rPr>
              <w:t>2481</w:t>
            </w:r>
          </w:p>
        </w:tc>
      </w:tr>
      <w:tr>
        <w:tc>
          <w:tcPr>
            <w:tcW w:type="dxa" w:w="2041"/>
          </w:tcPr>
          <w:p>
            <w:pPr>
              <w:keepNext/>
              <w:spacing w:after="0"/>
              <w:jc w:val="left"/>
            </w:pPr>
            <w:r>
              <w:rPr>
                <w:sz w:val="16"/>
              </w:rPr>
              <w:t>ETS (per deret)</w:t>
            </w:r>
          </w:p>
        </w:tc>
        <w:tc>
          <w:tcPr>
            <w:tcW w:type="dxa" w:w="1077"/>
          </w:tcPr>
          <w:p>
            <w:pPr>
              <w:keepNext/>
              <w:spacing w:after="0"/>
              <w:jc w:val="center"/>
            </w:pPr>
            <w:r>
              <w:rPr>
                <w:sz w:val="16"/>
              </w:rPr>
              <w:t>2,3</w:t>
            </w:r>
          </w:p>
        </w:tc>
        <w:tc>
          <w:tcPr>
            <w:tcW w:type="dxa" w:w="1077"/>
          </w:tcPr>
          <w:p>
            <w:pPr>
              <w:keepNext/>
              <w:spacing w:after="0"/>
              <w:jc w:val="center"/>
            </w:pPr>
            <w:r>
              <w:rPr>
                <w:sz w:val="16"/>
              </w:rPr>
              <w:t>8,4</w:t>
            </w:r>
          </w:p>
        </w:tc>
        <w:tc>
          <w:tcPr>
            <w:tcW w:type="dxa" w:w="1077"/>
          </w:tcPr>
          <w:p>
            <w:pPr>
              <w:keepNext/>
              <w:spacing w:after="0"/>
              <w:jc w:val="center"/>
            </w:pPr>
            <w:r>
              <w:rPr>
                <w:sz w:val="16"/>
              </w:rPr>
              <w:t>595</w:t>
            </w:r>
          </w:p>
        </w:tc>
        <w:tc>
          <w:tcPr>
            <w:tcW w:type="dxa" w:w="1134"/>
          </w:tcPr>
          <w:p>
            <w:pPr>
              <w:keepNext/>
              <w:spacing w:after="0"/>
              <w:jc w:val="center"/>
            </w:pPr>
            <w:r>
              <w:rPr>
                <w:sz w:val="16"/>
              </w:rPr>
              <w:t>3409</w:t>
            </w:r>
          </w:p>
        </w:tc>
        <w:tc>
          <w:tcPr>
            <w:tcW w:type="dxa" w:w="964"/>
          </w:tcPr>
          <w:p>
            <w:pPr>
              <w:keepNext/>
              <w:spacing w:after="0"/>
              <w:jc w:val="center"/>
            </w:pPr>
            <w:r>
              <w:rPr>
                <w:sz w:val="16"/>
              </w:rPr>
              <w:t>1342</w:t>
            </w:r>
          </w:p>
        </w:tc>
      </w:tr>
      <w:tr>
        <w:tc>
          <w:tcPr>
            <w:tcW w:type="dxa" w:w="2041"/>
          </w:tcPr>
          <w:p>
            <w:pPr>
              <w:keepNext/>
              <w:spacing w:after="0"/>
              <w:jc w:val="left"/>
            </w:pPr>
            <w:r>
              <w:rPr>
                <w:sz w:val="16"/>
              </w:rPr>
              <w:t>TimesFM-3</w:t>
            </w:r>
          </w:p>
        </w:tc>
        <w:tc>
          <w:tcPr>
            <w:tcW w:type="dxa" w:w="1077"/>
          </w:tcPr>
          <w:p>
            <w:pPr>
              <w:keepNext/>
              <w:spacing w:after="0"/>
              <w:jc w:val="center"/>
            </w:pPr>
            <w:r>
              <w:rPr>
                <w:sz w:val="16"/>
              </w:rPr>
              <w:t>74,8</w:t>
            </w:r>
          </w:p>
        </w:tc>
        <w:tc>
          <w:tcPr>
            <w:tcW w:type="dxa" w:w="1077"/>
          </w:tcPr>
          <w:p>
            <w:pPr>
              <w:keepNext/>
              <w:spacing w:after="0"/>
              <w:jc w:val="center"/>
            </w:pPr>
            <w:r>
              <w:rPr>
                <w:sz w:val="16"/>
              </w:rPr>
              <w:t>128,7</w:t>
            </w:r>
          </w:p>
        </w:tc>
        <w:tc>
          <w:tcPr>
            <w:tcW w:type="dxa" w:w="1077"/>
          </w:tcPr>
          <w:p>
            <w:pPr>
              <w:keepNext/>
              <w:spacing w:after="0"/>
              <w:jc w:val="center"/>
            </w:pPr>
            <w:r>
              <w:rPr>
                <w:sz w:val="16"/>
              </w:rPr>
              <w:t>1615</w:t>
            </w:r>
          </w:p>
        </w:tc>
        <w:tc>
          <w:tcPr>
            <w:tcW w:type="dxa" w:w="1134"/>
          </w:tcPr>
          <w:p>
            <w:pPr>
              <w:keepNext/>
              <w:spacing w:after="0"/>
              <w:jc w:val="center"/>
            </w:pPr>
            <w:r>
              <w:rPr>
                <w:sz w:val="16"/>
              </w:rPr>
              <w:t>3338</w:t>
            </w:r>
          </w:p>
        </w:tc>
        <w:tc>
          <w:tcPr>
            <w:tcW w:type="dxa" w:w="964"/>
          </w:tcPr>
          <w:p>
            <w:pPr>
              <w:keepNext/>
              <w:spacing w:after="0"/>
              <w:jc w:val="center"/>
            </w:pPr>
            <w:r>
              <w:rPr>
                <w:sz w:val="16"/>
              </w:rPr>
              <w:t>5044</w:t>
            </w:r>
          </w:p>
        </w:tc>
      </w:tr>
      <w:tr>
        <w:tc>
          <w:tcPr>
            <w:tcW w:type="dxa" w:w="2041"/>
          </w:tcPr>
          <w:p>
            <w:pPr>
              <w:keepNext/>
              <w:spacing w:after="0"/>
              <w:jc w:val="left"/>
            </w:pPr>
            <w:r>
              <w:rPr>
                <w:sz w:val="16"/>
              </w:rPr>
              <w:t>TimesFM-2.5ᵃ</w:t>
            </w:r>
          </w:p>
        </w:tc>
        <w:tc>
          <w:tcPr>
            <w:tcW w:type="dxa" w:w="1077"/>
          </w:tcPr>
          <w:p>
            <w:pPr>
              <w:keepNext/>
              <w:spacing w:after="0"/>
              <w:jc w:val="center"/>
            </w:pPr>
            <w:r>
              <w:rPr>
                <w:sz w:val="16"/>
              </w:rPr>
              <w:t>836</w:t>
            </w:r>
          </w:p>
        </w:tc>
        <w:tc>
          <w:tcPr>
            <w:tcW w:type="dxa" w:w="1077"/>
          </w:tcPr>
          <w:p>
            <w:pPr>
              <w:keepNext/>
              <w:spacing w:after="0"/>
              <w:jc w:val="center"/>
            </w:pPr>
            <w:r>
              <w:rPr>
                <w:sz w:val="16"/>
              </w:rPr>
              <w:t>3348</w:t>
            </w:r>
          </w:p>
        </w:tc>
        <w:tc>
          <w:tcPr>
            <w:tcW w:type="dxa" w:w="1077"/>
          </w:tcPr>
          <w:p>
            <w:pPr>
              <w:keepNext/>
              <w:spacing w:after="0"/>
              <w:jc w:val="center"/>
            </w:pPr>
            <w:r>
              <w:rPr>
                <w:sz w:val="16"/>
              </w:rPr>
              <w:t>838</w:t>
            </w:r>
          </w:p>
        </w:tc>
        <w:tc>
          <w:tcPr>
            <w:tcW w:type="dxa" w:w="1134"/>
          </w:tcPr>
          <w:p>
            <w:pPr>
              <w:keepNext/>
              <w:spacing w:after="0"/>
              <w:jc w:val="center"/>
            </w:pPr>
            <w:r>
              <w:rPr>
                <w:sz w:val="16"/>
              </w:rPr>
              <w:t>3604</w:t>
            </w:r>
          </w:p>
        </w:tc>
        <w:tc>
          <w:tcPr>
            <w:tcW w:type="dxa" w:w="964"/>
          </w:tcPr>
          <w:p>
            <w:pPr>
              <w:keepNext/>
              <w:spacing w:after="0"/>
              <w:jc w:val="center"/>
            </w:pPr>
            <w:r>
              <w:rPr>
                <w:sz w:val="16"/>
              </w:rPr>
              <w:t>4912</w:t>
            </w:r>
          </w:p>
        </w:tc>
      </w:tr>
      <w:tr>
        <w:tc>
          <w:tcPr>
            <w:tcW w:type="dxa" w:w="2041"/>
          </w:tcPr>
          <w:p>
            <w:pPr>
              <w:keepNext/>
              <w:spacing w:after="0"/>
              <w:jc w:val="left"/>
            </w:pPr>
            <w:r>
              <w:rPr>
                <w:sz w:val="16"/>
              </w:rPr>
              <w:t>TiRex</w:t>
            </w:r>
          </w:p>
        </w:tc>
        <w:tc>
          <w:tcPr>
            <w:tcW w:type="dxa" w:w="1077"/>
          </w:tcPr>
          <w:p>
            <w:pPr>
              <w:keepNext/>
              <w:spacing w:after="0"/>
              <w:jc w:val="center"/>
            </w:pPr>
            <w:r>
              <w:rPr>
                <w:sz w:val="16"/>
              </w:rPr>
              <w:t>223</w:t>
            </w:r>
          </w:p>
        </w:tc>
        <w:tc>
          <w:tcPr>
            <w:tcW w:type="dxa" w:w="1077"/>
          </w:tcPr>
          <w:p>
            <w:pPr>
              <w:keepNext/>
              <w:spacing w:after="0"/>
              <w:jc w:val="center"/>
            </w:pPr>
            <w:r>
              <w:rPr>
                <w:sz w:val="16"/>
              </w:rPr>
              <w:t>223</w:t>
            </w:r>
          </w:p>
        </w:tc>
        <w:tc>
          <w:tcPr>
            <w:tcW w:type="dxa" w:w="1077"/>
          </w:tcPr>
          <w:p>
            <w:pPr>
              <w:keepNext/>
              <w:spacing w:after="0"/>
              <w:jc w:val="center"/>
            </w:pPr>
            <w:r>
              <w:rPr>
                <w:sz w:val="16"/>
              </w:rPr>
              <w:t>9909</w:t>
            </w:r>
          </w:p>
        </w:tc>
        <w:tc>
          <w:tcPr>
            <w:tcW w:type="dxa" w:w="1134"/>
          </w:tcPr>
          <w:p>
            <w:pPr>
              <w:keepNext/>
              <w:spacing w:after="0"/>
              <w:jc w:val="center"/>
            </w:pPr>
            <w:r>
              <w:rPr>
                <w:sz w:val="16"/>
              </w:rPr>
              <w:t>9898</w:t>
            </w:r>
          </w:p>
        </w:tc>
        <w:tc>
          <w:tcPr>
            <w:tcW w:type="dxa" w:w="964"/>
          </w:tcPr>
          <w:p>
            <w:pPr>
              <w:keepNext/>
              <w:spacing w:after="0"/>
              <w:jc w:val="center"/>
            </w:pPr>
            <w:r>
              <w:rPr>
                <w:sz w:val="16"/>
              </w:rPr>
              <w:t>1887</w:t>
            </w:r>
          </w:p>
        </w:tc>
      </w:tr>
      <w:tr>
        <w:tc>
          <w:tcPr>
            <w:tcW w:type="dxa" w:w="2041"/>
            <w:tcBorders>
              <w:bottom w:val="single" w:sz="8" w:color="000000"/>
            </w:tcBorders>
          </w:tcPr>
          <w:p>
            <w:pPr>
              <w:keepNext w:val="0"/>
              <w:spacing w:after="0"/>
              <w:jc w:val="left"/>
            </w:pPr>
            <w:r>
              <w:rPr>
                <w:sz w:val="16"/>
              </w:rPr>
              <w:t>Toto (20 sampel)</w:t>
            </w:r>
          </w:p>
        </w:tc>
        <w:tc>
          <w:tcPr>
            <w:tcW w:type="dxa" w:w="1077"/>
            <w:tcBorders>
              <w:bottom w:val="single" w:sz="8" w:color="000000"/>
            </w:tcBorders>
          </w:tcPr>
          <w:p>
            <w:pPr>
              <w:keepNext w:val="0"/>
              <w:spacing w:after="0"/>
              <w:jc w:val="center"/>
            </w:pPr>
            <w:r>
              <w:rPr>
                <w:sz w:val="16"/>
              </w:rPr>
              <w:t>111</w:t>
            </w:r>
          </w:p>
        </w:tc>
        <w:tc>
          <w:tcPr>
            <w:tcW w:type="dxa" w:w="1077"/>
            <w:tcBorders>
              <w:bottom w:val="single" w:sz="8" w:color="000000"/>
            </w:tcBorders>
          </w:tcPr>
          <w:p>
            <w:pPr>
              <w:keepNext w:val="0"/>
              <w:spacing w:after="0"/>
              <w:jc w:val="center"/>
            </w:pPr>
            <w:r>
              <w:rPr>
                <w:sz w:val="16"/>
              </w:rPr>
              <w:t>283</w:t>
            </w:r>
          </w:p>
        </w:tc>
        <w:tc>
          <w:tcPr>
            <w:tcW w:type="dxa" w:w="1077"/>
            <w:tcBorders>
              <w:bottom w:val="single" w:sz="8" w:color="000000"/>
            </w:tcBorders>
          </w:tcPr>
          <w:p>
            <w:pPr>
              <w:keepNext w:val="0"/>
              <w:spacing w:after="0"/>
              <w:jc w:val="center"/>
            </w:pPr>
            <w:r>
              <w:rPr>
                <w:sz w:val="16"/>
              </w:rPr>
              <w:t>4154</w:t>
            </w:r>
          </w:p>
        </w:tc>
        <w:tc>
          <w:tcPr>
            <w:tcW w:type="dxa" w:w="1134"/>
            <w:tcBorders>
              <w:bottom w:val="single" w:sz="8" w:color="000000"/>
            </w:tcBorders>
          </w:tcPr>
          <w:p>
            <w:pPr>
              <w:keepNext w:val="0"/>
              <w:spacing w:after="0"/>
              <w:jc w:val="center"/>
            </w:pPr>
            <w:r>
              <w:rPr>
                <w:sz w:val="16"/>
              </w:rPr>
              <w:t>22994</w:t>
            </w:r>
          </w:p>
        </w:tc>
        <w:tc>
          <w:tcPr>
            <w:tcW w:type="dxa" w:w="964"/>
            <w:tcBorders>
              <w:bottom w:val="single" w:sz="8" w:color="000000"/>
            </w:tcBorders>
          </w:tcPr>
          <w:p>
            <w:pPr>
              <w:keepNext w:val="0"/>
              <w:spacing w:after="0"/>
              <w:jc w:val="center"/>
            </w:pPr>
            <w:r>
              <w:rPr>
                <w:sz w:val="16"/>
              </w:rPr>
              <w:t>9567</w:t>
            </w:r>
          </w:p>
        </w:tc>
      </w:tr>
    </w:tbl>
    <w:p>
      <w:pPr>
        <w:spacing w:after="40"/>
      </w:pPr>
    </w:p>
    <w:p>
      <w:pPr>
        <w:keepNext/>
        <w:jc w:val="center"/>
      </w:pPr>
      <w:r>
        <w:drawing>
          <wp:inline xmlns:a="http://schemas.openxmlformats.org/drawingml/2006/main" xmlns:pic="http://schemas.openxmlformats.org/drawingml/2006/picture">
            <wp:extent cx="3780000" cy="3091734"/>
            <wp:docPr id="3" name="Picture 3"/>
            <wp:cNvGraphicFramePr>
              <a:graphicFrameLocks noChangeAspect="1"/>
            </wp:cNvGraphicFramePr>
            <a:graphic>
              <a:graphicData uri="http://schemas.openxmlformats.org/drawingml/2006/picture">
                <pic:pic>
                  <pic:nvPicPr>
                    <pic:cNvPr id="0" name="pareto_accuracy_latency_id.png"/>
                    <pic:cNvPicPr/>
                  </pic:nvPicPr>
                  <pic:blipFill>
                    <a:blip r:embed="rId11"/>
                    <a:stretch>
                      <a:fillRect/>
                    </a:stretch>
                  </pic:blipFill>
                  <pic:spPr>
                    <a:xfrm>
                      <a:off x="0" y="0"/>
                      <a:ext cx="3780000" cy="3091734"/>
                    </a:xfrm>
                    <a:prstGeom prst="rect"/>
                  </pic:spPr>
                </pic:pic>
              </a:graphicData>
            </a:graphic>
          </wp:inline>
        </w:drawing>
      </w:r>
    </w:p>
    <w:p>
      <w:pPr>
        <w:jc w:val="center"/>
      </w:pPr>
      <w:r>
        <w:rPr>
          <w:b/>
          <w:sz w:val="19"/>
        </w:rPr>
        <w:t>Gambar 3.</w:t>
      </w:r>
      <w:r>
        <w:rPr>
          <w:sz w:val="19"/>
        </w:rPr>
        <w:t xml:space="preserve"> Akurasi (rata-rata geometrik relMASE pada empat dataset padat) terhadap latensi CPU (</w:t>
      </w:r>
      <w:r>
        <w:rPr>
          <w:i/>
          <w:sz w:val="19"/>
        </w:rPr>
        <w:t>batch</w:t>
      </w:r>
      <w:r>
        <w:rPr>
          <w:sz w:val="19"/>
        </w:rPr>
        <w:t xml:space="preserve"> 64, C = 2048). Garis titik-titik menunjukkan akurasi model pembanding terlatih yang latensinya tidak diukur.</w:t>
      </w:r>
    </w:p>
    <w:p>
      <w:pPr>
        <w:jc w:val="both"/>
      </w:pPr>
      <w:r>
        <w:rPr/>
        <w:t>Pada empat dataset padat, rata-rata geometrik relMASE TimesFM-3 adalah 0,524, Chronos-2 0,534, dan Toto 0,545 (Gambar 3). TimesFM-3 memiliki galat agregat terendah, tetapi membutuhkan 3,3 detik untuk 64 deret, sedangkan Chronos-2 membutuhkan 1,7 detik dan Toto dalam mode rata-rata 0,66 detik. Kedua model terakhir menawarkan kompromi akurasi dan latensi yang menarik, dan ketiganya berada pada batas Pareto. TiRex paling lambat di antara TSFM besar (9,9 detik), dan akurasinya juga lebih rendah. Model ETS yang ditaksir untuk setiap deret pada konteks 2048 sudah sama lambatnya dengan TimesFM-3, sehingga inferensi TSFM besar tidak lebih mahal daripada penaksiran model statistik lokal. Pada eksekusi penuh, satu siklus peramalan per jam untuk 550 aplikasi membutuhkan sekitar 37 detik dengan TimesFM-3 dan sekitar 100 detik dengan TiRex di CPU laptop, jauh di bawah anggaran 60 menit. Sebagai pembanding, pelatihan model untuk Azure 2019 resolusi 1 menit membutuhkan 384 detik (LightGBM), 1615 detik (LSTM), dan 3057 detik (N-BEATS), dan pelatihan itu perlu diulang ketika pola beban berubah.</w:t>
      </w:r>
    </w:p>
    <w:p>
      <w:pPr>
        <w:jc w:val="both"/>
      </w:pPr>
      <w:r>
        <w:rPr/>
        <w:t xml:space="preserve">Toto dengan 20 sampel 35 kali lebih lambat dan memakai RAM 9,6 GB. Ramalan titik yang diturunkan dari 20 sampel memiliki relMASE lebih buruk daripada mode rata-rata (Huawei 0,595 dan 0,515; Alibaba 0,697 dan 0,639), tetapi kualitas probabilistiknya lebih baik atau setara: </w:t>
      </w:r>
      <w:r>
        <w:rPr>
          <w:i/>
        </w:rPr>
        <w:t>weighted quantile loss</w:t>
      </w:r>
      <w:r>
        <w:rPr/>
        <w:t xml:space="preserve"> pada Huawei 0,108, dibanding 0,121 untuk mode rata-rata dengan kuantil konformal, dan pada Alibaba 0,106 dibanding 0,105.</w:t>
      </w:r>
    </w:p>
    <w:p>
      <w:pPr>
        <w:pStyle w:val="Heading2"/>
      </w:pPr>
      <w:r>
        <w:t>4.5 Keputusan penskalaan (RQ3)</w:t>
      </w:r>
    </w:p>
    <w:p>
      <w:pPr>
        <w:keepNext/>
        <w:jc w:val="center"/>
      </w:pPr>
      <w:r>
        <w:drawing>
          <wp:inline xmlns:a="http://schemas.openxmlformats.org/drawingml/2006/main" xmlns:pic="http://schemas.openxmlformats.org/drawingml/2006/picture">
            <wp:extent cx="5580000" cy="2154963"/>
            <wp:docPr id="4" name="Picture 4"/>
            <wp:cNvGraphicFramePr>
              <a:graphicFrameLocks noChangeAspect="1"/>
            </wp:cNvGraphicFramePr>
            <a:graphic>
              <a:graphicData uri="http://schemas.openxmlformats.org/drawingml/2006/picture">
                <pic:pic>
                  <pic:nvPicPr>
                    <pic:cNvPr id="0" name="tradeoff_autoscaling_id.png"/>
                    <pic:cNvPicPr/>
                  </pic:nvPicPr>
                  <pic:blipFill>
                    <a:blip r:embed="rId12"/>
                    <a:stretch>
                      <a:fillRect/>
                    </a:stretch>
                  </pic:blipFill>
                  <pic:spPr>
                    <a:xfrm>
                      <a:off x="0" y="0"/>
                      <a:ext cx="5580000" cy="2154963"/>
                    </a:xfrm>
                    <a:prstGeom prst="rect"/>
                  </pic:spPr>
                </pic:pic>
              </a:graphicData>
            </a:graphic>
          </wp:inline>
        </w:drawing>
      </w:r>
    </w:p>
    <w:p>
      <w:pPr>
        <w:jc w:val="center"/>
      </w:pPr>
      <w:r>
        <w:rPr>
          <w:b/>
          <w:sz w:val="19"/>
        </w:rPr>
        <w:t>Gambar 4.</w:t>
      </w:r>
      <w:r>
        <w:rPr>
          <w:sz w:val="19"/>
        </w:rPr>
        <w:t xml:space="preserve"> Kurva kompromi penskalaan dalam skala logaritmik. Setiap titik pada kurva prediktif dan hibrida adalah pasangan (τ, θ) yang Pareto-optimal pada periode validasi, dievaluasi pada periode uji. Kurva reaktif memvariasikan durasi </w:t>
      </w:r>
      <w:r>
        <w:rPr>
          <w:i/>
          <w:sz w:val="19"/>
        </w:rPr>
        <w:t>keep-alive</w:t>
      </w:r>
      <w:r>
        <w:rPr>
          <w:sz w:val="19"/>
        </w:rPr>
        <w:t xml:space="preserve"> atau target utilisasi. Posisi kiri bawah lebih baik.</w:t>
      </w:r>
    </w:p>
    <w:p>
      <w:pPr>
        <w:keepNext/>
      </w:pPr>
      <w:r>
        <w:rPr>
          <w:b/>
          <w:sz w:val="19"/>
        </w:rPr>
        <w:t>Tabel 12.</w:t>
      </w:r>
      <w:r>
        <w:rPr>
          <w:sz w:val="19"/>
        </w:rPr>
        <w:t xml:space="preserve"> Simulasi serverless Azure 2019 (548 aplikasi, resolusi 1 menit, 2 hari data uji): proksi instance menganggur per kebutuhan pada proksi </w:t>
      </w:r>
      <w:r>
        <w:rPr>
          <w:i/>
          <w:sz w:val="19"/>
        </w:rPr>
        <w:t>cold start</w:t>
      </w:r>
      <w:r>
        <w:rPr>
          <w:sz w:val="19"/>
        </w:rPr>
        <w:t xml:space="preserve"> yang sama (interpolasi). Tanda “–” berarti tingkat risiko tersebut berada di luar jangkauan kurva kebijakan.</w:t>
      </w:r>
    </w:p>
    <w:tbl>
      <w:tblPr>
        <w:tblW w:type="auto" w:w="0"/>
        <w:jc w:val="center"/>
        <w:tblLayout w:type="fixed"/>
        <w:tblLook w:firstColumn="1" w:firstRow="1" w:lastColumn="0" w:lastRow="0" w:noHBand="0" w:noVBand="1" w:val="04A0"/>
        <w:tblLayout w:type="fixed"/>
      </w:tblPr>
      <w:tblGrid>
        <w:gridCol w:w="2608"/>
        <w:gridCol w:w="1474"/>
        <w:gridCol w:w="1134"/>
        <w:gridCol w:w="2381"/>
      </w:tblGrid>
      <w:tr>
        <w:tc>
          <w:tcPr>
            <w:tcW w:type="dxa" w:w="2608"/>
            <w:tcBorders>
              <w:top w:val="single" w:sz="8" w:color="000000"/>
              <w:bottom w:val="single" w:sz="4" w:color="000000"/>
            </w:tcBorders>
          </w:tcPr>
          <w:p>
            <w:pPr>
              <w:keepNext/>
              <w:spacing w:after="0"/>
              <w:jc w:val="left"/>
            </w:pPr>
            <w:r>
              <w:rPr>
                <w:b/>
                <w:sz w:val="17"/>
              </w:rPr>
              <w:t>Kebijakan</w:t>
            </w:r>
          </w:p>
        </w:tc>
        <w:tc>
          <w:tcPr>
            <w:tcW w:type="dxa" w:w="1474"/>
            <w:tcBorders>
              <w:top w:val="single" w:sz="8" w:color="000000"/>
              <w:bottom w:val="single" w:sz="4" w:color="000000"/>
            </w:tcBorders>
          </w:tcPr>
          <w:p>
            <w:pPr>
              <w:keepNext/>
              <w:spacing w:after="0"/>
              <w:jc w:val="center"/>
            </w:pPr>
            <w:r>
              <w:rPr>
                <w:b/>
                <w:sz w:val="17"/>
              </w:rPr>
              <w:t>Proksi cold start 2%</w:t>
            </w:r>
          </w:p>
        </w:tc>
        <w:tc>
          <w:tcPr>
            <w:tcW w:type="dxa" w:w="1134"/>
            <w:tcBorders>
              <w:top w:val="single" w:sz="8" w:color="000000"/>
              <w:bottom w:val="single" w:sz="4" w:color="000000"/>
            </w:tcBorders>
          </w:tcPr>
          <w:p>
            <w:pPr>
              <w:keepNext/>
              <w:spacing w:after="0"/>
              <w:jc w:val="center"/>
            </w:pPr>
            <w:r>
              <w:rPr>
                <w:b/>
                <w:sz w:val="17"/>
              </w:rPr>
              <w:t>5%</w:t>
            </w:r>
          </w:p>
        </w:tc>
        <w:tc>
          <w:tcPr>
            <w:tcW w:type="dxa" w:w="2381"/>
            <w:tcBorders>
              <w:top w:val="single" w:sz="8" w:color="000000"/>
              <w:bottom w:val="single" w:sz="4" w:color="000000"/>
            </w:tcBorders>
          </w:tcPr>
          <w:p>
            <w:pPr>
              <w:keepNext/>
              <w:spacing w:after="0"/>
              <w:jc w:val="center"/>
            </w:pPr>
            <w:r>
              <w:rPr>
                <w:b/>
                <w:sz w:val="17"/>
              </w:rPr>
              <w:t>4,5% (setara adaptasi histogram)</w:t>
            </w:r>
          </w:p>
        </w:tc>
      </w:tr>
      <w:tr>
        <w:tc>
          <w:tcPr>
            <w:tcW w:type="dxa" w:w="2608"/>
          </w:tcPr>
          <w:p>
            <w:pPr>
              <w:keepNext/>
              <w:spacing w:after="0"/>
              <w:jc w:val="left"/>
            </w:pPr>
            <w:r>
              <w:rPr>
                <w:sz w:val="17"/>
              </w:rPr>
              <w:t>Reaktif (keep-alive)</w:t>
            </w:r>
          </w:p>
        </w:tc>
        <w:tc>
          <w:tcPr>
            <w:tcW w:type="dxa" w:w="1474"/>
          </w:tcPr>
          <w:p>
            <w:pPr>
              <w:keepNext/>
              <w:spacing w:after="0"/>
              <w:jc w:val="center"/>
            </w:pPr>
            <w:r>
              <w:rPr>
                <w:sz w:val="17"/>
              </w:rPr>
              <w:t>0,800</w:t>
            </w:r>
          </w:p>
        </w:tc>
        <w:tc>
          <w:tcPr>
            <w:tcW w:type="dxa" w:w="1134"/>
          </w:tcPr>
          <w:p>
            <w:pPr>
              <w:keepNext/>
              <w:spacing w:after="0"/>
              <w:jc w:val="center"/>
            </w:pPr>
            <w:r>
              <w:rPr>
                <w:sz w:val="17"/>
              </w:rPr>
              <w:t>0,150</w:t>
            </w:r>
          </w:p>
        </w:tc>
        <w:tc>
          <w:tcPr>
            <w:tcW w:type="dxa" w:w="2381"/>
          </w:tcPr>
          <w:p>
            <w:pPr>
              <w:keepNext/>
              <w:spacing w:after="0"/>
              <w:jc w:val="center"/>
            </w:pPr>
            <w:r>
              <w:rPr>
                <w:sz w:val="17"/>
              </w:rPr>
              <w:t>0,186</w:t>
            </w:r>
          </w:p>
        </w:tc>
      </w:tr>
      <w:tr>
        <w:tc>
          <w:tcPr>
            <w:tcW w:type="dxa" w:w="2608"/>
          </w:tcPr>
          <w:p>
            <w:pPr>
              <w:keepNext/>
              <w:spacing w:after="0"/>
              <w:jc w:val="left"/>
            </w:pPr>
            <w:r>
              <w:rPr>
                <w:sz w:val="17"/>
              </w:rPr>
              <w:t>Adaptasi histogram hibrida</w:t>
            </w:r>
          </w:p>
        </w:tc>
        <w:tc>
          <w:tcPr>
            <w:tcW w:type="dxa" w:w="1474"/>
          </w:tcPr>
          <w:p>
            <w:pPr>
              <w:keepNext/>
              <w:spacing w:after="0"/>
              <w:jc w:val="center"/>
            </w:pPr>
            <w:r>
              <w:rPr>
                <w:sz w:val="17"/>
              </w:rPr>
              <w:t>–</w:t>
            </w:r>
          </w:p>
        </w:tc>
        <w:tc>
          <w:tcPr>
            <w:tcW w:type="dxa" w:w="1134"/>
          </w:tcPr>
          <w:p>
            <w:pPr>
              <w:keepNext/>
              <w:spacing w:after="0"/>
              <w:jc w:val="center"/>
            </w:pPr>
            <w:r>
              <w:rPr>
                <w:sz w:val="17"/>
              </w:rPr>
              <w:t>–</w:t>
            </w:r>
          </w:p>
        </w:tc>
        <w:tc>
          <w:tcPr>
            <w:tcW w:type="dxa" w:w="2381"/>
          </w:tcPr>
          <w:p>
            <w:pPr>
              <w:keepNext/>
              <w:spacing w:after="0"/>
              <w:jc w:val="center"/>
            </w:pPr>
            <w:r>
              <w:rPr>
                <w:sz w:val="17"/>
              </w:rPr>
              <w:t>0,199</w:t>
            </w:r>
          </w:p>
        </w:tc>
      </w:tr>
      <w:tr>
        <w:tc>
          <w:tcPr>
            <w:tcW w:type="dxa" w:w="2608"/>
          </w:tcPr>
          <w:p>
            <w:pPr>
              <w:keepNext/>
              <w:spacing w:after="0"/>
              <w:jc w:val="left"/>
            </w:pPr>
            <w:r>
              <w:rPr>
                <w:sz w:val="17"/>
              </w:rPr>
              <w:t>Prediktif Chronos-2</w:t>
            </w:r>
          </w:p>
        </w:tc>
        <w:tc>
          <w:tcPr>
            <w:tcW w:type="dxa" w:w="1474"/>
          </w:tcPr>
          <w:p>
            <w:pPr>
              <w:keepNext/>
              <w:spacing w:after="0"/>
              <w:jc w:val="center"/>
            </w:pPr>
            <w:r>
              <w:rPr>
                <w:b/>
                <w:sz w:val="17"/>
              </w:rPr>
              <w:t>0,140</w:t>
            </w:r>
          </w:p>
        </w:tc>
        <w:tc>
          <w:tcPr>
            <w:tcW w:type="dxa" w:w="1134"/>
          </w:tcPr>
          <w:p>
            <w:pPr>
              <w:keepNext/>
              <w:spacing w:after="0"/>
              <w:jc w:val="center"/>
            </w:pPr>
            <w:r>
              <w:rPr>
                <w:b/>
                <w:sz w:val="17"/>
              </w:rPr>
              <w:t>0,047</w:t>
            </w:r>
          </w:p>
        </w:tc>
        <w:tc>
          <w:tcPr>
            <w:tcW w:type="dxa" w:w="2381"/>
          </w:tcPr>
          <w:p>
            <w:pPr>
              <w:keepNext/>
              <w:spacing w:after="0"/>
              <w:jc w:val="center"/>
            </w:pPr>
            <w:r>
              <w:rPr>
                <w:sz w:val="17"/>
              </w:rPr>
              <w:t>0,055</w:t>
            </w:r>
          </w:p>
        </w:tc>
      </w:tr>
      <w:tr>
        <w:tc>
          <w:tcPr>
            <w:tcW w:type="dxa" w:w="2608"/>
          </w:tcPr>
          <w:p>
            <w:pPr>
              <w:keepNext/>
              <w:spacing w:after="0"/>
              <w:jc w:val="left"/>
            </w:pPr>
            <w:r>
              <w:rPr>
                <w:sz w:val="17"/>
              </w:rPr>
              <w:t>Prediktif TimesFM-3</w:t>
            </w:r>
          </w:p>
        </w:tc>
        <w:tc>
          <w:tcPr>
            <w:tcW w:type="dxa" w:w="1474"/>
          </w:tcPr>
          <w:p>
            <w:pPr>
              <w:keepNext/>
              <w:spacing w:after="0"/>
              <w:jc w:val="center"/>
            </w:pPr>
            <w:r>
              <w:rPr>
                <w:sz w:val="17"/>
              </w:rPr>
              <w:t>0,146</w:t>
            </w:r>
          </w:p>
        </w:tc>
        <w:tc>
          <w:tcPr>
            <w:tcW w:type="dxa" w:w="1134"/>
          </w:tcPr>
          <w:p>
            <w:pPr>
              <w:keepNext/>
              <w:spacing w:after="0"/>
              <w:jc w:val="center"/>
            </w:pPr>
            <w:r>
              <w:rPr>
                <w:sz w:val="17"/>
              </w:rPr>
              <w:t>0,048</w:t>
            </w:r>
          </w:p>
        </w:tc>
        <w:tc>
          <w:tcPr>
            <w:tcW w:type="dxa" w:w="2381"/>
          </w:tcPr>
          <w:p>
            <w:pPr>
              <w:keepNext/>
              <w:spacing w:after="0"/>
              <w:jc w:val="center"/>
            </w:pPr>
            <w:r>
              <w:rPr>
                <w:b/>
                <w:sz w:val="17"/>
              </w:rPr>
              <w:t>0,054</w:t>
            </w:r>
          </w:p>
        </w:tc>
      </w:tr>
      <w:tr>
        <w:tc>
          <w:tcPr>
            <w:tcW w:type="dxa" w:w="2608"/>
          </w:tcPr>
          <w:p>
            <w:pPr>
              <w:keepNext/>
              <w:spacing w:after="0"/>
              <w:jc w:val="left"/>
            </w:pPr>
            <w:r>
              <w:rPr>
                <w:sz w:val="17"/>
              </w:rPr>
              <w:t>Prediktif Toto</w:t>
            </w:r>
          </w:p>
        </w:tc>
        <w:tc>
          <w:tcPr>
            <w:tcW w:type="dxa" w:w="1474"/>
          </w:tcPr>
          <w:p>
            <w:pPr>
              <w:keepNext/>
              <w:spacing w:after="0"/>
              <w:jc w:val="center"/>
            </w:pPr>
            <w:r>
              <w:rPr>
                <w:sz w:val="17"/>
              </w:rPr>
              <w:t>–</w:t>
            </w:r>
          </w:p>
        </w:tc>
        <w:tc>
          <w:tcPr>
            <w:tcW w:type="dxa" w:w="1134"/>
          </w:tcPr>
          <w:p>
            <w:pPr>
              <w:keepNext/>
              <w:spacing w:after="0"/>
              <w:jc w:val="center"/>
            </w:pPr>
            <w:r>
              <w:rPr>
                <w:sz w:val="17"/>
              </w:rPr>
              <w:t>0,062</w:t>
            </w:r>
          </w:p>
        </w:tc>
        <w:tc>
          <w:tcPr>
            <w:tcW w:type="dxa" w:w="2381"/>
          </w:tcPr>
          <w:p>
            <w:pPr>
              <w:keepNext/>
              <w:spacing w:after="0"/>
              <w:jc w:val="center"/>
            </w:pPr>
            <w:r>
              <w:rPr>
                <w:sz w:val="17"/>
              </w:rPr>
              <w:t>0,069</w:t>
            </w:r>
          </w:p>
        </w:tc>
      </w:tr>
      <w:tr>
        <w:tc>
          <w:tcPr>
            <w:tcW w:type="dxa" w:w="2608"/>
          </w:tcPr>
          <w:p>
            <w:pPr>
              <w:keepNext/>
              <w:spacing w:after="0"/>
              <w:jc w:val="left"/>
            </w:pPr>
            <w:r>
              <w:rPr>
                <w:sz w:val="17"/>
              </w:rPr>
              <w:t>Prediktif LightGBM</w:t>
            </w:r>
          </w:p>
        </w:tc>
        <w:tc>
          <w:tcPr>
            <w:tcW w:type="dxa" w:w="1474"/>
          </w:tcPr>
          <w:p>
            <w:pPr>
              <w:keepNext/>
              <w:spacing w:after="0"/>
              <w:jc w:val="center"/>
            </w:pPr>
            <w:r>
              <w:rPr>
                <w:sz w:val="17"/>
              </w:rPr>
              <w:t>–</w:t>
            </w:r>
          </w:p>
        </w:tc>
        <w:tc>
          <w:tcPr>
            <w:tcW w:type="dxa" w:w="1134"/>
          </w:tcPr>
          <w:p>
            <w:pPr>
              <w:keepNext/>
              <w:spacing w:after="0"/>
              <w:jc w:val="center"/>
            </w:pPr>
            <w:r>
              <w:rPr>
                <w:sz w:val="17"/>
              </w:rPr>
              <w:t>0,090</w:t>
            </w:r>
          </w:p>
        </w:tc>
        <w:tc>
          <w:tcPr>
            <w:tcW w:type="dxa" w:w="2381"/>
          </w:tcPr>
          <w:p>
            <w:pPr>
              <w:keepNext/>
              <w:spacing w:after="0"/>
              <w:jc w:val="center"/>
            </w:pPr>
            <w:r>
              <w:rPr>
                <w:sz w:val="17"/>
              </w:rPr>
              <w:t>0,144</w:t>
            </w:r>
          </w:p>
        </w:tc>
      </w:tr>
      <w:tr>
        <w:tc>
          <w:tcPr>
            <w:tcW w:type="dxa" w:w="2608"/>
          </w:tcPr>
          <w:p>
            <w:pPr>
              <w:keepNext/>
              <w:spacing w:after="0"/>
              <w:jc w:val="left"/>
            </w:pPr>
            <w:r>
              <w:rPr>
                <w:sz w:val="17"/>
              </w:rPr>
              <w:t>Prediktif N-BEATS</w:t>
            </w:r>
          </w:p>
        </w:tc>
        <w:tc>
          <w:tcPr>
            <w:tcW w:type="dxa" w:w="1474"/>
          </w:tcPr>
          <w:p>
            <w:pPr>
              <w:keepNext/>
              <w:spacing w:after="0"/>
              <w:jc w:val="center"/>
            </w:pPr>
            <w:r>
              <w:rPr>
                <w:sz w:val="17"/>
              </w:rPr>
              <w:t>–</w:t>
            </w:r>
          </w:p>
        </w:tc>
        <w:tc>
          <w:tcPr>
            <w:tcW w:type="dxa" w:w="1134"/>
          </w:tcPr>
          <w:p>
            <w:pPr>
              <w:keepNext/>
              <w:spacing w:after="0"/>
              <w:jc w:val="center"/>
            </w:pPr>
            <w:r>
              <w:rPr>
                <w:sz w:val="17"/>
              </w:rPr>
              <w:t>0,242</w:t>
            </w:r>
          </w:p>
        </w:tc>
        <w:tc>
          <w:tcPr>
            <w:tcW w:type="dxa" w:w="2381"/>
          </w:tcPr>
          <w:p>
            <w:pPr>
              <w:keepNext/>
              <w:spacing w:after="0"/>
              <w:jc w:val="center"/>
            </w:pPr>
            <w:r>
              <w:rPr>
                <w:sz w:val="17"/>
              </w:rPr>
              <w:t>0,279</w:t>
            </w:r>
          </w:p>
        </w:tc>
      </w:tr>
      <w:tr>
        <w:tc>
          <w:tcPr>
            <w:tcW w:type="dxa" w:w="2608"/>
          </w:tcPr>
          <w:p>
            <w:pPr>
              <w:keepNext/>
              <w:spacing w:after="0"/>
              <w:jc w:val="left"/>
            </w:pPr>
            <w:r>
              <w:rPr>
                <w:sz w:val="17"/>
              </w:rPr>
              <w:t>Prediktif LSTM</w:t>
            </w:r>
          </w:p>
        </w:tc>
        <w:tc>
          <w:tcPr>
            <w:tcW w:type="dxa" w:w="1474"/>
          </w:tcPr>
          <w:p>
            <w:pPr>
              <w:keepNext/>
              <w:spacing w:after="0"/>
              <w:jc w:val="center"/>
            </w:pPr>
            <w:r>
              <w:rPr>
                <w:sz w:val="17"/>
              </w:rPr>
              <w:t>–</w:t>
            </w:r>
          </w:p>
        </w:tc>
        <w:tc>
          <w:tcPr>
            <w:tcW w:type="dxa" w:w="1134"/>
          </w:tcPr>
          <w:p>
            <w:pPr>
              <w:keepNext/>
              <w:spacing w:after="0"/>
              <w:jc w:val="center"/>
            </w:pPr>
            <w:r>
              <w:rPr>
                <w:sz w:val="17"/>
              </w:rPr>
              <w:t>0,331</w:t>
            </w:r>
          </w:p>
        </w:tc>
        <w:tc>
          <w:tcPr>
            <w:tcW w:type="dxa" w:w="2381"/>
          </w:tcPr>
          <w:p>
            <w:pPr>
              <w:keepNext/>
              <w:spacing w:after="0"/>
              <w:jc w:val="center"/>
            </w:pPr>
            <w:r>
              <w:rPr>
                <w:sz w:val="17"/>
              </w:rPr>
              <w:t>–</w:t>
            </w:r>
          </w:p>
        </w:tc>
      </w:tr>
      <w:tr>
        <w:tc>
          <w:tcPr>
            <w:tcW w:type="dxa" w:w="2608"/>
            <w:tcBorders>
              <w:bottom w:val="single" w:sz="8" w:color="000000"/>
            </w:tcBorders>
          </w:tcPr>
          <w:p>
            <w:pPr>
              <w:keepNext w:val="0"/>
              <w:spacing w:after="0"/>
              <w:jc w:val="left"/>
            </w:pPr>
            <w:r>
              <w:rPr>
                <w:sz w:val="17"/>
              </w:rPr>
              <w:t>Prediktif naive</w:t>
            </w:r>
          </w:p>
        </w:tc>
        <w:tc>
          <w:tcPr>
            <w:tcW w:type="dxa" w:w="1474"/>
            <w:tcBorders>
              <w:bottom w:val="single" w:sz="8" w:color="000000"/>
            </w:tcBorders>
          </w:tcPr>
          <w:p>
            <w:pPr>
              <w:keepNext w:val="0"/>
              <w:spacing w:after="0"/>
              <w:jc w:val="center"/>
            </w:pPr>
            <w:r>
              <w:rPr>
                <w:sz w:val="17"/>
              </w:rPr>
              <w:t>–</w:t>
            </w:r>
          </w:p>
        </w:tc>
        <w:tc>
          <w:tcPr>
            <w:tcW w:type="dxa" w:w="1134"/>
            <w:tcBorders>
              <w:bottom w:val="single" w:sz="8" w:color="000000"/>
            </w:tcBorders>
          </w:tcPr>
          <w:p>
            <w:pPr>
              <w:keepNext w:val="0"/>
              <w:spacing w:after="0"/>
              <w:jc w:val="center"/>
            </w:pPr>
            <w:r>
              <w:rPr>
                <w:sz w:val="17"/>
              </w:rPr>
              <w:t>0,674</w:t>
            </w:r>
          </w:p>
        </w:tc>
        <w:tc>
          <w:tcPr>
            <w:tcW w:type="dxa" w:w="2381"/>
            <w:tcBorders>
              <w:bottom w:val="single" w:sz="8" w:color="000000"/>
            </w:tcBorders>
          </w:tcPr>
          <w:p>
            <w:pPr>
              <w:keepNext w:val="0"/>
              <w:spacing w:after="0"/>
              <w:jc w:val="center"/>
            </w:pPr>
            <w:r>
              <w:rPr>
                <w:sz w:val="17"/>
              </w:rPr>
              <w:t>0,750</w:t>
            </w:r>
          </w:p>
        </w:tc>
      </w:tr>
    </w:tbl>
    <w:p>
      <w:pPr>
        <w:spacing w:after="40"/>
      </w:pPr>
    </w:p>
    <w:p>
      <w:pPr>
        <w:jc w:val="both"/>
      </w:pPr>
      <w:r>
        <w:rPr>
          <w:b/>
        </w:rPr>
        <w:t>Serverless Azure 2019.</w:t>
      </w:r>
      <w:r>
        <w:rPr/>
        <w:t xml:space="preserve"> Rencana pemanasan awal berbasis TSFM lebih baik daripada </w:t>
      </w:r>
      <w:r>
        <w:rPr>
          <w:i/>
        </w:rPr>
        <w:t>keep-alive</w:t>
      </w:r>
      <w:r>
        <w:rPr/>
        <w:t xml:space="preserve"> reaktif dan model pembanding di sepanjang kurva (Tabel 12, panel kiri Gambar 4). Pada proksi </w:t>
      </w:r>
      <w:r>
        <w:rPr>
          <w:i/>
        </w:rPr>
        <w:t>cold start</w:t>
      </w:r>
      <w:r>
        <w:rPr/>
        <w:t xml:space="preserve"> 5%, Chronos-2 membutuhkan 0,047 instance menganggur per kebutuhan, sedangkan kebijakan reaktif membutuhkan 0,150 dan LightGBM 0,090, atau penghematan sekitar 69% dan 48%. N-BEATS, pembanding yang paling akurat pada Azure 2019, justru membutuhkan 0,242 pada tingkat yang sama. Pada proksi </w:t>
      </w:r>
      <w:r>
        <w:rPr>
          <w:i/>
        </w:rPr>
        <w:t>cold start</w:t>
      </w:r>
      <w:r>
        <w:rPr/>
        <w:t xml:space="preserve"> 2%, kebijakan reaktif membutuhkan 0,800, sedangkan Chronos-2 hanya 0,140, dan kurva prediktif model pembanding tidak mencapai tingkat risiko serendah itu. Adaptasi histogram hibrida menghasilkan proksi </w:t>
      </w:r>
      <w:r>
        <w:rPr>
          <w:i/>
        </w:rPr>
        <w:t>cold start</w:t>
      </w:r>
      <w:r>
        <w:rPr/>
        <w:t xml:space="preserve"> 4,5% dengan 0,199 instance menganggur, sedikit di atas kurva </w:t>
      </w:r>
      <w:r>
        <w:rPr>
          <w:i/>
        </w:rPr>
        <w:t>keep-alive</w:t>
      </w:r>
      <w:r>
        <w:rPr/>
        <w:t xml:space="preserve"> reaktif (0,186). Pada tingkat yang sama, Chronos-2 membutuhkan 0,055. Kebijakan hibrida Chronos-2 (τ = 0,9, θ = 0) mencapai proksi </w:t>
      </w:r>
      <w:r>
        <w:rPr>
          <w:i/>
        </w:rPr>
        <w:t>cold start</w:t>
      </w:r>
      <w:r>
        <w:rPr/>
        <w:t xml:space="preserve"> 0,50% dengan 0,49 instance menganggur, sedangkan kebijakan reaktif membutuhkan sekitar 1,05 pada tingkat itu.</w:t>
      </w:r>
    </w:p>
    <w:p>
      <w:pPr>
        <w:jc w:val="both"/>
      </w:pPr>
      <w:r>
        <w:rPr>
          <w:b/>
        </w:rPr>
        <w:t>Serverless Azure 2021.</w:t>
      </w:r>
      <w:r>
        <w:rPr/>
        <w:t xml:space="preserve"> Pada trace ini manfaatnya tidak konsisten. Rencana prediktif tanpa komponen reaktif tidak pernah mencapai proksi </w:t>
      </w:r>
      <w:r>
        <w:rPr>
          <w:i/>
        </w:rPr>
        <w:t>cold start</w:t>
      </w:r>
      <w:r>
        <w:rPr/>
        <w:t xml:space="preserve"> di bawah 11%, untuk model mana pun. Dalam kebijakan hibrida, TimesFM-3 dan Chronos-2 membutuhkan 2,70 dan 2,71 instance menganggur per kebutuhan pada proksi </w:t>
      </w:r>
      <w:r>
        <w:rPr>
          <w:i/>
        </w:rPr>
        <w:t>cold start</w:t>
      </w:r>
      <w:r>
        <w:rPr/>
        <w:t xml:space="preserve"> 10%, lebih sedikit daripada kebijakan reaktif (3,44). Pada tingkat 7,6%, keadaannya berbalik: TimesFM-3 membutuhkan 5,69, sedangkan kebijakan reaktif 5,08. Kebijakan hibrida LightGBM, LSTM, dan </w:t>
      </w:r>
      <w:r>
        <w:rPr>
          <w:i/>
        </w:rPr>
        <w:t>naive</w:t>
      </w:r>
      <w:r>
        <w:rPr/>
        <w:t xml:space="preserve"> hanya mencapai proksi </w:t>
      </w:r>
      <w:r>
        <w:rPr>
          <w:i/>
        </w:rPr>
        <w:t>cold start</w:t>
      </w:r>
      <w:r>
        <w:rPr/>
        <w:t xml:space="preserve"> 10,4% sampai 11,9%. Pada tingkat itu kapasitas menganggur LightGBM dan </w:t>
      </w:r>
      <w:r>
        <w:rPr>
          <w:i/>
        </w:rPr>
        <w:t>naive</w:t>
      </w:r>
      <w:r>
        <w:rPr/>
        <w:t xml:space="preserve"> hampir sama dengan kebijakan reaktif (selisih 2 sampai 3%), sedangkan LSTM 11% lebih hemat. Adaptasi histogram hibrida menghasilkan proksi </w:t>
      </w:r>
      <w:r>
        <w:rPr>
          <w:i/>
        </w:rPr>
        <w:t>cold start</w:t>
      </w:r>
      <w:r>
        <w:rPr/>
        <w:t xml:space="preserve"> 7,6% dengan 7,99 instance menganggur per kebutuhan, karena sebagian besar aplikasi tidak memiliki histogram yang representatif dan kembali ke </w:t>
      </w:r>
      <w:r>
        <w:rPr>
          <w:i/>
        </w:rPr>
        <w:t>keep-alive</w:t>
      </w:r>
      <w:r>
        <w:rPr/>
        <w:t xml:space="preserve"> 4 jam.</w:t>
      </w:r>
    </w:p>
    <w:p>
      <w:pPr>
        <w:keepNext/>
      </w:pPr>
      <w:r>
        <w:rPr>
          <w:b/>
          <w:sz w:val="19"/>
        </w:rPr>
        <w:t>Tabel 13.</w:t>
      </w:r>
      <w:r>
        <w:rPr>
          <w:sz w:val="19"/>
        </w:rPr>
        <w:t xml:space="preserve"> Simulasi VM Alibaba: replika berlebih per replika yang dibutuhkan pada risiko kekurangan kapasitas yang sama (hasil interpolasi). Tanda “–” berarti nilai tersebut berada di luar jangkauan parameter pengatur kebijakan.</w:t>
      </w:r>
    </w:p>
    <w:tbl>
      <w:tblPr>
        <w:tblW w:type="auto" w:w="0"/>
        <w:jc w:val="center"/>
        <w:tblLayout w:type="fixed"/>
        <w:tblLook w:firstColumn="1" w:firstRow="1" w:lastColumn="0" w:lastRow="0" w:noHBand="0" w:noVBand="1" w:val="04A0"/>
        <w:tblLayout w:type="fixed"/>
      </w:tblPr>
      <w:tblGrid>
        <w:gridCol w:w="3742"/>
        <w:gridCol w:w="1134"/>
        <w:gridCol w:w="1134"/>
        <w:gridCol w:w="1134"/>
      </w:tblGrid>
      <w:tr>
        <w:tc>
          <w:tcPr>
            <w:tcW w:type="dxa" w:w="3742"/>
            <w:tcBorders>
              <w:top w:val="single" w:sz="8" w:color="000000"/>
              <w:bottom w:val="single" w:sz="4" w:color="000000"/>
            </w:tcBorders>
          </w:tcPr>
          <w:p>
            <w:pPr>
              <w:keepNext/>
              <w:spacing w:after="0"/>
              <w:jc w:val="left"/>
            </w:pPr>
            <w:r>
              <w:rPr>
                <w:b/>
                <w:sz w:val="17"/>
              </w:rPr>
              <w:t>Kebijakan</w:t>
            </w:r>
          </w:p>
        </w:tc>
        <w:tc>
          <w:tcPr>
            <w:tcW w:type="dxa" w:w="1134"/>
            <w:tcBorders>
              <w:top w:val="single" w:sz="8" w:color="000000"/>
              <w:bottom w:val="single" w:sz="4" w:color="000000"/>
            </w:tcBorders>
          </w:tcPr>
          <w:p>
            <w:pPr>
              <w:keepNext/>
              <w:spacing w:after="0"/>
              <w:jc w:val="center"/>
            </w:pPr>
            <w:r>
              <w:rPr>
                <w:b/>
                <w:sz w:val="17"/>
              </w:rPr>
              <w:t>Risiko 5%</w:t>
            </w:r>
          </w:p>
        </w:tc>
        <w:tc>
          <w:tcPr>
            <w:tcW w:type="dxa" w:w="1134"/>
            <w:tcBorders>
              <w:top w:val="single" w:sz="8" w:color="000000"/>
              <w:bottom w:val="single" w:sz="4" w:color="000000"/>
            </w:tcBorders>
          </w:tcPr>
          <w:p>
            <w:pPr>
              <w:keepNext/>
              <w:spacing w:after="0"/>
              <w:jc w:val="center"/>
            </w:pPr>
            <w:r>
              <w:rPr>
                <w:b/>
                <w:sz w:val="17"/>
              </w:rPr>
              <w:t>Risiko 10%</w:t>
            </w:r>
          </w:p>
        </w:tc>
        <w:tc>
          <w:tcPr>
            <w:tcW w:type="dxa" w:w="1134"/>
            <w:tcBorders>
              <w:top w:val="single" w:sz="8" w:color="000000"/>
              <w:bottom w:val="single" w:sz="4" w:color="000000"/>
            </w:tcBorders>
          </w:tcPr>
          <w:p>
            <w:pPr>
              <w:keepNext/>
              <w:spacing w:after="0"/>
              <w:jc w:val="center"/>
            </w:pPr>
            <w:r>
              <w:rPr>
                <w:b/>
                <w:sz w:val="17"/>
              </w:rPr>
              <w:t>Risiko 20%</w:t>
            </w:r>
          </w:p>
        </w:tc>
      </w:tr>
      <w:tr>
        <w:tc>
          <w:tcPr>
            <w:tcW w:type="dxa" w:w="3742"/>
          </w:tcPr>
          <w:p>
            <w:pPr>
              <w:keepNext/>
              <w:spacing w:after="0"/>
              <w:jc w:val="left"/>
            </w:pPr>
            <w:r>
              <w:rPr>
                <w:sz w:val="17"/>
              </w:rPr>
              <w:t>HPA reaktif</w:t>
            </w:r>
          </w:p>
        </w:tc>
        <w:tc>
          <w:tcPr>
            <w:tcW w:type="dxa" w:w="1134"/>
          </w:tcPr>
          <w:p>
            <w:pPr>
              <w:keepNext/>
              <w:spacing w:after="0"/>
              <w:jc w:val="center"/>
            </w:pPr>
            <w:r>
              <w:rPr>
                <w:sz w:val="17"/>
              </w:rPr>
              <w:t>0,242</w:t>
            </w:r>
          </w:p>
        </w:tc>
        <w:tc>
          <w:tcPr>
            <w:tcW w:type="dxa" w:w="1134"/>
          </w:tcPr>
          <w:p>
            <w:pPr>
              <w:keepNext/>
              <w:spacing w:after="0"/>
              <w:jc w:val="center"/>
            </w:pPr>
            <w:r>
              <w:rPr>
                <w:sz w:val="17"/>
              </w:rPr>
              <w:t>0,187</w:t>
            </w:r>
          </w:p>
        </w:tc>
        <w:tc>
          <w:tcPr>
            <w:tcW w:type="dxa" w:w="1134"/>
          </w:tcPr>
          <w:p>
            <w:pPr>
              <w:keepNext/>
              <w:spacing w:after="0"/>
              <w:jc w:val="center"/>
            </w:pPr>
            <w:r>
              <w:rPr>
                <w:sz w:val="17"/>
              </w:rPr>
              <w:t>0,105</w:t>
            </w:r>
          </w:p>
        </w:tc>
      </w:tr>
      <w:tr>
        <w:tc>
          <w:tcPr>
            <w:tcW w:type="dxa" w:w="3742"/>
          </w:tcPr>
          <w:p>
            <w:pPr>
              <w:keepNext/>
              <w:spacing w:after="0"/>
              <w:jc w:val="left"/>
            </w:pPr>
            <w:r>
              <w:rPr>
                <w:sz w:val="17"/>
              </w:rPr>
              <w:t>Hibrida TimesFM-3</w:t>
            </w:r>
          </w:p>
        </w:tc>
        <w:tc>
          <w:tcPr>
            <w:tcW w:type="dxa" w:w="1134"/>
          </w:tcPr>
          <w:p>
            <w:pPr>
              <w:keepNext/>
              <w:spacing w:after="0"/>
              <w:jc w:val="center"/>
            </w:pPr>
            <w:r>
              <w:rPr>
                <w:b/>
                <w:sz w:val="17"/>
              </w:rPr>
              <w:t>0,201</w:t>
            </w:r>
          </w:p>
        </w:tc>
        <w:tc>
          <w:tcPr>
            <w:tcW w:type="dxa" w:w="1134"/>
          </w:tcPr>
          <w:p>
            <w:pPr>
              <w:keepNext/>
              <w:spacing w:after="0"/>
              <w:jc w:val="center"/>
            </w:pPr>
            <w:r>
              <w:rPr>
                <w:sz w:val="17"/>
              </w:rPr>
              <w:t>0,144</w:t>
            </w:r>
          </w:p>
        </w:tc>
        <w:tc>
          <w:tcPr>
            <w:tcW w:type="dxa" w:w="1134"/>
          </w:tcPr>
          <w:p>
            <w:pPr>
              <w:keepNext/>
              <w:spacing w:after="0"/>
              <w:jc w:val="center"/>
            </w:pPr>
            <w:r>
              <w:rPr>
                <w:sz w:val="17"/>
              </w:rPr>
              <w:t>–</w:t>
            </w:r>
          </w:p>
        </w:tc>
      </w:tr>
      <w:tr>
        <w:tc>
          <w:tcPr>
            <w:tcW w:type="dxa" w:w="3742"/>
          </w:tcPr>
          <w:p>
            <w:pPr>
              <w:keepNext/>
              <w:spacing w:after="0"/>
              <w:jc w:val="left"/>
            </w:pPr>
            <w:r>
              <w:rPr>
                <w:sz w:val="17"/>
              </w:rPr>
              <w:t>Hibrida Chronos-2</w:t>
            </w:r>
          </w:p>
        </w:tc>
        <w:tc>
          <w:tcPr>
            <w:tcW w:type="dxa" w:w="1134"/>
          </w:tcPr>
          <w:p>
            <w:pPr>
              <w:keepNext/>
              <w:spacing w:after="0"/>
              <w:jc w:val="center"/>
            </w:pPr>
            <w:r>
              <w:rPr>
                <w:sz w:val="17"/>
              </w:rPr>
              <w:t>–</w:t>
            </w:r>
          </w:p>
        </w:tc>
        <w:tc>
          <w:tcPr>
            <w:tcW w:type="dxa" w:w="1134"/>
          </w:tcPr>
          <w:p>
            <w:pPr>
              <w:keepNext/>
              <w:spacing w:after="0"/>
              <w:jc w:val="center"/>
            </w:pPr>
            <w:r>
              <w:rPr>
                <w:b/>
                <w:sz w:val="17"/>
              </w:rPr>
              <w:t>0,141</w:t>
            </w:r>
          </w:p>
        </w:tc>
        <w:tc>
          <w:tcPr>
            <w:tcW w:type="dxa" w:w="1134"/>
          </w:tcPr>
          <w:p>
            <w:pPr>
              <w:keepNext/>
              <w:spacing w:after="0"/>
              <w:jc w:val="center"/>
            </w:pPr>
            <w:r>
              <w:rPr>
                <w:sz w:val="17"/>
              </w:rPr>
              <w:t>–</w:t>
            </w:r>
          </w:p>
        </w:tc>
      </w:tr>
      <w:tr>
        <w:tc>
          <w:tcPr>
            <w:tcW w:type="dxa" w:w="3742"/>
          </w:tcPr>
          <w:p>
            <w:pPr>
              <w:keepNext/>
              <w:spacing w:after="0"/>
              <w:jc w:val="left"/>
            </w:pPr>
            <w:r>
              <w:rPr>
                <w:sz w:val="17"/>
              </w:rPr>
              <w:t>Hibrida MSTL-ARIMA</w:t>
            </w:r>
          </w:p>
        </w:tc>
        <w:tc>
          <w:tcPr>
            <w:tcW w:type="dxa" w:w="1134"/>
          </w:tcPr>
          <w:p>
            <w:pPr>
              <w:keepNext/>
              <w:spacing w:after="0"/>
              <w:jc w:val="center"/>
            </w:pPr>
            <w:r>
              <w:rPr>
                <w:sz w:val="17"/>
              </w:rPr>
              <w:t>–</w:t>
            </w:r>
          </w:p>
        </w:tc>
        <w:tc>
          <w:tcPr>
            <w:tcW w:type="dxa" w:w="1134"/>
          </w:tcPr>
          <w:p>
            <w:pPr>
              <w:keepNext/>
              <w:spacing w:after="0"/>
              <w:jc w:val="center"/>
            </w:pPr>
            <w:r>
              <w:rPr>
                <w:sz w:val="17"/>
              </w:rPr>
              <w:t>0,142</w:t>
            </w:r>
          </w:p>
        </w:tc>
        <w:tc>
          <w:tcPr>
            <w:tcW w:type="dxa" w:w="1134"/>
          </w:tcPr>
          <w:p>
            <w:pPr>
              <w:keepNext/>
              <w:spacing w:after="0"/>
              <w:jc w:val="center"/>
            </w:pPr>
            <w:r>
              <w:rPr>
                <w:sz w:val="17"/>
              </w:rPr>
              <w:t>–</w:t>
            </w:r>
          </w:p>
        </w:tc>
      </w:tr>
      <w:tr>
        <w:tc>
          <w:tcPr>
            <w:tcW w:type="dxa" w:w="3742"/>
          </w:tcPr>
          <w:p>
            <w:pPr>
              <w:keepNext/>
              <w:spacing w:after="0"/>
              <w:jc w:val="left"/>
            </w:pPr>
            <w:r>
              <w:rPr>
                <w:sz w:val="17"/>
              </w:rPr>
              <w:t>Hibrida LightGBM</w:t>
            </w:r>
          </w:p>
        </w:tc>
        <w:tc>
          <w:tcPr>
            <w:tcW w:type="dxa" w:w="1134"/>
          </w:tcPr>
          <w:p>
            <w:pPr>
              <w:keepNext/>
              <w:spacing w:after="0"/>
              <w:jc w:val="center"/>
            </w:pPr>
            <w:r>
              <w:rPr>
                <w:sz w:val="17"/>
              </w:rPr>
              <w:t>–</w:t>
            </w:r>
          </w:p>
        </w:tc>
        <w:tc>
          <w:tcPr>
            <w:tcW w:type="dxa" w:w="1134"/>
          </w:tcPr>
          <w:p>
            <w:pPr>
              <w:keepNext/>
              <w:spacing w:after="0"/>
              <w:jc w:val="center"/>
            </w:pPr>
            <w:r>
              <w:rPr>
                <w:sz w:val="17"/>
              </w:rPr>
              <w:t>0,149</w:t>
            </w:r>
          </w:p>
        </w:tc>
        <w:tc>
          <w:tcPr>
            <w:tcW w:type="dxa" w:w="1134"/>
          </w:tcPr>
          <w:p>
            <w:pPr>
              <w:keepNext/>
              <w:spacing w:after="0"/>
              <w:jc w:val="center"/>
            </w:pPr>
            <w:r>
              <w:rPr>
                <w:sz w:val="17"/>
              </w:rPr>
              <w:t>–</w:t>
            </w:r>
          </w:p>
        </w:tc>
      </w:tr>
      <w:tr>
        <w:tc>
          <w:tcPr>
            <w:tcW w:type="dxa" w:w="3742"/>
          </w:tcPr>
          <w:p>
            <w:pPr>
              <w:keepNext/>
              <w:spacing w:after="0"/>
              <w:jc w:val="left"/>
            </w:pPr>
            <w:r>
              <w:rPr>
                <w:sz w:val="17"/>
              </w:rPr>
              <w:t>Hibrida N-BEATS</w:t>
            </w:r>
          </w:p>
        </w:tc>
        <w:tc>
          <w:tcPr>
            <w:tcW w:type="dxa" w:w="1134"/>
          </w:tcPr>
          <w:p>
            <w:pPr>
              <w:keepNext/>
              <w:spacing w:after="0"/>
              <w:jc w:val="center"/>
            </w:pPr>
            <w:r>
              <w:rPr>
                <w:sz w:val="17"/>
              </w:rPr>
              <w:t>–</w:t>
            </w:r>
          </w:p>
        </w:tc>
        <w:tc>
          <w:tcPr>
            <w:tcW w:type="dxa" w:w="1134"/>
          </w:tcPr>
          <w:p>
            <w:pPr>
              <w:keepNext/>
              <w:spacing w:after="0"/>
              <w:jc w:val="center"/>
            </w:pPr>
            <w:r>
              <w:rPr>
                <w:sz w:val="17"/>
              </w:rPr>
              <w:t>0,149</w:t>
            </w:r>
          </w:p>
        </w:tc>
        <w:tc>
          <w:tcPr>
            <w:tcW w:type="dxa" w:w="1134"/>
          </w:tcPr>
          <w:p>
            <w:pPr>
              <w:keepNext/>
              <w:spacing w:after="0"/>
              <w:jc w:val="center"/>
            </w:pPr>
            <w:r>
              <w:rPr>
                <w:sz w:val="17"/>
              </w:rPr>
              <w:t>–</w:t>
            </w:r>
          </w:p>
        </w:tc>
      </w:tr>
      <w:tr>
        <w:tc>
          <w:tcPr>
            <w:tcW w:type="dxa" w:w="3742"/>
          </w:tcPr>
          <w:p>
            <w:pPr>
              <w:keepNext/>
              <w:spacing w:after="0"/>
              <w:jc w:val="left"/>
            </w:pPr>
            <w:r>
              <w:rPr>
                <w:sz w:val="17"/>
              </w:rPr>
              <w:t>Prediktif Chronos-2 / TimesFM-3</w:t>
            </w:r>
          </w:p>
        </w:tc>
        <w:tc>
          <w:tcPr>
            <w:tcW w:type="dxa" w:w="1134"/>
          </w:tcPr>
          <w:p>
            <w:pPr>
              <w:keepNext/>
              <w:spacing w:after="0"/>
              <w:jc w:val="center"/>
            </w:pPr>
            <w:r>
              <w:rPr>
                <w:sz w:val="17"/>
              </w:rPr>
              <w:t>–</w:t>
            </w:r>
          </w:p>
        </w:tc>
        <w:tc>
          <w:tcPr>
            <w:tcW w:type="dxa" w:w="1134"/>
          </w:tcPr>
          <w:p>
            <w:pPr>
              <w:keepNext/>
              <w:spacing w:after="0"/>
              <w:jc w:val="center"/>
            </w:pPr>
            <w:r>
              <w:rPr>
                <w:sz w:val="17"/>
              </w:rPr>
              <w:t>0,168</w:t>
            </w:r>
          </w:p>
        </w:tc>
        <w:tc>
          <w:tcPr>
            <w:tcW w:type="dxa" w:w="1134"/>
          </w:tcPr>
          <w:p>
            <w:pPr>
              <w:keepNext/>
              <w:spacing w:after="0"/>
              <w:jc w:val="center"/>
            </w:pPr>
            <w:r>
              <w:rPr>
                <w:sz w:val="17"/>
              </w:rPr>
              <w:t>0,106</w:t>
            </w:r>
          </w:p>
        </w:tc>
      </w:tr>
      <w:tr>
        <w:tc>
          <w:tcPr>
            <w:tcW w:type="dxa" w:w="3742"/>
            <w:tcBorders>
              <w:bottom w:val="single" w:sz="8" w:color="000000"/>
            </w:tcBorders>
          </w:tcPr>
          <w:p>
            <w:pPr>
              <w:keepNext w:val="0"/>
              <w:spacing w:after="0"/>
              <w:jc w:val="left"/>
            </w:pPr>
            <w:r>
              <w:rPr>
                <w:sz w:val="17"/>
              </w:rPr>
              <w:t>Prediktif MSTL-ARIMA</w:t>
            </w:r>
          </w:p>
        </w:tc>
        <w:tc>
          <w:tcPr>
            <w:tcW w:type="dxa" w:w="1134"/>
            <w:tcBorders>
              <w:bottom w:val="single" w:sz="8" w:color="000000"/>
            </w:tcBorders>
          </w:tcPr>
          <w:p>
            <w:pPr>
              <w:keepNext w:val="0"/>
              <w:spacing w:after="0"/>
              <w:jc w:val="center"/>
            </w:pPr>
            <w:r>
              <w:rPr>
                <w:sz w:val="17"/>
              </w:rPr>
              <w:t>–</w:t>
            </w:r>
          </w:p>
        </w:tc>
        <w:tc>
          <w:tcPr>
            <w:tcW w:type="dxa" w:w="1134"/>
            <w:tcBorders>
              <w:bottom w:val="single" w:sz="8" w:color="000000"/>
            </w:tcBorders>
          </w:tcPr>
          <w:p>
            <w:pPr>
              <w:keepNext w:val="0"/>
              <w:spacing w:after="0"/>
              <w:jc w:val="center"/>
            </w:pPr>
            <w:r>
              <w:rPr>
                <w:sz w:val="17"/>
              </w:rPr>
              <w:t>–</w:t>
            </w:r>
          </w:p>
        </w:tc>
        <w:tc>
          <w:tcPr>
            <w:tcW w:type="dxa" w:w="1134"/>
            <w:tcBorders>
              <w:bottom w:val="single" w:sz="8" w:color="000000"/>
            </w:tcBorders>
          </w:tcPr>
          <w:p>
            <w:pPr>
              <w:keepNext w:val="0"/>
              <w:spacing w:after="0"/>
              <w:jc w:val="center"/>
            </w:pPr>
            <w:r>
              <w:rPr>
                <w:sz w:val="17"/>
              </w:rPr>
              <w:t>0,114</w:t>
            </w:r>
          </w:p>
        </w:tc>
      </w:tr>
    </w:tbl>
    <w:p>
      <w:pPr>
        <w:spacing w:after="40"/>
      </w:pPr>
    </w:p>
    <w:p>
      <w:pPr>
        <w:jc w:val="both"/>
      </w:pPr>
      <w:r>
        <w:rPr>
          <w:b/>
        </w:rPr>
        <w:t>VM Alibaba.</w:t>
      </w:r>
      <w:r>
        <w:rPr/>
        <w:t xml:space="preserve"> Rencana prediktif per jam tidak lebih baik daripada HPA reaktif (0,106 dan 0,105 pada risiko 20%; Tabel 13). Beban VM memiliki autokorelasi yang tinggi, sehingga reaksi setiap 5 menit sudah menangkap sebagian besar informasi yang dibutuhkan. Kebijakan hibrida menghemat sekitar 24% kapasitas berlebih pada risiko 10% (0,141 dibanding 0,187), tetapi TSFM hampir setara dengan MSTL-ARIMA (0,141 dan 0,142).</w:t>
      </w:r>
    </w:p>
    <w:p>
      <w:pPr>
        <w:jc w:val="both"/>
      </w:pPr>
      <w:r>
        <w:rPr>
          <w:b/>
        </w:rPr>
        <w:t>Apakah urutan akurasi menentukan urutan keputusan?</w:t>
      </w:r>
      <w:r>
        <w:rPr/>
        <w:t xml:space="preserve"> Korelasi Spearman antara peringkat relMASE dan peringkat biaya pada risiko yang sama tergolong tinggi, yaitu 0,89 (Alibaba hibrida, risiko 10%), 0,99 (Alibaba prediktif, risiko 20%), dan 0,87 (Azure 2019 prediktif, proksi </w:t>
      </w:r>
      <w:r>
        <w:rPr>
          <w:i/>
        </w:rPr>
        <w:t>cold start</w:t>
      </w:r>
      <w:r>
        <w:rPr/>
        <w:t xml:space="preserve"> 5%). Model yang lebih akurat cenderung menghasilkan keputusan yang lebih baik, sehingga hipotesis awal kami bahwa urutan model akan banyak berubah tidak terbukti. Besar selisihnya yang berubah. Untuk membandingkan akurasi dan keputusan secara adil, kami memakai pasangan model yang sama di kedua sisi. Pada kebijakan hibrida Alibaba, galat Chronos-2 6% lebih kecil daripada MSTL-ARIMA (0,614 dan 0,653), dan kapasitas berlebihnya hanya 1% lebih kecil (0,141 dan 0,142). Pada Azure 2019 resolusi 1 menit, galat Chronos-2 30% lebih kecil daripada LightGBM (0,584 dan 0,832), dan instance menganggurnya 48% lebih sedikit (0,047 dan 0,090). Terhadap N-BEATS, galatnya 20% lebih kecil (0,584 dan 0,734), sedangkan instance menganggurnya 81% lebih sedikit (0,047 dan 0,242). Pengecualian yang mencolok adalah N-BEATS, yang lebih akurat daripada LightGBM tetapi menghasilkan keputusan yang lebih buruk.</w:t>
      </w:r>
    </w:p>
    <w:p>
      <w:pPr>
        <w:pStyle w:val="Heading1"/>
      </w:pPr>
      <w:r>
        <w:t>5. Diskusi</w:t>
      </w:r>
    </w:p>
    <w:p>
      <w:pPr>
        <w:pStyle w:val="Heading2"/>
      </w:pPr>
      <w:r>
        <w:t>5.1 Kapan TSFM layak dipakai untuk penskalaan otomatis</w:t>
      </w:r>
    </w:p>
    <w:p>
      <w:pPr>
        <w:jc w:val="both"/>
      </w:pPr>
      <w:r>
        <w:rPr/>
        <w:t>Dari hasil di atas kami merumuskan tiga panduan praktis.</w:t>
      </w:r>
    </w:p>
    <w:p>
      <w:pPr>
        <w:pStyle w:val="ListBullet"/>
        <w:jc w:val="both"/>
      </w:pPr>
      <w:r>
        <w:rPr>
          <w:b/>
        </w:rPr>
        <w:t>Pemanasan awal untuk aplikasi serverless yang aktif secara teratur.</w:t>
      </w:r>
      <w:r>
        <w:rPr/>
        <w:t xml:space="preserve"> Pada kasus inilah TSFM paling bermanfaat. Tanpa pelatihan per aplikasi, rencana pemanasan awal per jam mengurangi proksi instance menganggur hampir separuhnya dibanding LightGBM, dan lebih dari separuhnya dibanding </w:t>
      </w:r>
      <w:r>
        <w:rPr>
          <w:i/>
        </w:rPr>
        <w:t>keep-alive</w:t>
      </w:r>
      <w:r>
        <w:rPr/>
        <w:t>.</w:t>
      </w:r>
    </w:p>
    <w:p>
      <w:pPr>
        <w:pStyle w:val="ListBullet"/>
        <w:jc w:val="both"/>
      </w:pPr>
      <w:r>
        <w:rPr>
          <w:b/>
        </w:rPr>
        <w:t>Aplikasi yang hampir selalu menganggur.</w:t>
      </w:r>
      <w:r>
        <w:rPr/>
        <w:t xml:space="preserve"> Ramalan TSFM pada aplikasi seperti ini lebih akurat daripada model pembanding, tetapi manfaat keputusannya bergantung pada tingkat risiko yang dipilih operator. Aturan sederhana berdasarkan proporsi menit tanpa invokasi pada riwayat aplikasi dapat dipakai untuk memutuskan apakah suatu aplikasi cukup ditangani dengan </w:t>
      </w:r>
      <w:r>
        <w:rPr>
          <w:i/>
        </w:rPr>
        <w:t>keep-alive</w:t>
      </w:r>
      <w:r>
        <w:rPr/>
        <w:t>.</w:t>
      </w:r>
    </w:p>
    <w:p>
      <w:pPr>
        <w:pStyle w:val="ListBullet"/>
        <w:jc w:val="both"/>
      </w:pPr>
      <w:r>
        <w:rPr>
          <w:b/>
        </w:rPr>
        <w:t>Penskalaan VM yang sudah reaktif.</w:t>
      </w:r>
      <w:r>
        <w:rPr/>
        <w:t xml:space="preserve"> Ramalan lebih berguna sebagai batas bawah kapasitas dalam kebijakan hibrida daripada sebagai pengganti kontrol reaktif. Pada mode ini, model statistik klasik sudah memberikan sebagian besar manfaatnya.</w:t>
      </w:r>
    </w:p>
    <w:p>
      <w:pPr>
        <w:jc w:val="both"/>
      </w:pPr>
      <w:r>
        <w:rPr/>
        <w:t>Dari sisi biaya, TimesFM-3 dipilih bila galat terendah lebih penting, sedangkan Chronos-2 dan Toto dalam mode rata-rata dipilih bila latensi di CPU lebih penting. Konteks 2048 langkah memberi sebagian besar manfaat konteks panjang pada kedua resolusi. Konteks yang lebih panjang lagi hanya layak dicoba untuk TimesFM-3 pada data 5 menit, dengan biaya latensi yang lebih besar.</w:t>
      </w:r>
    </w:p>
    <w:p>
      <w:pPr>
        <w:pStyle w:val="Heading2"/>
      </w:pPr>
      <w:r>
        <w:t>5.2 Kaitan dengan penskalaan hemat energi</w:t>
      </w:r>
    </w:p>
    <w:p>
      <w:pPr>
        <w:jc w:val="both"/>
      </w:pPr>
      <w:r>
        <w:rPr/>
        <w:t>Simulator kami menghasilkan deret kapasitas aktif per menit untuk setiap kebijakan. Deret tersebut dapat langsung dipetakan ke konsumsi energi dengan model daya linear P = P₀ + (P₁ − P₀)·u, dengan P₀ daya saat menganggur dan P₁ daya pada utilisasi penuh. Dengan cara ini, hasil RQ3 dapat menjadi masukan bagi studi penskalaan hemat energi yang memakai komponen peramalan yang sama. Biaya inferensi dari RQ2 juga perlu diperhitungkan sebagai beban energi tambahan dari model peramal itu sendiri.</w:t>
      </w:r>
    </w:p>
    <w:p>
      <w:pPr>
        <w:pStyle w:val="Heading2"/>
      </w:pPr>
      <w:r>
        <w:t>5.3 Ancaman terhadap validitas</w:t>
      </w:r>
    </w:p>
    <w:p>
      <w:pPr>
        <w:pStyle w:val="ListBullet"/>
        <w:jc w:val="both"/>
      </w:pPr>
      <w:r>
        <w:rPr>
          <w:b/>
        </w:rPr>
        <w:t>Kebocoran data pelatihan awal.</w:t>
      </w:r>
      <w:r>
        <w:rPr/>
        <w:t xml:space="preserve"> Korpus pelatihan awal lima TSFM kemungkinan besar memuat trace Alibaba 2018 pada tingkat klaster dan periode yang sama (Tabel 3). Tanpa pembanding yang bebas kontaminasi, besar pengaruhnya terhadap hasil Alibaba tidak dapat kami pisahkan, sehingga kesimpulan utama kami bersandar pada Azure dan Huawei. Ketepatan audit ini bergantung pada kelengkapan dokumentasi setiap model, dan korpus TTM-r2 tidak dapat diperiksa.</w:t>
      </w:r>
    </w:p>
    <w:p>
      <w:pPr>
        <w:pStyle w:val="ListBullet"/>
        <w:jc w:val="both"/>
      </w:pPr>
      <w:r>
        <w:rPr>
          <w:b/>
        </w:rPr>
        <w:t>Proksi cold start.</w:t>
      </w:r>
      <w:r>
        <w:rPr/>
        <w:t xml:space="preserve"> Simulator membandingkan kebutuhan dan kapasitas per menit tanpa melacak instance yang sibuk, tanpa model kedatangan di dalam satu menit, dan tanpa waktu </w:t>
      </w:r>
      <w:r>
        <w:rPr>
          <w:i/>
        </w:rPr>
        <w:t>cold start</w:t>
      </w:r>
      <w:r>
        <w:rPr/>
        <w:t xml:space="preserve"> itu sendiri. Angkanya kami tafsirkan sebagai estimasi relatif antarkebijakan. Jumlah permintaan yang benar-benar mengalami </w:t>
      </w:r>
      <w:r>
        <w:rPr>
          <w:i/>
        </w:rPr>
        <w:t>cold start</w:t>
      </w:r>
      <w:r>
        <w:rPr/>
        <w:t xml:space="preserve"> memerlukan simulator tingkat permintaan.</w:t>
      </w:r>
    </w:p>
    <w:p>
      <w:pPr>
        <w:pStyle w:val="ListBullet"/>
        <w:jc w:val="both"/>
      </w:pPr>
      <w:r>
        <w:rPr>
          <w:b/>
        </w:rPr>
        <w:t>Rencana per jam.</w:t>
      </w:r>
      <w:r>
        <w:rPr/>
        <w:t xml:space="preserve"> Kebijakan prediktif memakai ramalan yang dibuat sekali setiap jam. Ramalan yang diperbarui pada setiap langkah kontrol mungkin mengubah perbandingannya dengan kebijakan reaktif, terutama untuk VM.</w:t>
      </w:r>
    </w:p>
    <w:p>
      <w:pPr>
        <w:pStyle w:val="ListBullet"/>
        <w:jc w:val="both"/>
      </w:pPr>
      <w:r>
        <w:rPr>
          <w:b/>
        </w:rPr>
        <w:t>Pemilihan parameter pada validasi.</w:t>
      </w:r>
      <w:r>
        <w:rPr/>
        <w:t xml:space="preserve"> Pasangan (τ, θ) dipilih pada periode validasi yang juga dipakai untuk mengkalibrasi kuantil konformal model titik, sehingga pemilihan bagi model tersebut sedikit optimistis.</w:t>
      </w:r>
    </w:p>
    <w:p>
      <w:pPr>
        <w:pStyle w:val="ListBullet"/>
        <w:jc w:val="both"/>
      </w:pPr>
      <w:r>
        <w:rPr>
          <w:b/>
        </w:rPr>
        <w:t>Satu mesin.</w:t>
      </w:r>
      <w:r>
        <w:rPr/>
        <w:t xml:space="preserve"> Seluruh latensi diukur pada satu laptop berprosesor ARM. Angka absolutnya akan berbeda pada server x86, meskipun urutan relatifnya kemungkinan tidak banyak berubah.</w:t>
      </w:r>
    </w:p>
    <w:p>
      <w:pPr>
        <w:pStyle w:val="ListBullet"/>
        <w:jc w:val="both"/>
      </w:pPr>
      <w:r>
        <w:rPr>
          <w:b/>
        </w:rPr>
        <w:t>Konfigurasi model pembanding.</w:t>
      </w:r>
      <w:r>
        <w:rPr/>
        <w:t xml:space="preserve"> Model terlatih memakai hiperparameter bawaan dengan </w:t>
      </w:r>
      <w:r>
        <w:rPr>
          <w:i/>
        </w:rPr>
        <w:t>early stopping</w:t>
      </w:r>
      <w:r>
        <w:rPr/>
        <w:t xml:space="preserve">. LSTM akhirnya memakai jendela masukan 2 jam, karena konfigurasi awal dengan masukan 864 langkah membutuhkan 3,5 jam pelatihan di CPU dan tetap menjadi model terburuk. N-BEATS memakai normalisasi standar, karena normalisasi </w:t>
      </w:r>
      <w:r>
        <w:rPr>
          <w:i/>
        </w:rPr>
        <w:t>robust</w:t>
      </w:r>
      <w:r>
        <w:rPr/>
        <w:t xml:space="preserve"> gagal pada deret yang jarang (relMASE validasi Azure 2019 sebesar 1,40, dibanding 0,69 dengan normalisasi standar). Pilihan ini ditentukan dari data validasi saja, lalu diterapkan ke semua dataset.</w:t>
      </w:r>
    </w:p>
    <w:p>
      <w:pPr>
        <w:pStyle w:val="ListBullet"/>
        <w:jc w:val="both"/>
      </w:pPr>
      <w:r>
        <w:rPr>
          <w:b/>
        </w:rPr>
        <w:t>Cakupan data dan statistik.</w:t>
      </w:r>
      <w:r>
        <w:rPr/>
        <w:t xml:space="preserve"> Penelitian ini hanya memakai empat trace dengan periode uji 2 hingga 4 hari, dan trace Google 2019 belum dievaluasi. Interval </w:t>
      </w:r>
      <w:r>
        <w:rPr>
          <w:i/>
        </w:rPr>
        <w:t>bootstrap</w:t>
      </w:r>
      <w:r>
        <w:rPr/>
        <w:t xml:space="preserve"> atas deret tidak mencakup variasi antarperiode maupun korelasi antarderet. </w:t>
      </w:r>
      <w:r>
        <w:rPr>
          <w:i/>
        </w:rPr>
        <w:t>Block bootstrap</w:t>
      </w:r>
      <w:r>
        <w:rPr/>
        <w:t xml:space="preserve"> atas waktu belum kami lakukan.</w:t>
      </w:r>
    </w:p>
    <w:p>
      <w:pPr>
        <w:pStyle w:val="ListBullet"/>
        <w:jc w:val="both"/>
      </w:pPr>
      <w:r>
        <w:rPr>
          <w:b/>
        </w:rPr>
        <w:t>Adaptasi histogram hibrida.</w:t>
      </w:r>
      <w:r>
        <w:rPr/>
        <w:t xml:space="preserve"> Implementasi kami tidak memuat komponen ARIMA dan pembaruan daring dari versi asli Shahrad dkk., sehingga hasilnya tidak mewakili kinerja metode aslinya secara penuh.</w:t>
      </w:r>
    </w:p>
    <w:p>
      <w:pPr>
        <w:pStyle w:val="Heading1"/>
      </w:pPr>
      <w:r>
        <w:t>6. Kesimpulan</w:t>
      </w:r>
    </w:p>
    <w:p>
      <w:pPr>
        <w:jc w:val="both"/>
      </w:pPr>
      <w:r>
        <w:rPr/>
        <w:t xml:space="preserve">Kami mengevaluasi delapan TSFM secara </w:t>
      </w:r>
      <w:r>
        <w:rPr>
          <w:i/>
        </w:rPr>
        <w:t>zero-shot</w:t>
      </w:r>
      <w:r>
        <w:rPr/>
        <w:t xml:space="preserve"> pada empat trace cloud dan serverless publik dari sisi akurasi, biaya CPU, dan keputusan penskalaan. Galat TSFM generasi 2025 hingga 2026 lebih kecil 7 hingga 26% daripada model pembanding terbaik pada keenam kombinasi dataset dan resolusi, seluruhnya signifikan menurut uji berpasangan, dan hasil negatif studi sebelumnya tidak terulang pada model yang lebih baru. Pada aplikasi yang sangat jarang dipanggil, keunggulan itu kecil dan peka terhadap cara galat nol diperlakukan. Pada tingkat keputusan, manfaatnya besar untuk pemanasan awal instance pada Azure 2019, tidak konsisten pada aplikasi Azure 2021 yang sangat jarang dipanggil, dan kecil untuk VM yang sudah memakai kontrol reaktif. Penelitian lanjutan akan mencakup simulator tingkat permintaan, ramalan yang diperbarui pada setiap langkah kontrol, pemilihan kebijakan secara otomatis untuk setiap aplikasi, dan integrasi dengan model energi.</w:t>
      </w:r>
    </w:p>
    <w:p>
      <w:pPr>
        <w:pStyle w:val="Heading1"/>
      </w:pPr>
      <w:r>
        <w:t>Ketersediaan kode dan data</w:t>
      </w:r>
    </w:p>
    <w:p>
      <w:pPr>
        <w:jc w:val="both"/>
      </w:pPr>
      <w:r>
        <w:rPr/>
        <w:t xml:space="preserve">Paket keterulangan memuat seluruh kode (persiapan data, pembungkus model dengan revisi </w:t>
      </w:r>
      <w:r>
        <w:rPr>
          <w:i/>
        </w:rPr>
        <w:t>checkpoint</w:t>
      </w:r>
      <w:r>
        <w:rPr/>
        <w:t xml:space="preserve"> yang terkunci, model pembanding, simulator, dan analisis), lingkungan Python dengan berkas kunci versi, serta skrip yang menjalankan seluruh eksperimen secara berurutan. Pembagian data dicatat pada configs/splits.json, yang memuat batas latih, validasi, dan uji, jumlah origin, horizon, serta sidik sha256 setiap panel olahan, sehingga pembaca dapat memastikan bahwa data yang mereka bangun ulang identik. Daftar ID deret untuk setiap dataset dan resolusi ada di configs/series, dan revisi </w:t>
      </w:r>
      <w:r>
        <w:rPr>
          <w:i/>
        </w:rPr>
        <w:t>checkpoint</w:t>
      </w:r>
      <w:r>
        <w:rPr/>
        <w:t xml:space="preserve"> serta pengaturan model pembanding ada di configs/models.json. Keluaran pendukung mencakup metrik per deret untuk setiap model, hasil simulasi, pengukuran latensi, dan berkas CSV untuk setiap tabel dan gambar. Ramalan per origin (sekitar 1 GB) diarsipkan terpisah. Semua trace yang dipakai tersedia untuk publik dengan lisensi masing-masing, dan model Moirai-2.0-R-small berlisensi CC-BY-NC-4.0.</w:t>
      </w:r>
    </w:p>
    <w:p>
      <w:pPr>
        <w:pStyle w:val="Heading1"/>
      </w:pPr>
      <w:r>
        <w:t>Lampiran A. Revisi checkpoint</w:t>
      </w:r>
    </w:p>
    <w:p>
      <w:pPr>
        <w:keepNext/>
      </w:pPr>
      <w:r>
        <w:rPr>
          <w:b/>
          <w:sz w:val="19"/>
        </w:rPr>
        <w:t>Tabel 14.</w:t>
      </w:r>
      <w:r>
        <w:rPr>
          <w:sz w:val="19"/>
        </w:rPr>
        <w:t xml:space="preserve"> Revisi </w:t>
      </w:r>
      <w:r>
        <w:rPr>
          <w:i/>
          <w:sz w:val="19"/>
        </w:rPr>
        <w:t>checkpoint</w:t>
      </w:r>
      <w:r>
        <w:rPr>
          <w:sz w:val="19"/>
        </w:rPr>
        <w:t xml:space="preserve"> yang dipakai (12 karakter pertama hash commit). Varian TTM-r2 dipilih otomatis oleh pustaka granite-tsfm berdasarkan panjang konteks, dan hash branch dicatat per 26 Oktober 2026.</w:t>
      </w:r>
    </w:p>
    <w:tbl>
      <w:tblPr>
        <w:tblW w:type="auto" w:w="0"/>
        <w:jc w:val="center"/>
        <w:tblLayout w:type="fixed"/>
        <w:tblLook w:firstColumn="1" w:firstRow="1" w:lastColumn="0" w:lastRow="0" w:noHBand="0" w:noVBand="1" w:val="04A0"/>
        <w:tblLayout w:type="fixed"/>
      </w:tblPr>
      <w:tblGrid>
        <w:gridCol w:w="1587"/>
        <w:gridCol w:w="3628"/>
        <w:gridCol w:w="2721"/>
      </w:tblGrid>
      <w:tr>
        <w:tc>
          <w:tcPr>
            <w:tcW w:type="dxa" w:w="1587"/>
            <w:tcBorders>
              <w:top w:val="single" w:sz="8" w:color="000000"/>
              <w:bottom w:val="single" w:sz="4" w:color="000000"/>
            </w:tcBorders>
          </w:tcPr>
          <w:p>
            <w:pPr>
              <w:keepNext/>
              <w:spacing w:after="0"/>
              <w:jc w:val="left"/>
            </w:pPr>
            <w:r>
              <w:rPr>
                <w:b/>
                <w:sz w:val="16"/>
              </w:rPr>
              <w:t>Model</w:t>
            </w:r>
          </w:p>
        </w:tc>
        <w:tc>
          <w:tcPr>
            <w:tcW w:type="dxa" w:w="3628"/>
            <w:tcBorders>
              <w:top w:val="single" w:sz="8" w:color="000000"/>
              <w:bottom w:val="single" w:sz="4" w:color="000000"/>
            </w:tcBorders>
          </w:tcPr>
          <w:p>
            <w:pPr>
              <w:keepNext/>
              <w:spacing w:after="0"/>
              <w:jc w:val="center"/>
            </w:pPr>
            <w:r>
              <w:rPr>
                <w:b/>
                <w:sz w:val="16"/>
              </w:rPr>
              <w:t>Repositori Hugging Face</w:t>
            </w:r>
          </w:p>
        </w:tc>
        <w:tc>
          <w:tcPr>
            <w:tcW w:type="dxa" w:w="2721"/>
            <w:tcBorders>
              <w:top w:val="single" w:sz="8" w:color="000000"/>
              <w:bottom w:val="single" w:sz="4" w:color="000000"/>
            </w:tcBorders>
          </w:tcPr>
          <w:p>
            <w:pPr>
              <w:keepNext/>
              <w:spacing w:after="0"/>
              <w:jc w:val="center"/>
            </w:pPr>
            <w:r>
              <w:rPr>
                <w:b/>
                <w:sz w:val="16"/>
              </w:rPr>
              <w:t>Revisi</w:t>
            </w:r>
          </w:p>
        </w:tc>
      </w:tr>
      <w:tr>
        <w:tc>
          <w:tcPr>
            <w:tcW w:type="dxa" w:w="1587"/>
          </w:tcPr>
          <w:p>
            <w:pPr>
              <w:keepNext/>
              <w:spacing w:after="0"/>
              <w:jc w:val="left"/>
            </w:pPr>
            <w:r>
              <w:rPr>
                <w:sz w:val="16"/>
              </w:rPr>
              <w:t>TimesFM-3</w:t>
            </w:r>
          </w:p>
        </w:tc>
        <w:tc>
          <w:tcPr>
            <w:tcW w:type="dxa" w:w="3628"/>
          </w:tcPr>
          <w:p>
            <w:pPr>
              <w:keepNext/>
              <w:spacing w:after="0"/>
              <w:jc w:val="center"/>
            </w:pPr>
            <w:r>
              <w:rPr>
                <w:sz w:val="16"/>
              </w:rPr>
              <w:t>google/timesfm-3.0-pytorch</w:t>
            </w:r>
          </w:p>
        </w:tc>
        <w:tc>
          <w:tcPr>
            <w:tcW w:type="dxa" w:w="2721"/>
          </w:tcPr>
          <w:p>
            <w:pPr>
              <w:keepNext/>
              <w:spacing w:after="0"/>
              <w:jc w:val="center"/>
            </w:pPr>
            <w:r>
              <w:rPr>
                <w:sz w:val="16"/>
              </w:rPr>
              <w:t>43046b85ec22</w:t>
            </w:r>
          </w:p>
        </w:tc>
      </w:tr>
      <w:tr>
        <w:tc>
          <w:tcPr>
            <w:tcW w:type="dxa" w:w="1587"/>
          </w:tcPr>
          <w:p>
            <w:pPr>
              <w:keepNext/>
              <w:spacing w:after="0"/>
              <w:jc w:val="left"/>
            </w:pPr>
            <w:r>
              <w:rPr>
                <w:sz w:val="16"/>
              </w:rPr>
              <w:t>TimesFM-2.5</w:t>
            </w:r>
          </w:p>
        </w:tc>
        <w:tc>
          <w:tcPr>
            <w:tcW w:type="dxa" w:w="3628"/>
          </w:tcPr>
          <w:p>
            <w:pPr>
              <w:keepNext/>
              <w:spacing w:after="0"/>
              <w:jc w:val="center"/>
            </w:pPr>
            <w:r>
              <w:rPr>
                <w:sz w:val="16"/>
              </w:rPr>
              <w:t>google/timesfm-2.5-200m-pytorch</w:t>
            </w:r>
          </w:p>
        </w:tc>
        <w:tc>
          <w:tcPr>
            <w:tcW w:type="dxa" w:w="2721"/>
          </w:tcPr>
          <w:p>
            <w:pPr>
              <w:keepNext/>
              <w:spacing w:after="0"/>
              <w:jc w:val="center"/>
            </w:pPr>
            <w:r>
              <w:rPr>
                <w:sz w:val="16"/>
              </w:rPr>
              <w:t>1d952420fba8</w:t>
            </w:r>
          </w:p>
        </w:tc>
      </w:tr>
      <w:tr>
        <w:tc>
          <w:tcPr>
            <w:tcW w:type="dxa" w:w="1587"/>
          </w:tcPr>
          <w:p>
            <w:pPr>
              <w:keepNext/>
              <w:spacing w:after="0"/>
              <w:jc w:val="left"/>
            </w:pPr>
            <w:r>
              <w:rPr>
                <w:sz w:val="16"/>
              </w:rPr>
              <w:t>Chronos-2</w:t>
            </w:r>
          </w:p>
        </w:tc>
        <w:tc>
          <w:tcPr>
            <w:tcW w:type="dxa" w:w="3628"/>
          </w:tcPr>
          <w:p>
            <w:pPr>
              <w:keepNext/>
              <w:spacing w:after="0"/>
              <w:jc w:val="center"/>
            </w:pPr>
            <w:r>
              <w:rPr>
                <w:sz w:val="16"/>
              </w:rPr>
              <w:t>amazon/chronos-2</w:t>
            </w:r>
          </w:p>
        </w:tc>
        <w:tc>
          <w:tcPr>
            <w:tcW w:type="dxa" w:w="2721"/>
          </w:tcPr>
          <w:p>
            <w:pPr>
              <w:keepNext/>
              <w:spacing w:after="0"/>
              <w:jc w:val="center"/>
            </w:pPr>
            <w:r>
              <w:rPr>
                <w:sz w:val="16"/>
              </w:rPr>
              <w:t>29ec3766d36d</w:t>
            </w:r>
          </w:p>
        </w:tc>
      </w:tr>
      <w:tr>
        <w:tc>
          <w:tcPr>
            <w:tcW w:type="dxa" w:w="1587"/>
          </w:tcPr>
          <w:p>
            <w:pPr>
              <w:keepNext/>
              <w:spacing w:after="0"/>
              <w:jc w:val="left"/>
            </w:pPr>
            <w:r>
              <w:rPr>
                <w:sz w:val="16"/>
              </w:rPr>
              <w:t>Chronos-Bolt-S</w:t>
            </w:r>
          </w:p>
        </w:tc>
        <w:tc>
          <w:tcPr>
            <w:tcW w:type="dxa" w:w="3628"/>
          </w:tcPr>
          <w:p>
            <w:pPr>
              <w:keepNext/>
              <w:spacing w:after="0"/>
              <w:jc w:val="center"/>
            </w:pPr>
            <w:r>
              <w:rPr>
                <w:sz w:val="16"/>
              </w:rPr>
              <w:t>amazon/chronos-bolt-small</w:t>
            </w:r>
          </w:p>
        </w:tc>
        <w:tc>
          <w:tcPr>
            <w:tcW w:type="dxa" w:w="2721"/>
          </w:tcPr>
          <w:p>
            <w:pPr>
              <w:keepNext/>
              <w:spacing w:after="0"/>
              <w:jc w:val="center"/>
            </w:pPr>
            <w:r>
              <w:rPr>
                <w:sz w:val="16"/>
              </w:rPr>
              <w:t>772f3d25d38a</w:t>
            </w:r>
          </w:p>
        </w:tc>
      </w:tr>
      <w:tr>
        <w:tc>
          <w:tcPr>
            <w:tcW w:type="dxa" w:w="1587"/>
          </w:tcPr>
          <w:p>
            <w:pPr>
              <w:keepNext/>
              <w:spacing w:after="0"/>
              <w:jc w:val="left"/>
            </w:pPr>
            <w:r>
              <w:rPr>
                <w:sz w:val="16"/>
              </w:rPr>
              <w:t>Toto</w:t>
            </w:r>
          </w:p>
        </w:tc>
        <w:tc>
          <w:tcPr>
            <w:tcW w:type="dxa" w:w="3628"/>
          </w:tcPr>
          <w:p>
            <w:pPr>
              <w:keepNext/>
              <w:spacing w:after="0"/>
              <w:jc w:val="center"/>
            </w:pPr>
            <w:r>
              <w:rPr>
                <w:sz w:val="16"/>
              </w:rPr>
              <w:t>Datadog/Toto-Open-Base-1.0</w:t>
            </w:r>
          </w:p>
        </w:tc>
        <w:tc>
          <w:tcPr>
            <w:tcW w:type="dxa" w:w="2721"/>
          </w:tcPr>
          <w:p>
            <w:pPr>
              <w:keepNext/>
              <w:spacing w:after="0"/>
              <w:jc w:val="center"/>
            </w:pPr>
            <w:r>
              <w:rPr>
                <w:sz w:val="16"/>
              </w:rPr>
              <w:t>0411ceb27bdf</w:t>
            </w:r>
          </w:p>
        </w:tc>
      </w:tr>
      <w:tr>
        <w:tc>
          <w:tcPr>
            <w:tcW w:type="dxa" w:w="1587"/>
          </w:tcPr>
          <w:p>
            <w:pPr>
              <w:keepNext/>
              <w:spacing w:after="0"/>
              <w:jc w:val="left"/>
            </w:pPr>
            <w:r>
              <w:rPr>
                <w:sz w:val="16"/>
              </w:rPr>
              <w:t>Moirai-2-S</w:t>
            </w:r>
          </w:p>
        </w:tc>
        <w:tc>
          <w:tcPr>
            <w:tcW w:type="dxa" w:w="3628"/>
          </w:tcPr>
          <w:p>
            <w:pPr>
              <w:keepNext/>
              <w:spacing w:after="0"/>
              <w:jc w:val="center"/>
            </w:pPr>
            <w:r>
              <w:rPr>
                <w:sz w:val="16"/>
              </w:rPr>
              <w:t>Salesforce/moirai-2.0-R-small</w:t>
            </w:r>
          </w:p>
        </w:tc>
        <w:tc>
          <w:tcPr>
            <w:tcW w:type="dxa" w:w="2721"/>
          </w:tcPr>
          <w:p>
            <w:pPr>
              <w:keepNext/>
              <w:spacing w:after="0"/>
              <w:jc w:val="center"/>
            </w:pPr>
            <w:r>
              <w:rPr>
                <w:sz w:val="16"/>
              </w:rPr>
              <w:t>30f43ff08c84</w:t>
            </w:r>
          </w:p>
        </w:tc>
      </w:tr>
      <w:tr>
        <w:tc>
          <w:tcPr>
            <w:tcW w:type="dxa" w:w="1587"/>
          </w:tcPr>
          <w:p>
            <w:pPr>
              <w:keepNext/>
              <w:spacing w:after="0"/>
              <w:jc w:val="left"/>
            </w:pPr>
            <w:r>
              <w:rPr>
                <w:sz w:val="16"/>
              </w:rPr>
              <w:t>TiRex</w:t>
            </w:r>
          </w:p>
        </w:tc>
        <w:tc>
          <w:tcPr>
            <w:tcW w:type="dxa" w:w="3628"/>
          </w:tcPr>
          <w:p>
            <w:pPr>
              <w:keepNext/>
              <w:spacing w:after="0"/>
              <w:jc w:val="center"/>
            </w:pPr>
            <w:r>
              <w:rPr>
                <w:sz w:val="16"/>
              </w:rPr>
              <w:t>NX-AI/TiRex</w:t>
            </w:r>
          </w:p>
        </w:tc>
        <w:tc>
          <w:tcPr>
            <w:tcW w:type="dxa" w:w="2721"/>
          </w:tcPr>
          <w:p>
            <w:pPr>
              <w:keepNext/>
              <w:spacing w:after="0"/>
              <w:jc w:val="center"/>
            </w:pPr>
            <w:r>
              <w:rPr>
                <w:sz w:val="16"/>
              </w:rPr>
              <w:t>63c740922493</w:t>
            </w:r>
          </w:p>
        </w:tc>
      </w:tr>
      <w:tr>
        <w:tc>
          <w:tcPr>
            <w:tcW w:type="dxa" w:w="1587"/>
            <w:tcBorders>
              <w:bottom w:val="single" w:sz="8" w:color="000000"/>
            </w:tcBorders>
          </w:tcPr>
          <w:p>
            <w:pPr>
              <w:keepNext w:val="0"/>
              <w:spacing w:after="0"/>
              <w:jc w:val="left"/>
            </w:pPr>
            <w:r>
              <w:rPr>
                <w:sz w:val="16"/>
              </w:rPr>
              <w:t>TTM-r2</w:t>
            </w:r>
          </w:p>
        </w:tc>
        <w:tc>
          <w:tcPr>
            <w:tcW w:type="dxa" w:w="3628"/>
            <w:tcBorders>
              <w:bottom w:val="single" w:sz="8" w:color="000000"/>
            </w:tcBorders>
          </w:tcPr>
          <w:p>
            <w:pPr>
              <w:keepNext w:val="0"/>
              <w:spacing w:after="0"/>
              <w:jc w:val="center"/>
            </w:pPr>
            <w:r>
              <w:rPr>
                <w:sz w:val="16"/>
              </w:rPr>
              <w:t>ibm-granite/granite-timeseries-ttm-r2</w:t>
            </w:r>
          </w:p>
        </w:tc>
        <w:tc>
          <w:tcPr>
            <w:tcW w:type="dxa" w:w="2721"/>
            <w:tcBorders>
              <w:bottom w:val="single" w:sz="8" w:color="000000"/>
            </w:tcBorders>
          </w:tcPr>
          <w:p>
            <w:pPr>
              <w:keepNext w:val="0"/>
              <w:spacing w:after="0"/>
              <w:jc w:val="center"/>
            </w:pPr>
            <w:r>
              <w:rPr>
                <w:sz w:val="16"/>
              </w:rPr>
              <w:t>branch 1536-96-r2 (f6ed09d67cf4)</w:t>
            </w:r>
          </w:p>
        </w:tc>
      </w:tr>
    </w:tbl>
    <w:p>
      <w:pPr>
        <w:spacing w:after="40"/>
      </w:pPr>
    </w:p>
    <w:p>
      <w:pPr>
        <w:pStyle w:val="Heading1"/>
      </w:pPr>
      <w:r>
        <w:t>Daftar Pustaka</w:t>
      </w:r>
    </w:p>
    <w:p>
      <w:pPr>
        <w:spacing w:after="60"/>
        <w:ind w:left="454" w:hanging="454"/>
      </w:pPr>
      <w:r>
        <w:rPr>
          <w:sz w:val="18"/>
        </w:rPr>
        <w:t>[1]</w:t>
        <w:tab/>
        <w:t>The Kubernetes Authors, "Horizontal Pod Autoscaling," dokumentasi Kubernetes. [Daring]. Tersedia: https://kubernetes.io/docs/tasks/run-application/horizontal-pod-autoscale/ (diakses 25 Oktober 2026).</w:t>
      </w:r>
    </w:p>
    <w:p>
      <w:pPr>
        <w:spacing w:after="60"/>
        <w:ind w:left="454" w:hanging="454"/>
      </w:pPr>
      <w:r>
        <w:rPr>
          <w:sz w:val="18"/>
        </w:rPr>
        <w:t>[2]</w:t>
        <w:tab/>
        <w:t>M. Shahrad, R. Fonseca, Í. Goiri, G. Chaudhry, P. Batum, J. Cooke, E. Laureano, C. Tresness, M. Russinovich, dan R. Bianchini, "Serverless in the wild: Characterizing and optimizing the serverless workload at a large cloud provider," dalam Proc. USENIX ATC, 2020, hlm. 205–218.</w:t>
      </w:r>
    </w:p>
    <w:p>
      <w:pPr>
        <w:spacing w:after="60"/>
        <w:ind w:left="454" w:hanging="454"/>
      </w:pPr>
      <w:r>
        <w:rPr>
          <w:sz w:val="18"/>
        </w:rPr>
        <w:t>[3]</w:t>
        <w:tab/>
        <w:t>N. Roy, A. Dubey, dan A. Gokhale, "Efficient autoscaling in the cloud using predictive models for workload forecasting," dalam Proc. IEEE CLOUD, 2011, hlm. 500–507, doi: 10.1109/CLOUD.2011.42.</w:t>
      </w:r>
    </w:p>
    <w:p>
      <w:pPr>
        <w:spacing w:after="60"/>
        <w:ind w:left="454" w:hanging="454"/>
      </w:pPr>
      <w:r>
        <w:rPr>
          <w:sz w:val="18"/>
        </w:rPr>
        <w:t>[4]</w:t>
        <w:tab/>
        <w:t>A. F. Ansari dkk., "Chronos: Learning the language of time series," Transactions on Machine Learning Research, 2024.</w:t>
      </w:r>
    </w:p>
    <w:p>
      <w:pPr>
        <w:spacing w:after="60"/>
        <w:ind w:left="454" w:hanging="454"/>
      </w:pPr>
      <w:r>
        <w:rPr>
          <w:sz w:val="18"/>
        </w:rPr>
        <w:t>[5]</w:t>
        <w:tab/>
        <w:t>A. Das, W. Kong, R. Sen, dan Y. Zhou, "A decoder-only foundation model for time-series forecasting," dalam Proc. ICML, PMLR vol. 235, 2024, hlm. 10148–10167.</w:t>
      </w:r>
    </w:p>
    <w:p>
      <w:pPr>
        <w:spacing w:after="60"/>
        <w:ind w:left="454" w:hanging="454"/>
      </w:pPr>
      <w:r>
        <w:rPr>
          <w:sz w:val="18"/>
        </w:rPr>
        <w:t>[6]</w:t>
        <w:tab/>
        <w:t>G. Woo, C. Liu, A. Kumar, C. Xiong, S. Savarese, dan D. Sahoo, "Unified training of universal time series forecasting transformers," dalam Proc. ICML, PMLR vol. 235, 2024, hlm. 53140–53164.</w:t>
      </w:r>
    </w:p>
    <w:p>
      <w:pPr>
        <w:spacing w:after="60"/>
        <w:ind w:left="454" w:hanging="454"/>
      </w:pPr>
      <w:r>
        <w:rPr>
          <w:sz w:val="18"/>
        </w:rPr>
        <w:t>[7]</w:t>
        <w:tab/>
        <w:t>V. Ekambaram, A. Jati, P. Dayama, S. Mukherjee, N. H. Nguyen, W. M. Gifford, C. Reddy, dan J. Kalagnanam, "Tiny Time Mixers (TTMs): Fast pre-trained models for enhanced zero/few-shot forecasting of multivariate time series," dalam Proc. NeurIPS, 2024.</w:t>
      </w:r>
    </w:p>
    <w:p>
      <w:pPr>
        <w:spacing w:after="60"/>
        <w:ind w:left="454" w:hanging="454"/>
      </w:pPr>
      <w:r>
        <w:rPr>
          <w:sz w:val="18"/>
        </w:rPr>
        <w:t>[8]</w:t>
        <w:tab/>
        <w:t>W. Toner, T. L. Lee, A. Joosen, R. Singh, dan M. Asenov, "Performance of zero-shot time series foundation models on cloud data," ICLR 2025 Workshop "I Can't Believe It's Not Better", arXiv:2502.12944, 2025.</w:t>
      </w:r>
    </w:p>
    <w:p>
      <w:pPr>
        <w:spacing w:after="60"/>
        <w:ind w:left="454" w:hanging="454"/>
      </w:pPr>
      <w:r>
        <w:rPr>
          <w:sz w:val="18"/>
        </w:rPr>
        <w:t>[9]</w:t>
        <w:tab/>
        <w:t>Y. Zhang, Í. Goiri, G. I. Chaudhry, R. Fonseca, S. Elnikety, C. Delimitrou, dan R. Bianchini, "Faster and cheaper serverless computing on harvested resources," dalam Proc. ACM SOSP, 2021, hlm. 724–739, doi: 10.1145/3477132.3483580.</w:t>
      </w:r>
    </w:p>
    <w:p>
      <w:pPr>
        <w:spacing w:after="60"/>
        <w:ind w:left="454" w:hanging="454"/>
      </w:pPr>
      <w:r>
        <w:rPr>
          <w:sz w:val="18"/>
        </w:rPr>
        <w:t>[10]</w:t>
        <w:tab/>
        <w:t>A. Joosen, A. Hassan, M. Asenov, R. Singh, L. Darlow, J. Wang, dan A. Barker, "How does it function? Characterizing long-term trends in production serverless workloads," dalam Proc. ACM SoCC, 2023, hlm. 443–458.</w:t>
      </w:r>
    </w:p>
    <w:p>
      <w:pPr>
        <w:spacing w:after="60"/>
        <w:ind w:left="454" w:hanging="454"/>
      </w:pPr>
      <w:r>
        <w:rPr>
          <w:sz w:val="18"/>
        </w:rPr>
        <w:t>[11]</w:t>
        <w:tab/>
        <w:t>J. Guo, Z. Chang, S. Wang, H. Ding, Y. Feng, L. Mao, dan Y. Bao, "Who limits the resource efficiency of my datacenter: An analysis of Alibaba datacenter traces," dalam Proc. IEEE/ACM IWQoS, 2019, hlm. 1–10, doi: 10.1145/3326285.3329074.</w:t>
      </w:r>
    </w:p>
    <w:p>
      <w:pPr>
        <w:spacing w:after="60"/>
        <w:ind w:left="454" w:hanging="454"/>
      </w:pPr>
      <w:r>
        <w:rPr>
          <w:sz w:val="18"/>
        </w:rPr>
        <w:t>[12]</w:t>
        <w:tab/>
        <w:t>M. Golec, G. K. Walia, M. Kumar, F. Cuadrado, S. S. Gill, dan S. Uhlig, "Cold start latency in serverless computing: A systematic review, taxonomy, and future directions," ACM Computing Surveys, vol. 57, no. 3, terbit daring 11 November 2024, doi: 10.1145/3700875.</w:t>
      </w:r>
    </w:p>
    <w:p>
      <w:pPr>
        <w:spacing w:after="60"/>
        <w:ind w:left="454" w:hanging="454"/>
      </w:pPr>
      <w:r>
        <w:rPr>
          <w:sz w:val="18"/>
        </w:rPr>
        <w:t>[13]</w:t>
        <w:tab/>
        <w:t>A. P. Jegannathan, R. Saha, dan S. K. Addya, "A time series forecasting approach to minimize cold start time in cloud-serverless platform," dalam Proc. IEEE BlackSeaCom, 2022, hlm. 325–330, doi: 10.1109/BlackSeaCom54372.2022.9858271.</w:t>
      </w:r>
    </w:p>
    <w:p>
      <w:pPr>
        <w:spacing w:after="60"/>
        <w:ind w:left="454" w:hanging="454"/>
      </w:pPr>
      <w:r>
        <w:rPr>
          <w:sz w:val="18"/>
        </w:rPr>
        <w:t>[14]</w:t>
        <w:tab/>
        <w:t>T. N. Nguyen, "Holistic cold-start management in serverless computing cloud with deep learning for time series," Future Generation Computer Systems, vol. 153, hlm. 312–325, 2024, doi: 10.1016/j.future.2023.12.011. Pracetak: arXiv:2304.00396.</w:t>
      </w:r>
    </w:p>
    <w:p>
      <w:pPr>
        <w:spacing w:after="60"/>
        <w:ind w:left="454" w:hanging="454"/>
      </w:pPr>
      <w:r>
        <w:rPr>
          <w:sz w:val="18"/>
        </w:rPr>
        <w:t>[15]</w:t>
        <w:tab/>
        <w:t>R. B. Roy, T. Patel, dan D. Tiwari, "IceBreaker: Warming serverless functions better with heterogeneity," dalam Proc. ACM ASPLOS, 2022, hlm. 753–767, doi: 10.1145/3503222.3507750.</w:t>
      </w:r>
    </w:p>
    <w:p>
      <w:pPr>
        <w:spacing w:after="60"/>
        <w:ind w:left="454" w:hanging="454"/>
      </w:pPr>
      <w:r>
        <w:rPr>
          <w:sz w:val="18"/>
        </w:rPr>
        <w:t>[16]</w:t>
        <w:tab/>
        <w:t>N. Nasiri, N. Munshi, S. Moser, M. Pirvu, V. Sundaresan, D. Maier, T. Premnath, N. Böwing, S. Gopalakrishnan, dan M. Shahrad, "In-production characterization of an open source serverless platform and new scaling strategies," dalam Proc. ACM EuroSys, 2026, hlm. 2054–2072, doi: 10.1145/3767295.3769377.</w:t>
      </w:r>
    </w:p>
    <w:p>
      <w:pPr>
        <w:spacing w:after="60"/>
        <w:ind w:left="454" w:hanging="454"/>
      </w:pPr>
      <w:r>
        <w:rPr>
          <w:sz w:val="18"/>
        </w:rPr>
        <w:t>[17]</w:t>
        <w:tab/>
        <w:t>G. Zhang dkk., "AAPA: An archetype-aware predictive autoscaler with uncertainty quantification for serverless workloads on Kubernetes," arXiv:2507.05653, 2025.</w:t>
      </w:r>
    </w:p>
    <w:p>
      <w:pPr>
        <w:spacing w:after="60"/>
        <w:ind w:left="454" w:hanging="454"/>
      </w:pPr>
      <w:r>
        <w:rPr>
          <w:sz w:val="18"/>
        </w:rPr>
        <w:t>[18]</w:t>
        <w:tab/>
        <w:t>L. Kondrashov, B. Zhou, H. Wang, dan D. Ustiugov, "The high cost of keeping warm: Characterizing overhead in serverless autoscaling policies," arXiv:2509.03104, 2025.</w:t>
      </w:r>
    </w:p>
    <w:p>
      <w:pPr>
        <w:spacing w:after="60"/>
        <w:ind w:left="454" w:hanging="454"/>
      </w:pPr>
      <w:r>
        <w:rPr>
          <w:sz w:val="18"/>
        </w:rPr>
        <w:t>[19]</w:t>
        <w:tab/>
        <w:t>Amazon, "chronos-bolt-small," model card Hugging Face, revisi 772f3d25, diakses 25 Oktober 2026. [Daring]. Tersedia: https://huggingface.co/amazon/chronos-bolt-small</w:t>
      </w:r>
    </w:p>
    <w:p>
      <w:pPr>
        <w:spacing w:after="60"/>
        <w:ind w:left="454" w:hanging="454"/>
      </w:pPr>
      <w:r>
        <w:rPr>
          <w:sz w:val="18"/>
        </w:rPr>
        <w:t>[20]</w:t>
        <w:tab/>
        <w:t>A. F. Ansari dkk., "Chronos-2: From univariate to universal forecasting," arXiv:2510.15821, 2025.</w:t>
      </w:r>
    </w:p>
    <w:p>
      <w:pPr>
        <w:spacing w:after="60"/>
        <w:ind w:left="454" w:hanging="454"/>
      </w:pPr>
      <w:r>
        <w:rPr>
          <w:sz w:val="18"/>
        </w:rPr>
        <w:t>[21]</w:t>
        <w:tab/>
        <w:t>Google Research, "timesfm-2.5-200m-pytorch," model card Hugging Face, 2025. [Daring]. Tersedia: https://huggingface.co/google/timesfm-2.5-200m-pytorch</w:t>
      </w:r>
    </w:p>
    <w:p>
      <w:pPr>
        <w:spacing w:after="60"/>
        <w:ind w:left="454" w:hanging="454"/>
      </w:pPr>
      <w:r>
        <w:rPr>
          <w:sz w:val="18"/>
        </w:rPr>
        <w:t>[22]</w:t>
        <w:tab/>
        <w:t>A. Jain dan R. Sen, "TimesFM-3: A zero-shot foundation model for multivariate forecasting," Google Research Blog, 31 Agustus 2026. [Daring]. Tersedia: https://research.google/blog/timesfm-3-a-zero-shot-foundation-model-for-multivariate-forecasting/</w:t>
      </w:r>
    </w:p>
    <w:p>
      <w:pPr>
        <w:spacing w:after="60"/>
        <w:ind w:left="454" w:hanging="454"/>
      </w:pPr>
      <w:r>
        <w:rPr>
          <w:sz w:val="18"/>
        </w:rPr>
        <w:t>[23]</w:t>
        <w:tab/>
        <w:t>Google Research, "timesfm-3.0-pytorch," model card Hugging Face, revisi 43046b85, diakses 25 Oktober 2026. [Daring]. Tersedia: https://huggingface.co/google/timesfm-3.0-pytorch</w:t>
      </w:r>
    </w:p>
    <w:p>
      <w:pPr>
        <w:spacing w:after="60"/>
        <w:ind w:left="454" w:hanging="454"/>
      </w:pPr>
      <w:r>
        <w:rPr>
          <w:sz w:val="18"/>
        </w:rPr>
        <w:t>[24]</w:t>
        <w:tab/>
        <w:t>C. Liu, T. Aksu, J. Liu, X. Liu, H. Yan, Q. Pham, S. Savarese, D. Sahoo, C. Xiong, dan J. Li, "Moirai 2.0: When less is more for time series forecasting," arXiv:2511.11698, 2025.</w:t>
      </w:r>
    </w:p>
    <w:p>
      <w:pPr>
        <w:spacing w:after="60"/>
        <w:ind w:left="454" w:hanging="454"/>
      </w:pPr>
      <w:r>
        <w:rPr>
          <w:sz w:val="18"/>
        </w:rPr>
        <w:t>[25]</w:t>
        <w:tab/>
        <w:t>IBM, "granite-timeseries-ttm-r2," model card Hugging Face, diakses 25 Oktober 2026. [Daring]. Tersedia: https://huggingface.co/ibm-granite/granite-timeseries-ttm-r2</w:t>
      </w:r>
    </w:p>
    <w:p>
      <w:pPr>
        <w:spacing w:after="60"/>
        <w:ind w:left="454" w:hanging="454"/>
      </w:pPr>
      <w:r>
        <w:rPr>
          <w:sz w:val="18"/>
        </w:rPr>
        <w:t>[26]</w:t>
        <w:tab/>
        <w:t>A. Auer, P. Podest, D. Klotz, S. Böck, G. Klambauer, dan S. Hochreiter, "TiRex: Zero-shot forecasting across long and short horizons with enhanced in-context learning," dalam Proc. NeurIPS, 2025.</w:t>
      </w:r>
    </w:p>
    <w:p>
      <w:pPr>
        <w:spacing w:after="60"/>
        <w:ind w:left="454" w:hanging="454"/>
      </w:pPr>
      <w:r>
        <w:rPr>
          <w:sz w:val="18"/>
        </w:rPr>
        <w:t>[27]</w:t>
        <w:tab/>
        <w:t>B. Cohen dkk., "This time is different: An observability perspective on time series foundation models," arXiv:2505.14766, 2025.</w:t>
      </w:r>
    </w:p>
    <w:p>
      <w:pPr>
        <w:spacing w:after="60"/>
        <w:ind w:left="454" w:hanging="454"/>
      </w:pPr>
      <w:r>
        <w:rPr>
          <w:sz w:val="18"/>
        </w:rPr>
        <w:t>[28]</w:t>
        <w:tab/>
        <w:t>Datadog, "Toto-Open-Base-1.0," model card Hugging Face, revisi 0411ceb2, diakses 25 Oktober 2026. [Daring]. Tersedia: https://huggingface.co/Datadog/Toto-Open-Base-1.0</w:t>
      </w:r>
    </w:p>
    <w:p>
      <w:pPr>
        <w:spacing w:after="60"/>
        <w:ind w:left="454" w:hanging="454"/>
      </w:pPr>
      <w:r>
        <w:rPr>
          <w:sz w:val="18"/>
        </w:rPr>
        <w:t>[29]</w:t>
        <w:tab/>
        <w:t>T. Aksu, G. Woo, J. Liu, X. Liu, C. Liu, S. Savarese, C. Xiong, dan D. Sahoo, "GIFT-Eval: A benchmark for general time series forecasting model evaluation," arXiv:2410.10393, 2024.</w:t>
      </w:r>
    </w:p>
    <w:p>
      <w:pPr>
        <w:spacing w:after="60"/>
        <w:ind w:left="454" w:hanging="454"/>
      </w:pPr>
      <w:r>
        <w:rPr>
          <w:sz w:val="18"/>
        </w:rPr>
        <w:t>[30]</w:t>
        <w:tab/>
        <w:t>G. Woo, C. Liu, A. Kumar, dan D. Sahoo, "Pushing the limits of pre-training for time series forecasting in the CloudOps domain," arXiv:2310.05063, 2023.</w:t>
      </w:r>
    </w:p>
    <w:p>
      <w:pPr>
        <w:spacing w:after="60"/>
        <w:ind w:left="454" w:hanging="454"/>
      </w:pPr>
      <w:r>
        <w:rPr>
          <w:sz w:val="18"/>
        </w:rPr>
        <w:t>[31]</w:t>
        <w:tab/>
        <w:t>A. A. Syntetos, J. E. Boylan, dan J. D. Croston, "On the categorization of demand patterns," Journal of the Operational Research Society, vol. 56, no. 5, hlm. 495–503, 2005.</w:t>
      </w:r>
    </w:p>
    <w:p>
      <w:pPr>
        <w:spacing w:after="60"/>
        <w:ind w:left="454" w:hanging="454"/>
      </w:pPr>
      <w:r>
        <w:rPr>
          <w:sz w:val="18"/>
        </w:rPr>
        <w:t>[32]</w:t>
        <w:tab/>
        <w:t>A. Garza, M. Mergenthaler Canseco, C. Challú, dan K. G. Olivares, "StatsForecast: Lightning fast forecasting with statistical and econometric models," PyCon Salt Lake City, 2022.</w:t>
      </w:r>
    </w:p>
    <w:p>
      <w:pPr>
        <w:spacing w:after="60"/>
        <w:ind w:left="454" w:hanging="454"/>
      </w:pPr>
      <w:r>
        <w:rPr>
          <w:sz w:val="18"/>
        </w:rPr>
        <w:t>[33]</w:t>
        <w:tab/>
        <w:t>K. Bandara, R. J. Hyndman, dan C. Bergmeir, "MSTL: A seasonal-trend decomposition algorithm for time series with multiple seasonal patterns," International Journal of Operational Research, vol. 52, no. 1, hlm. 79–98, 2025, doi: 10.1504/IJOR.2025.143957.</w:t>
      </w:r>
    </w:p>
    <w:p>
      <w:pPr>
        <w:spacing w:after="60"/>
        <w:ind w:left="454" w:hanging="454"/>
      </w:pPr>
      <w:r>
        <w:rPr>
          <w:sz w:val="18"/>
        </w:rPr>
        <w:t>[34]</w:t>
        <w:tab/>
        <w:t>J. D. Croston, "Forecasting and stock control for intermittent demands," Operational Research Quarterly, vol. 23, no. 3, hlm. 289–303, 1972.</w:t>
      </w:r>
    </w:p>
    <w:p>
      <w:pPr>
        <w:spacing w:after="60"/>
        <w:ind w:left="454" w:hanging="454"/>
      </w:pPr>
      <w:r>
        <w:rPr>
          <w:sz w:val="18"/>
        </w:rPr>
        <w:t>[35]</w:t>
        <w:tab/>
        <w:t>R. H. Teunter, A. A. Syntetos, dan M. Z. Babai, "Intermittent demand: Linking forecasting to inventory obsolescence," European Journal of Operational Research, vol. 214, no. 3, hlm. 606–615, 2011.</w:t>
      </w:r>
    </w:p>
    <w:p>
      <w:pPr>
        <w:spacing w:after="60"/>
        <w:ind w:left="454" w:hanging="454"/>
      </w:pPr>
      <w:r>
        <w:rPr>
          <w:sz w:val="18"/>
        </w:rPr>
        <w:t>[36]</w:t>
        <w:tab/>
        <w:t>G. Ke, Q. Meng, T. Finley, T. Wang, W. Chen, W. Ma, Q. Ye, dan T.-Y. Liu, "LightGBM: A highly efficient gradient boosting decision tree," dalam Proc. NeurIPS, 2017.</w:t>
      </w:r>
    </w:p>
    <w:p>
      <w:pPr>
        <w:spacing w:after="60"/>
        <w:ind w:left="454" w:hanging="454"/>
      </w:pPr>
      <w:r>
        <w:rPr>
          <w:sz w:val="18"/>
        </w:rPr>
        <w:t>[37]</w:t>
        <w:tab/>
        <w:t>B. N. Oreshkin, D. Carpov, N. Chapados, dan Y. Bengio, "N-BEATS: Neural basis expansion analysis for interpretable time series forecasting," dalam Proc. ICLR, 2020.</w:t>
      </w:r>
    </w:p>
    <w:p>
      <w:pPr>
        <w:spacing w:after="60"/>
        <w:ind w:left="454" w:hanging="454"/>
      </w:pPr>
      <w:r>
        <w:rPr>
          <w:sz w:val="18"/>
        </w:rPr>
        <w:t>[38]</w:t>
        <w:tab/>
        <w:t>S. Hochreiter dan J. Schmidhuber, "Long short-term memory," Neural Computation, vol. 9, no. 8, hlm. 1735–1780, 1997.</w:t>
      </w:r>
    </w:p>
    <w:p>
      <w:pPr>
        <w:spacing w:after="60"/>
        <w:ind w:left="454" w:hanging="454"/>
      </w:pPr>
      <w:r>
        <w:rPr>
          <w:sz w:val="18"/>
        </w:rPr>
        <w:t>[39]</w:t>
        <w:tab/>
        <w:t>K. G. Olivares, C. Challú, A. Garza, M. Mergenthaler Canseco, dan A. Dubrawski, "NeuralForecast: User friendly state-of-the-art neural forecasting models," PyCon Salt Lake City, 2022.</w:t>
      </w:r>
    </w:p>
    <w:p>
      <w:pPr>
        <w:spacing w:after="60"/>
        <w:ind w:left="454" w:hanging="454"/>
      </w:pPr>
      <w:r>
        <w:rPr>
          <w:sz w:val="18"/>
        </w:rPr>
        <w:t>[40]</w:t>
        <w:tab/>
        <w:t>V. Vovk, A. Gammerman, dan G. Shafer, Algorithmic Learning in a Random World. New York: Springer, 2005.</w:t>
      </w:r>
    </w:p>
    <w:p>
      <w:pPr>
        <w:spacing w:after="60"/>
        <w:ind w:left="454" w:hanging="454"/>
      </w:pPr>
      <w:r>
        <w:rPr>
          <w:sz w:val="18"/>
        </w:rPr>
        <w:t>[41]</w:t>
        <w:tab/>
        <w:t>R. J. Hyndman dan A. B. Koehler, "Another look at measures of forecast accuracy," International Journal of Forecasting, vol. 22, no. 4, hlm. 679–688, 2006.</w:t>
      </w:r>
    </w:p>
    <w:p>
      <w:pPr>
        <w:spacing w:after="60"/>
        <w:ind w:left="454" w:hanging="454"/>
      </w:pPr>
      <w:r>
        <w:rPr>
          <w:sz w:val="18"/>
        </w:rPr>
        <w:t>[42]</w:t>
        <w:tab/>
        <w:t>J. Demšar, "Statistical comparisons of classifiers over multiple data sets," Journal of Machine Learning Research, vol. 7, hlm. 1–30, 2006.</w:t>
      </w:r>
    </w:p>
    <w:p>
      <w:pPr>
        <w:spacing w:after="60"/>
        <w:ind w:left="454" w:hanging="454"/>
      </w:pPr>
      <w:r>
        <w:rPr>
          <w:sz w:val="18"/>
        </w:rPr>
        <w:t>[43]</w:t>
        <w:tab/>
        <w:t>J. D. C. Little, "A proof for the queuing formula: L = λW," Operations Research, vol. 9, no. 3, hlm. 383–387, 1961.</w:t>
      </w:r>
    </w:p>
    <w:p>
      <w:pPr>
        <w:spacing w:after="60"/>
        <w:ind w:left="454" w:hanging="454"/>
      </w:pPr>
      <w:r>
        <w:rPr>
          <w:sz w:val="18"/>
        </w:rPr>
        <w:t>[44]</w:t>
        <w:tab/>
        <w:t>Salesforce, "GiftEvalPretrain," dataset Hugging Face Salesforce/GiftEvalPretrain (memuat alibaba_cluster_trace_2018, azure_vm_traces_2017, borg_cluster_data_2011), diakses 25 Oktober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