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Apakah Model Fondasi Deret Waktu Menghasilkan Autoscaler yang Lebih Baik? Evaluasi Zero-Shot Berbasis Keputusan dengan Anggaran CPU pada Trace Cloud dan Serverless Publik</w:t>
      </w:r>
    </w:p>
    <w:p>
      <w:pPr>
        <w:jc w:val="center"/>
      </w:pPr>
      <w:r>
        <w:rPr/>
        <w:t>[Nama Penulis]¹, [Nama Penulis]²</w:t>
      </w:r>
    </w:p>
    <w:p>
      <w:pPr>
        <w:jc w:val="center"/>
      </w:pPr>
      <w:r>
        <w:rPr>
          <w:sz w:val="20"/>
        </w:rPr>
        <w:t>¹[Afiliasi], ²[Afiliasi] — [email korespondensi]</w:t>
      </w:r>
    </w:p>
    <w:p>
      <w:pPr>
        <w:jc w:val="center"/>
      </w:pPr>
      <w:r>
        <w:rPr>
          <w:i/>
          <w:sz w:val="18"/>
        </w:rPr>
        <w:t>DRAFT v0.1, 25 Oktober 2026. Angka diambil dari results/ dan RESULTS.md; daftar pustaka perlu diverifikasi sebelum submisi.</w:t>
      </w:r>
    </w:p>
    <w:p>
      <w:pPr>
        <w:pStyle w:val="Heading1"/>
      </w:pPr>
      <w:r>
        <w:t>Abstrak</w:t>
      </w:r>
    </w:p>
    <w:p>
      <w:pPr>
        <w:jc w:val="both"/>
      </w:pPr>
      <w:r>
        <w:rPr/>
        <w:t>Model fondasi deret waktu (</w:t>
      </w:r>
      <w:r>
        <w:rPr>
          <w:i/>
        </w:rPr>
        <w:t>time-series foundation model</w:t>
      </w:r>
      <w:r>
        <w:rPr/>
        <w:t>, TSFM) dapat meramalkan beban kerja tanpa dilatih ulang untuk setiap layanan, sifat yang menarik untuk autoscaling serverless dan middleware. Studi sebelumnya pada trace serverless Huawei justru mendapati TSFM kalah dari seasonal naive. Kami mengevaluasi delapan TSFM rilis 2024–2026 secara zero-shot terhadap sebelas baseline statistik dan terlatih pada empat trace publik (Azure Functions 2019 dan 2021, Alibaba 2018, Huawei; 920 deret). Evaluasi mencakup tiga sisi: akurasi pada horizon 5–60 menit, biaya inferensi di CPU, dan kualitas keputusan autoscaling dalam simulasi berbasis trace. Pada beban padat atau periodik, kelompok TimesFM-3, Chronos-2, dan Toto menurunkan error relatif 25–35% dibanding baseline terbaik (di Alibaba hanya ±7%). Ketika kami mereplikasi setting studi sebelumnya dengan model baru, hasil negatifnya tidak terulang. Pada aplikasi serverless yang hampir selalu menganggur (Azure 2021), TSFM kalah 2–3× dari naive dan LSTM. Keunggulan akurasi tidak berpindah secara proporsional ke keputusan. Untuk pre-warming serverless Azure 2019, rencana kapasitas berbasis TSFM memangkas instance menganggur ±60% dibanding keep-alive reaktif dan ±45% dibanding LightGBM pada tingkat cold start 5%. Untuk VM Alibaba, setelah digabung dengan autoscaler reaktif, TSFM hanya setara dengan MSTL-ARIMA. Chronos-2 dan Toto memberi kompromi akurasi–latensi terbaik (0,7–1,7 detik per 64 deret di CPU laptop), sedangkan peramalan probabilistik berbasis sampel 35× lebih lambat dan sekaligus kurang akurat.</w:t>
      </w:r>
    </w:p>
    <w:p>
      <w:pPr>
        <w:jc w:val="both"/>
      </w:pPr>
      <w:r>
        <w:rPr>
          <w:b/>
        </w:rPr>
        <w:t>Kata kunci:</w:t>
      </w:r>
      <w:r>
        <w:rPr/>
        <w:t xml:space="preserve"> autoscaling, serverless, peramalan beban kerja, model fondasi deret waktu, zero-shot, cold start.</w:t>
      </w:r>
    </w:p>
    <w:p>
      <w:pPr>
        <w:pStyle w:val="Heading1"/>
      </w:pPr>
      <w:r>
        <w:t>1. Pendahuluan</w:t>
      </w:r>
    </w:p>
    <w:p>
      <w:pPr>
        <w:jc w:val="both"/>
      </w:pPr>
      <w:r>
        <w:rPr/>
        <w:t>Autoscaler reaktif seperti Kubernetes HPA [1] menambah kapasitas setelah utilisasi naik, sehingga lonjakan beban terlanjur dilayani dengan kapasitas kurang. Pada platform serverless masalahnya muncul sebagai cold start: fungsi yang tidak punya instance hangat harus menunggu instance baru dibuat. Shahrad dkk. [2] menunjukkan bahwa sebagian besar aplikasi Azure Functions jarang dipanggil, sehingga keep-alive tetap selalu memaksa pilihan antara cold start dan memori yang terbuang. Autoscaling prediktif mencoba keluar dari dilema ini dengan meramalkan beban [3], tetapi model peramalan seperti ARIMA atau LSTM biasanya dilatih per layanan atau per klaster. Bagi operator dengan ribuan fungsi, melatih dan memantau ribuan model adalah biaya operasional tersendiri.</w:t>
      </w:r>
    </w:p>
    <w:p>
      <w:pPr>
        <w:jc w:val="both"/>
      </w:pPr>
      <w:r>
        <w:rPr/>
        <w:t>TSFM menawarkan jalan pintas: satu model yang dilatih awal pada korpus besar lalu dipakai langsung (zero-shot) pada deret baru [4, 5, 6, 7]. Satu-satunya evaluasi langsung pada beban serverless yang kami temukan, oleh Toner dkk. [8], memberi hasil negatif: pada empat subset trace Huawei, seasonal naive mengalahkan semua TSFM yang diuji. Studi itu memiliki empat batasan. Datanya berasal dari satu penyedia. Checkpoint yang diuji adalah generasi awal dan berukuran kecil (Chronos-tiny, Moirai-small). Evaluasinya hanya mengukur akurasi, tidak menguji keputusan scaling. Biaya inferensi CPU hanya dilaporkan untuk sebagian model.</w:t>
      </w:r>
    </w:p>
    <w:p>
      <w:pPr>
        <w:jc w:val="both"/>
      </w:pPr>
      <w:r>
        <w:rPr/>
        <w:t xml:space="preserve">Paper ini menjawab tiga pertanyaan. </w:t>
      </w:r>
      <w:r>
        <w:rPr>
          <w:b/>
        </w:rPr>
        <w:t>RQ1:</w:t>
      </w:r>
      <w:r>
        <w:rPr/>
        <w:t xml:space="preserve"> apakah TSFM generasi terbaru menyamai atau mengungguli baseline statistik dan terlatih pada beban cloud dan serverless, dan pada pola beban seperti apa? </w:t>
      </w:r>
      <w:r>
        <w:rPr>
          <w:b/>
        </w:rPr>
        <w:t>RQ2:</w:t>
      </w:r>
      <w:r>
        <w:rPr/>
        <w:t xml:space="preserve"> berapa biaya inferensinya di CPU, dan model mana yang muat dalam siklus kontrol autoscaler? </w:t>
      </w:r>
      <w:r>
        <w:rPr>
          <w:b/>
        </w:rPr>
        <w:t>RQ3:</w:t>
      </w:r>
      <w:r>
        <w:rPr/>
        <w:t xml:space="preserve"> apakah keunggulan akurasi berpindah ke keputusan autoscaling yang lebih baik?</w:t>
      </w:r>
    </w:p>
    <w:p>
      <w:pPr>
        <w:jc w:val="both"/>
      </w:pPr>
      <w:r>
        <w:rPr/>
        <w:t>Kontribusi kami:</w:t>
      </w:r>
    </w:p>
    <w:p>
      <w:pPr>
        <w:pStyle w:val="ListNumber"/>
        <w:jc w:val="both"/>
      </w:pPr>
      <w:r>
        <w:rPr/>
        <w:t>Benchmark zero-shot delapan TSFM terhadap sebelas baseline pada empat trace publik dan enam kombinasi dataset–resolusi (920 deret, 150.120 pasangan origin–deret per model), lengkap dengan interval kepercayaan bootstrap dan uji Friedman–Nemenyi.</w:t>
      </w:r>
    </w:p>
    <w:p>
      <w:pPr>
        <w:pStyle w:val="ListNumber"/>
        <w:jc w:val="both"/>
      </w:pPr>
      <w:r>
        <w:rPr/>
        <w:t>Replikasi setting Toner dkk. [8] yang menunjukkan bahwa hasil negatif mereka tidak bertahan untuk TSFM generasi 2025–2026, tetapi tetap berlaku untuk model kecil.</w:t>
      </w:r>
    </w:p>
    <w:p>
      <w:pPr>
        <w:pStyle w:val="ListNumber"/>
        <w:jc w:val="both"/>
      </w:pPr>
      <w:r>
        <w:rPr/>
        <w:t>Evaluasi berbasis keputusan: simulator autoscaling serverless dan VM yang membandingkan kurva trade-off antar-policy pada tingkat risiko yang sama, bukan satu titik operasi.</w:t>
      </w:r>
    </w:p>
    <w:p>
      <w:pPr>
        <w:pStyle w:val="ListNumber"/>
        <w:jc w:val="both"/>
      </w:pPr>
      <w:r>
        <w:rPr/>
        <w:t>Profil biaya CPU untuk semua model, serta ablasi panjang konteks yang menunjukkan bahwa konteks optimal bergantung pada resolusi data.</w:t>
      </w:r>
    </w:p>
    <w:p>
      <w:pPr>
        <w:jc w:val="both"/>
      </w:pPr>
      <w:r>
        <w:rPr/>
        <w:t>Temuan utamanya: TSFM terbaik lebih akurat 25–35% pada beban padat, tetapi kalah 2–3× pada aplikasi serverless yang sangat jarang dipanggil. Di sisi keputusan, keunggulan itu menghasilkan penghematan besar untuk pre-warming serverless dan hampir hilang untuk VM yang sudah memakai kontrol reaktif.</w:t>
      </w:r>
    </w:p>
    <w:p>
      <w:pPr>
        <w:pStyle w:val="Heading1"/>
      </w:pPr>
      <w:r>
        <w:t>2. Kajian Terkait</w:t>
      </w:r>
    </w:p>
    <w:p>
      <w:pPr>
        <w:pStyle w:val="Heading2"/>
      </w:pPr>
      <w:r>
        <w:t>2.1 Peramalan beban kerja untuk autoscaling</w:t>
      </w:r>
    </w:p>
    <w:p>
      <w:pPr>
        <w:jc w:val="both"/>
      </w:pPr>
      <w:r>
        <w:rPr/>
        <w:t>Autoscaler produksi umumnya reaktif: HPA menghitung jumlah replika dari utilisasi yang teramati dengan jendela stabilisasi untuk menurunkan kapasitas [1]. Roy dkk. [3] memakai model ARMA untuk meramalkan beban dan menyiapkan VM lebih awal. Untuk serverless, Shahrad dkk. [2] mengusulkan kebijakan histogram hibrida yang menentukan jendela pre-warm dan keep-alive dari distribusi waktu antar-invokasi per aplikasi. Karakterisasi trace Azure [2, 9], Huawei [10], dan Alibaba [11] menunjukkan dua hal yang menyulitkan peramalan: volume antar-fungsi berbeda hingga sembilan orde besaran, dan banyak fungsi hanya aktif sesekali.</w:t>
      </w:r>
    </w:p>
    <w:p>
      <w:pPr>
        <w:pStyle w:val="Heading2"/>
      </w:pPr>
      <w:r>
        <w:t>2.2 Model fondasi deret waktu</w:t>
      </w:r>
    </w:p>
    <w:p>
      <w:pPr>
        <w:jc w:val="both"/>
      </w:pPr>
      <w:r>
        <w:rPr/>
        <w:t>Chronos [4] mengubah nilai deret menjadi token dan melatih model bahasa di atasnya. Chronos-Bolt mempercepatnya dengan patch dan keluaran kuantil langsung, dan Chronos-2 [12] menambah dukungan multivariat dan kovariat. TimesFM [5] adalah transformer decoder-only; versi 2.5 dan 3 [13] menambah head kuantil dan konteks hingga 16 ribu langkah. Moirai [6] dilatih pada korpus LOTSA; Moirai 2.0 [14] beralih ke arsitektur decoder-only yang lebih kecil. TTM [7] memakai MLP-Mixer berukuran di bawah lima juta parameter. TiRex [15] berbasis xLSTM. Toto [16] dilatih dengan porsi besar metrik observability milik Datadog. Klaim keunggulan model-model ini kebanyakan berasal dari benchmark umum seperti GIFT-Eval [17], yang hanya memuat sedikit data beban kerja cloud.</w:t>
      </w:r>
    </w:p>
    <w:p>
      <w:pPr>
        <w:pStyle w:val="Heading2"/>
      </w:pPr>
      <w:r>
        <w:t>2.3 TSFM pada data cloud</w:t>
      </w:r>
    </w:p>
    <w:p>
      <w:pPr>
        <w:jc w:val="both"/>
      </w:pPr>
      <w:r>
        <w:rPr/>
        <w:t>Woo dkk. [18] melakukan pretraining pada data CloudOps (termasuk Alibaba 2018, Azure VM 2017, dan Borg 2011), sehingga dataset tersebut kemungkinan masuk korpus pretraining model turunannya. Cohen dkk. [16] membangun benchmark observability BOOM dari data internal Datadog. Toner dkk. [8] adalah evaluasi zero-shot yang paling dekat dengan studi ini. Sejauh penelusuran kami, belum ada studi yang menguji TSFM sampai ke keputusan autoscaling, dan belum ada yang mengukur biaya CPU semua model dalam kondisi yang sama.</w:t>
      </w:r>
    </w:p>
    <w:p>
      <w:pPr>
        <w:pStyle w:val="Heading1"/>
      </w:pPr>
      <w:r>
        <w:t>3. Metodologi</w:t>
      </w:r>
    </w:p>
    <w:p>
      <w:pPr>
        <w:pStyle w:val="Heading2"/>
      </w:pPr>
      <w:r>
        <w:t>3.1 Dataset</w:t>
      </w:r>
    </w:p>
    <w:p>
      <w:pPr>
        <w:jc w:val="both"/>
      </w:pPr>
      <w:r>
        <w:rPr/>
        <w:t xml:space="preserve">Kami memakai empat trace publik. </w:t>
      </w:r>
      <w:r>
        <w:rPr>
          <w:b/>
        </w:rPr>
        <w:t>Azure Functions 2019</w:t>
      </w:r>
      <w:r>
        <w:rPr/>
        <w:t xml:space="preserve"> [2] berisi jumlah invokasi per menit per fungsi selama 14 hari. Kami menjumlahkannya ke tingkat aplikasi, mempertahankan 13.057 aplikasi yang muncul di ke-14 hari, lalu mengambil 50 aplikasi bervolume tertinggi ditambah sampel acak hingga 125 aplikasi per kelas pola permintaan Syntetos–Boylan [19] (550 aplikasi). </w:t>
      </w:r>
      <w:r>
        <w:rPr>
          <w:b/>
        </w:rPr>
        <w:t>Azure Functions 2021</w:t>
      </w:r>
      <w:r>
        <w:rPr/>
        <w:t xml:space="preserve"> [9] berisi catatan per invokasi; waktu kedatangan dihitung sebagai waktu selesai dikurangi durasi, lalu dikelompokkan per menit untuk 119 aplikasi. </w:t>
      </w:r>
      <w:r>
        <w:rPr>
          <w:b/>
        </w:rPr>
        <w:t>Alibaba 2018</w:t>
      </w:r>
      <w:r>
        <w:rPr/>
        <w:t xml:space="preserve"> [11] menyediakan utilisasi CPU per mesin dengan sampling tidak teratur (median 60 detik, maksimum ±640 detik), sehingga kami memakai bin 5 menit. Satu outage di seluruh trace (5,4 jam pada hari ke-2) diisi dengan nilai sehari sebelumnya, dan kami mengambil 200 mesin acak dari 3.787 mesin yang lolos filter cakupan 90%, ditambah deret rata-rata klaster. </w:t>
      </w:r>
      <w:r>
        <w:rPr>
          <w:b/>
        </w:rPr>
        <w:t>Huawei</w:t>
      </w:r>
      <w:r>
        <w:rPr/>
        <w:t xml:space="preserve"> [10] adalah 50 channel kurasi Toner dkk. [8] pada resolusi 5 menit selama 30 hari.</w:t>
      </w:r>
    </w:p>
    <w:p>
      <w:pPr>
        <w:jc w:val="both"/>
      </w:pPr>
      <w:r>
        <w:rPr/>
        <w:t>Data Azure juga dievaluasi pada resolusi 5 menit (jumlah per 5 menit). Semua stempel waktu dianonimkan, jadi tidak ada model yang memakai fitur kalender. Tabel 1 merangkum jumlah deret dan kelas polanya.</w:t>
      </w:r>
    </w:p>
    <w:p>
      <w:pPr>
        <w:keepNext/>
      </w:pPr>
      <w:r>
        <w:rPr>
          <w:b/>
          <w:sz w:val="19"/>
        </w:rPr>
        <w:t>Tabel 1.</w:t>
      </w:r>
      <w:r>
        <w:rPr>
          <w:sz w:val="19"/>
        </w:rPr>
        <w:t xml:space="preserve"> Jumlah deret per dataset–resolusi dan kelas pola Syntetos–Boylan (dihitung pada split train).</w:t>
      </w:r>
    </w:p>
    <w:tbl>
      <w:tblPr>
        <w:tblW w:type="auto" w:w="0"/>
        <w:jc w:val="center"/>
        <w:tblLayout w:type="fixed"/>
        <w:tblLook w:firstColumn="1" w:firstRow="1" w:lastColumn="0" w:lastRow="0" w:noHBand="0" w:noVBand="1" w:val="04A0"/>
        <w:tblLayout w:type="fixed"/>
      </w:tblPr>
      <w:tblGrid>
        <w:gridCol w:w="2041"/>
        <w:gridCol w:w="1020"/>
        <w:gridCol w:w="1020"/>
        <w:gridCol w:w="1020"/>
        <w:gridCol w:w="1247"/>
        <w:gridCol w:w="1020"/>
      </w:tblGrid>
      <w:tr>
        <w:tc>
          <w:tcPr>
            <w:tcW w:type="dxa" w:w="2041"/>
            <w:tcBorders>
              <w:top w:val="single" w:sz="8" w:color="000000"/>
              <w:bottom w:val="single" w:sz="4" w:color="000000"/>
            </w:tcBorders>
          </w:tcPr>
          <w:p>
            <w:pPr>
              <w:keepNext/>
              <w:spacing w:after="0"/>
              <w:jc w:val="left"/>
            </w:pPr>
            <w:r>
              <w:rPr>
                <w:b/>
                <w:sz w:val="17"/>
              </w:rPr>
              <w:t>Dataset</w:t>
            </w:r>
          </w:p>
        </w:tc>
        <w:tc>
          <w:tcPr>
            <w:tcW w:type="dxa" w:w="1020"/>
            <w:tcBorders>
              <w:top w:val="single" w:sz="8" w:color="000000"/>
              <w:bottom w:val="single" w:sz="4" w:color="000000"/>
            </w:tcBorders>
          </w:tcPr>
          <w:p>
            <w:pPr>
              <w:keepNext/>
              <w:spacing w:after="0"/>
              <w:jc w:val="center"/>
            </w:pPr>
            <w:r>
              <w:rPr>
                <w:b/>
                <w:sz w:val="17"/>
              </w:rPr>
              <w:t>Deret</w:t>
            </w:r>
          </w:p>
        </w:tc>
        <w:tc>
          <w:tcPr>
            <w:tcW w:type="dxa" w:w="1020"/>
            <w:tcBorders>
              <w:top w:val="single" w:sz="8" w:color="000000"/>
              <w:bottom w:val="single" w:sz="4" w:color="000000"/>
            </w:tcBorders>
          </w:tcPr>
          <w:p>
            <w:pPr>
              <w:keepNext/>
              <w:spacing w:after="0"/>
              <w:jc w:val="center"/>
            </w:pPr>
            <w:r>
              <w:rPr>
                <w:b/>
                <w:sz w:val="17"/>
              </w:rPr>
              <w:t>Smooth</w:t>
            </w:r>
          </w:p>
        </w:tc>
        <w:tc>
          <w:tcPr>
            <w:tcW w:type="dxa" w:w="1020"/>
            <w:tcBorders>
              <w:top w:val="single" w:sz="8" w:color="000000"/>
              <w:bottom w:val="single" w:sz="4" w:color="000000"/>
            </w:tcBorders>
          </w:tcPr>
          <w:p>
            <w:pPr>
              <w:keepNext/>
              <w:spacing w:after="0"/>
              <w:jc w:val="center"/>
            </w:pPr>
            <w:r>
              <w:rPr>
                <w:b/>
                <w:sz w:val="17"/>
              </w:rPr>
              <w:t>Erratic</w:t>
            </w:r>
          </w:p>
        </w:tc>
        <w:tc>
          <w:tcPr>
            <w:tcW w:type="dxa" w:w="1247"/>
            <w:tcBorders>
              <w:top w:val="single" w:sz="8" w:color="000000"/>
              <w:bottom w:val="single" w:sz="4" w:color="000000"/>
            </w:tcBorders>
          </w:tcPr>
          <w:p>
            <w:pPr>
              <w:keepNext/>
              <w:spacing w:after="0"/>
              <w:jc w:val="center"/>
            </w:pPr>
            <w:r>
              <w:rPr>
                <w:b/>
                <w:sz w:val="17"/>
              </w:rPr>
              <w:t>Intermittent</w:t>
            </w:r>
          </w:p>
        </w:tc>
        <w:tc>
          <w:tcPr>
            <w:tcW w:type="dxa" w:w="1020"/>
            <w:tcBorders>
              <w:top w:val="single" w:sz="8" w:color="000000"/>
              <w:bottom w:val="single" w:sz="4" w:color="000000"/>
            </w:tcBorders>
          </w:tcPr>
          <w:p>
            <w:pPr>
              <w:keepNext/>
              <w:spacing w:after="0"/>
              <w:jc w:val="center"/>
            </w:pPr>
            <w:r>
              <w:rPr>
                <w:b/>
                <w:sz w:val="17"/>
              </w:rPr>
              <w:t>Lumpy</w:t>
            </w:r>
          </w:p>
        </w:tc>
      </w:tr>
      <w:tr>
        <w:tc>
          <w:tcPr>
            <w:tcW w:type="dxa" w:w="2041"/>
          </w:tcPr>
          <w:p>
            <w:pPr>
              <w:keepNext/>
              <w:spacing w:after="0"/>
              <w:jc w:val="left"/>
            </w:pPr>
            <w:r>
              <w:rPr>
                <w:sz w:val="17"/>
              </w:rPr>
              <w:t>Huawei 5m</w:t>
            </w:r>
          </w:p>
        </w:tc>
        <w:tc>
          <w:tcPr>
            <w:tcW w:type="dxa" w:w="1020"/>
          </w:tcPr>
          <w:p>
            <w:pPr>
              <w:keepNext/>
              <w:spacing w:after="0"/>
              <w:jc w:val="center"/>
            </w:pPr>
            <w:r>
              <w:rPr>
                <w:sz w:val="17"/>
              </w:rPr>
              <w:t>50</w:t>
            </w:r>
          </w:p>
        </w:tc>
        <w:tc>
          <w:tcPr>
            <w:tcW w:type="dxa" w:w="1020"/>
          </w:tcPr>
          <w:p>
            <w:pPr>
              <w:keepNext/>
              <w:spacing w:after="0"/>
              <w:jc w:val="center"/>
            </w:pPr>
            <w:r>
              <w:rPr>
                <w:sz w:val="17"/>
              </w:rPr>
              <w:t>24</w:t>
            </w:r>
          </w:p>
        </w:tc>
        <w:tc>
          <w:tcPr>
            <w:tcW w:type="dxa" w:w="1020"/>
          </w:tcPr>
          <w:p>
            <w:pPr>
              <w:keepNext/>
              <w:spacing w:after="0"/>
              <w:jc w:val="center"/>
            </w:pPr>
            <w:r>
              <w:rPr>
                <w:sz w:val="17"/>
              </w:rPr>
              <w:t>22</w:t>
            </w:r>
          </w:p>
        </w:tc>
        <w:tc>
          <w:tcPr>
            <w:tcW w:type="dxa" w:w="1247"/>
          </w:tcPr>
          <w:p>
            <w:pPr>
              <w:keepNext/>
              <w:spacing w:after="0"/>
              <w:jc w:val="center"/>
            </w:pPr>
            <w:r>
              <w:rPr>
                <w:sz w:val="17"/>
              </w:rPr>
              <w:t>0</w:t>
            </w:r>
          </w:p>
        </w:tc>
        <w:tc>
          <w:tcPr>
            <w:tcW w:type="dxa" w:w="1020"/>
          </w:tcPr>
          <w:p>
            <w:pPr>
              <w:keepNext/>
              <w:spacing w:after="0"/>
              <w:jc w:val="center"/>
            </w:pPr>
            <w:r>
              <w:rPr>
                <w:sz w:val="17"/>
              </w:rPr>
              <w:t>4</w:t>
            </w:r>
          </w:p>
        </w:tc>
      </w:tr>
      <w:tr>
        <w:tc>
          <w:tcPr>
            <w:tcW w:type="dxa" w:w="2041"/>
          </w:tcPr>
          <w:p>
            <w:pPr>
              <w:keepNext/>
              <w:spacing w:after="0"/>
              <w:jc w:val="left"/>
            </w:pPr>
            <w:r>
              <w:rPr>
                <w:sz w:val="17"/>
              </w:rPr>
              <w:t>Alibaba 5m</w:t>
            </w:r>
          </w:p>
        </w:tc>
        <w:tc>
          <w:tcPr>
            <w:tcW w:type="dxa" w:w="1020"/>
          </w:tcPr>
          <w:p>
            <w:pPr>
              <w:keepNext/>
              <w:spacing w:after="0"/>
              <w:jc w:val="center"/>
            </w:pPr>
            <w:r>
              <w:rPr>
                <w:sz w:val="17"/>
              </w:rPr>
              <w:t>201</w:t>
            </w:r>
          </w:p>
        </w:tc>
        <w:tc>
          <w:tcPr>
            <w:tcW w:type="dxa" w:w="1020"/>
          </w:tcPr>
          <w:p>
            <w:pPr>
              <w:keepNext/>
              <w:spacing w:after="0"/>
              <w:jc w:val="center"/>
            </w:pPr>
            <w:r>
              <w:rPr>
                <w:sz w:val="17"/>
              </w:rPr>
              <w:t>199</w:t>
            </w:r>
          </w:p>
        </w:tc>
        <w:tc>
          <w:tcPr>
            <w:tcW w:type="dxa" w:w="1020"/>
          </w:tcPr>
          <w:p>
            <w:pPr>
              <w:keepNext/>
              <w:spacing w:after="0"/>
              <w:jc w:val="center"/>
            </w:pPr>
            <w:r>
              <w:rPr>
                <w:sz w:val="17"/>
              </w:rPr>
              <w:t>1</w:t>
            </w:r>
          </w:p>
        </w:tc>
        <w:tc>
          <w:tcPr>
            <w:tcW w:type="dxa" w:w="1247"/>
          </w:tcPr>
          <w:p>
            <w:pPr>
              <w:keepNext/>
              <w:spacing w:after="0"/>
              <w:jc w:val="center"/>
            </w:pPr>
            <w:r>
              <w:rPr>
                <w:sz w:val="17"/>
              </w:rPr>
              <w:t>1</w:t>
            </w:r>
          </w:p>
        </w:tc>
        <w:tc>
          <w:tcPr>
            <w:tcW w:type="dxa" w:w="1020"/>
          </w:tcPr>
          <w:p>
            <w:pPr>
              <w:keepNext/>
              <w:spacing w:after="0"/>
              <w:jc w:val="center"/>
            </w:pPr>
            <w:r>
              <w:rPr>
                <w:sz w:val="17"/>
              </w:rPr>
              <w:t>0</w:t>
            </w:r>
          </w:p>
        </w:tc>
      </w:tr>
      <w:tr>
        <w:tc>
          <w:tcPr>
            <w:tcW w:type="dxa" w:w="2041"/>
          </w:tcPr>
          <w:p>
            <w:pPr>
              <w:keepNext/>
              <w:spacing w:after="0"/>
              <w:jc w:val="left"/>
            </w:pPr>
            <w:r>
              <w:rPr>
                <w:sz w:val="17"/>
              </w:rPr>
              <w:t>Azure19 5m</w:t>
            </w:r>
          </w:p>
        </w:tc>
        <w:tc>
          <w:tcPr>
            <w:tcW w:type="dxa" w:w="1020"/>
          </w:tcPr>
          <w:p>
            <w:pPr>
              <w:keepNext/>
              <w:spacing w:after="0"/>
              <w:jc w:val="center"/>
            </w:pPr>
            <w:r>
              <w:rPr>
                <w:sz w:val="17"/>
              </w:rPr>
              <w:t>550</w:t>
            </w:r>
          </w:p>
        </w:tc>
        <w:tc>
          <w:tcPr>
            <w:tcW w:type="dxa" w:w="1020"/>
          </w:tcPr>
          <w:p>
            <w:pPr>
              <w:keepNext/>
              <w:spacing w:after="0"/>
              <w:jc w:val="center"/>
            </w:pPr>
            <w:r>
              <w:rPr>
                <w:sz w:val="17"/>
              </w:rPr>
              <w:t>248</w:t>
            </w:r>
          </w:p>
        </w:tc>
        <w:tc>
          <w:tcPr>
            <w:tcW w:type="dxa" w:w="1020"/>
          </w:tcPr>
          <w:p>
            <w:pPr>
              <w:keepNext/>
              <w:spacing w:after="0"/>
              <w:jc w:val="center"/>
            </w:pPr>
            <w:r>
              <w:rPr>
                <w:sz w:val="17"/>
              </w:rPr>
              <w:t>142</w:t>
            </w:r>
          </w:p>
        </w:tc>
        <w:tc>
          <w:tcPr>
            <w:tcW w:type="dxa" w:w="1247"/>
          </w:tcPr>
          <w:p>
            <w:pPr>
              <w:keepNext/>
              <w:spacing w:after="0"/>
              <w:jc w:val="center"/>
            </w:pPr>
            <w:r>
              <w:rPr>
                <w:sz w:val="17"/>
              </w:rPr>
              <w:t>75</w:t>
            </w:r>
          </w:p>
        </w:tc>
        <w:tc>
          <w:tcPr>
            <w:tcW w:type="dxa" w:w="1020"/>
          </w:tcPr>
          <w:p>
            <w:pPr>
              <w:keepNext/>
              <w:spacing w:after="0"/>
              <w:jc w:val="center"/>
            </w:pPr>
            <w:r>
              <w:rPr>
                <w:sz w:val="17"/>
              </w:rPr>
              <w:t>85</w:t>
            </w:r>
          </w:p>
        </w:tc>
      </w:tr>
      <w:tr>
        <w:tc>
          <w:tcPr>
            <w:tcW w:type="dxa" w:w="2041"/>
          </w:tcPr>
          <w:p>
            <w:pPr>
              <w:keepNext/>
              <w:spacing w:after="0"/>
              <w:jc w:val="left"/>
            </w:pPr>
            <w:r>
              <w:rPr>
                <w:sz w:val="17"/>
              </w:rPr>
              <w:t>Azure19 1m</w:t>
            </w:r>
          </w:p>
        </w:tc>
        <w:tc>
          <w:tcPr>
            <w:tcW w:type="dxa" w:w="1020"/>
          </w:tcPr>
          <w:p>
            <w:pPr>
              <w:keepNext/>
              <w:spacing w:after="0"/>
              <w:jc w:val="center"/>
            </w:pPr>
            <w:r>
              <w:rPr>
                <w:sz w:val="17"/>
              </w:rPr>
              <w:t>550</w:t>
            </w:r>
          </w:p>
        </w:tc>
        <w:tc>
          <w:tcPr>
            <w:tcW w:type="dxa" w:w="1020"/>
          </w:tcPr>
          <w:p>
            <w:pPr>
              <w:keepNext/>
              <w:spacing w:after="0"/>
              <w:jc w:val="center"/>
            </w:pPr>
            <w:r>
              <w:rPr>
                <w:sz w:val="17"/>
              </w:rPr>
              <w:t>166</w:t>
            </w:r>
          </w:p>
        </w:tc>
        <w:tc>
          <w:tcPr>
            <w:tcW w:type="dxa" w:w="1020"/>
          </w:tcPr>
          <w:p>
            <w:pPr>
              <w:keepNext/>
              <w:spacing w:after="0"/>
              <w:jc w:val="center"/>
            </w:pPr>
            <w:r>
              <w:rPr>
                <w:sz w:val="17"/>
              </w:rPr>
              <w:t>131</w:t>
            </w:r>
          </w:p>
        </w:tc>
        <w:tc>
          <w:tcPr>
            <w:tcW w:type="dxa" w:w="1247"/>
          </w:tcPr>
          <w:p>
            <w:pPr>
              <w:keepNext/>
              <w:spacing w:after="0"/>
              <w:jc w:val="center"/>
            </w:pPr>
            <w:r>
              <w:rPr>
                <w:sz w:val="17"/>
              </w:rPr>
              <w:t>132</w:t>
            </w:r>
          </w:p>
        </w:tc>
        <w:tc>
          <w:tcPr>
            <w:tcW w:type="dxa" w:w="1020"/>
          </w:tcPr>
          <w:p>
            <w:pPr>
              <w:keepNext/>
              <w:spacing w:after="0"/>
              <w:jc w:val="center"/>
            </w:pPr>
            <w:r>
              <w:rPr>
                <w:sz w:val="17"/>
              </w:rPr>
              <w:t>121</w:t>
            </w:r>
          </w:p>
        </w:tc>
      </w:tr>
      <w:tr>
        <w:tc>
          <w:tcPr>
            <w:tcW w:type="dxa" w:w="2041"/>
          </w:tcPr>
          <w:p>
            <w:pPr>
              <w:keepNext/>
              <w:spacing w:after="0"/>
              <w:jc w:val="left"/>
            </w:pPr>
            <w:r>
              <w:rPr>
                <w:sz w:val="17"/>
              </w:rPr>
              <w:t>Azure21 5m</w:t>
            </w:r>
          </w:p>
        </w:tc>
        <w:tc>
          <w:tcPr>
            <w:tcW w:type="dxa" w:w="1020"/>
          </w:tcPr>
          <w:p>
            <w:pPr>
              <w:keepNext/>
              <w:spacing w:after="0"/>
              <w:jc w:val="center"/>
            </w:pPr>
            <w:r>
              <w:rPr>
                <w:sz w:val="17"/>
              </w:rPr>
              <w:t>119</w:t>
            </w:r>
          </w:p>
        </w:tc>
        <w:tc>
          <w:tcPr>
            <w:tcW w:type="dxa" w:w="1020"/>
          </w:tcPr>
          <w:p>
            <w:pPr>
              <w:keepNext/>
              <w:spacing w:after="0"/>
              <w:jc w:val="center"/>
            </w:pPr>
            <w:r>
              <w:rPr>
                <w:sz w:val="17"/>
              </w:rPr>
              <w:t>4</w:t>
            </w:r>
          </w:p>
        </w:tc>
        <w:tc>
          <w:tcPr>
            <w:tcW w:type="dxa" w:w="1020"/>
          </w:tcPr>
          <w:p>
            <w:pPr>
              <w:keepNext/>
              <w:spacing w:after="0"/>
              <w:jc w:val="center"/>
            </w:pPr>
            <w:r>
              <w:rPr>
                <w:sz w:val="17"/>
              </w:rPr>
              <w:t>3</w:t>
            </w:r>
          </w:p>
        </w:tc>
        <w:tc>
          <w:tcPr>
            <w:tcW w:type="dxa" w:w="1247"/>
          </w:tcPr>
          <w:p>
            <w:pPr>
              <w:keepNext/>
              <w:spacing w:after="0"/>
              <w:jc w:val="center"/>
            </w:pPr>
            <w:r>
              <w:rPr>
                <w:sz w:val="17"/>
              </w:rPr>
              <w:t>63</w:t>
            </w:r>
          </w:p>
        </w:tc>
        <w:tc>
          <w:tcPr>
            <w:tcW w:type="dxa" w:w="1020"/>
          </w:tcPr>
          <w:p>
            <w:pPr>
              <w:keepNext/>
              <w:spacing w:after="0"/>
              <w:jc w:val="center"/>
            </w:pPr>
            <w:r>
              <w:rPr>
                <w:sz w:val="17"/>
              </w:rPr>
              <w:t>49</w:t>
            </w:r>
          </w:p>
        </w:tc>
      </w:tr>
      <w:tr>
        <w:tc>
          <w:tcPr>
            <w:tcW w:type="dxa" w:w="2041"/>
            <w:tcBorders>
              <w:bottom w:val="single" w:sz="8" w:color="000000"/>
            </w:tcBorders>
          </w:tcPr>
          <w:p>
            <w:pPr>
              <w:keepNext w:val="0"/>
              <w:spacing w:after="0"/>
              <w:jc w:val="left"/>
            </w:pPr>
            <w:r>
              <w:rPr>
                <w:sz w:val="17"/>
              </w:rPr>
              <w:t>Azure21 1m</w:t>
            </w:r>
          </w:p>
        </w:tc>
        <w:tc>
          <w:tcPr>
            <w:tcW w:type="dxa" w:w="1020"/>
            <w:tcBorders>
              <w:bottom w:val="single" w:sz="8" w:color="000000"/>
            </w:tcBorders>
          </w:tcPr>
          <w:p>
            <w:pPr>
              <w:keepNext w:val="0"/>
              <w:spacing w:after="0"/>
              <w:jc w:val="center"/>
            </w:pPr>
            <w:r>
              <w:rPr>
                <w:sz w:val="17"/>
              </w:rPr>
              <w:t>119</w:t>
            </w:r>
          </w:p>
        </w:tc>
        <w:tc>
          <w:tcPr>
            <w:tcW w:type="dxa" w:w="1020"/>
            <w:tcBorders>
              <w:bottom w:val="single" w:sz="8" w:color="000000"/>
            </w:tcBorders>
          </w:tcPr>
          <w:p>
            <w:pPr>
              <w:keepNext w:val="0"/>
              <w:spacing w:after="0"/>
              <w:jc w:val="center"/>
            </w:pPr>
            <w:r>
              <w:rPr>
                <w:sz w:val="17"/>
              </w:rPr>
              <w:t>0</w:t>
            </w:r>
          </w:p>
        </w:tc>
        <w:tc>
          <w:tcPr>
            <w:tcW w:type="dxa" w:w="1020"/>
            <w:tcBorders>
              <w:bottom w:val="single" w:sz="8" w:color="000000"/>
            </w:tcBorders>
          </w:tcPr>
          <w:p>
            <w:pPr>
              <w:keepNext w:val="0"/>
              <w:spacing w:after="0"/>
              <w:jc w:val="center"/>
            </w:pPr>
            <w:r>
              <w:rPr>
                <w:sz w:val="17"/>
              </w:rPr>
              <w:t>0</w:t>
            </w:r>
          </w:p>
        </w:tc>
        <w:tc>
          <w:tcPr>
            <w:tcW w:type="dxa" w:w="1247"/>
            <w:tcBorders>
              <w:bottom w:val="single" w:sz="8" w:color="000000"/>
            </w:tcBorders>
          </w:tcPr>
          <w:p>
            <w:pPr>
              <w:keepNext w:val="0"/>
              <w:spacing w:after="0"/>
              <w:jc w:val="center"/>
            </w:pPr>
            <w:r>
              <w:rPr>
                <w:sz w:val="17"/>
              </w:rPr>
              <w:t>67</w:t>
            </w:r>
          </w:p>
        </w:tc>
        <w:tc>
          <w:tcPr>
            <w:tcW w:type="dxa" w:w="1020"/>
            <w:tcBorders>
              <w:bottom w:val="single" w:sz="8" w:color="000000"/>
            </w:tcBorders>
          </w:tcPr>
          <w:p>
            <w:pPr>
              <w:keepNext w:val="0"/>
              <w:spacing w:after="0"/>
              <w:jc w:val="center"/>
            </w:pPr>
            <w:r>
              <w:rPr>
                <w:sz w:val="17"/>
              </w:rPr>
              <w:t>52</w:t>
            </w:r>
          </w:p>
        </w:tc>
      </w:tr>
    </w:tbl>
    <w:p>
      <w:pPr>
        <w:spacing w:after="40"/>
      </w:pPr>
    </w:p>
    <w:p>
      <w:pPr>
        <w:pStyle w:val="Heading2"/>
      </w:pPr>
      <w:r>
        <w:t>3.2 Model</w:t>
      </w:r>
    </w:p>
    <w:p>
      <w:pPr>
        <w:jc w:val="both"/>
      </w:pPr>
      <w:r>
        <w:rPr/>
        <w:t>Tabel 2 mendaftar delapan TSFM beserta checkpoint Hugging Face yang kami kunci revisinya. Semua model dijalankan zero-shot di CPU dengan konteks C = 2048 langkah (1440 untuk Alibaba, karena histori yang tersedia lebih pendek). Toto dijalankan dalam mode mean analitik; varian 20 sampel dilaporkan terpisah. Moirai 2.0 tidak memiliki head mean, jadi kami memakai median.</w:t>
      </w:r>
    </w:p>
    <w:p>
      <w:pPr>
        <w:keepNext/>
      </w:pPr>
      <w:r>
        <w:rPr>
          <w:b/>
          <w:sz w:val="19"/>
        </w:rPr>
        <w:t>Tabel 2.</w:t>
      </w:r>
      <w:r>
        <w:rPr>
          <w:sz w:val="19"/>
        </w:rPr>
        <w:t xml:space="preserve"> TSFM yang dievaluasi.</w:t>
      </w:r>
    </w:p>
    <w:tbl>
      <w:tblPr>
        <w:tblW w:type="auto" w:w="0"/>
        <w:jc w:val="center"/>
        <w:tblLayout w:type="fixed"/>
        <w:tblLook w:firstColumn="1" w:firstRow="1" w:lastColumn="0" w:lastRow="0" w:noHBand="0" w:noVBand="1" w:val="04A0"/>
        <w:tblLayout w:type="fixed"/>
      </w:tblPr>
      <w:tblGrid>
        <w:gridCol w:w="1587"/>
        <w:gridCol w:w="3628"/>
        <w:gridCol w:w="907"/>
        <w:gridCol w:w="1361"/>
      </w:tblGrid>
      <w:tr>
        <w:tc>
          <w:tcPr>
            <w:tcW w:type="dxa" w:w="1587"/>
            <w:tcBorders>
              <w:top w:val="single" w:sz="8" w:color="000000"/>
              <w:bottom w:val="single" w:sz="4" w:color="000000"/>
            </w:tcBorders>
          </w:tcPr>
          <w:p>
            <w:pPr>
              <w:keepNext/>
              <w:spacing w:after="0"/>
              <w:jc w:val="left"/>
            </w:pPr>
            <w:r>
              <w:rPr>
                <w:b/>
                <w:sz w:val="17"/>
              </w:rPr>
              <w:t>Model</w:t>
            </w:r>
          </w:p>
        </w:tc>
        <w:tc>
          <w:tcPr>
            <w:tcW w:type="dxa" w:w="3628"/>
            <w:tcBorders>
              <w:top w:val="single" w:sz="8" w:color="000000"/>
              <w:bottom w:val="single" w:sz="4" w:color="000000"/>
            </w:tcBorders>
          </w:tcPr>
          <w:p>
            <w:pPr>
              <w:keepNext/>
              <w:spacing w:after="0"/>
              <w:jc w:val="center"/>
            </w:pPr>
            <w:r>
              <w:rPr>
                <w:b/>
                <w:sz w:val="17"/>
              </w:rPr>
              <w:t>Checkpoint</w:t>
            </w:r>
          </w:p>
        </w:tc>
        <w:tc>
          <w:tcPr>
            <w:tcW w:type="dxa" w:w="907"/>
            <w:tcBorders>
              <w:top w:val="single" w:sz="8" w:color="000000"/>
              <w:bottom w:val="single" w:sz="4" w:color="000000"/>
            </w:tcBorders>
          </w:tcPr>
          <w:p>
            <w:pPr>
              <w:keepNext/>
              <w:spacing w:after="0"/>
              <w:jc w:val="center"/>
            </w:pPr>
            <w:r>
              <w:rPr>
                <w:b/>
                <w:sz w:val="17"/>
              </w:rPr>
              <w:t>Ukuran</w:t>
            </w:r>
          </w:p>
        </w:tc>
        <w:tc>
          <w:tcPr>
            <w:tcW w:type="dxa" w:w="1361"/>
            <w:tcBorders>
              <w:top w:val="single" w:sz="8" w:color="000000"/>
              <w:bottom w:val="single" w:sz="4" w:color="000000"/>
            </w:tcBorders>
          </w:tcPr>
          <w:p>
            <w:pPr>
              <w:keepNext/>
              <w:spacing w:after="0"/>
              <w:jc w:val="center"/>
            </w:pPr>
            <w:r>
              <w:rPr>
                <w:b/>
                <w:sz w:val="17"/>
              </w:rPr>
              <w:t>Keluaran</w:t>
            </w:r>
          </w:p>
        </w:tc>
      </w:tr>
      <w:tr>
        <w:tc>
          <w:tcPr>
            <w:tcW w:type="dxa" w:w="1587"/>
          </w:tcPr>
          <w:p>
            <w:pPr>
              <w:keepNext/>
              <w:spacing w:after="0"/>
              <w:jc w:val="left"/>
            </w:pPr>
            <w:r>
              <w:rPr>
                <w:sz w:val="17"/>
              </w:rPr>
              <w:t>TimesFM-3</w:t>
            </w:r>
          </w:p>
        </w:tc>
        <w:tc>
          <w:tcPr>
            <w:tcW w:type="dxa" w:w="3628"/>
          </w:tcPr>
          <w:p>
            <w:pPr>
              <w:keepNext/>
              <w:spacing w:after="0"/>
              <w:jc w:val="center"/>
            </w:pPr>
            <w:r>
              <w:rPr>
                <w:sz w:val="17"/>
              </w:rPr>
              <w:t>google/timesfm-3.0-pytorch</w:t>
            </w:r>
          </w:p>
        </w:tc>
        <w:tc>
          <w:tcPr>
            <w:tcW w:type="dxa" w:w="907"/>
          </w:tcPr>
          <w:p>
            <w:pPr>
              <w:keepNext/>
              <w:spacing w:after="0"/>
              <w:jc w:val="center"/>
            </w:pPr>
            <w:r>
              <w:rPr>
                <w:sz w:val="17"/>
              </w:rPr>
              <w:t>330M</w:t>
            </w:r>
          </w:p>
        </w:tc>
        <w:tc>
          <w:tcPr>
            <w:tcW w:type="dxa" w:w="1361"/>
          </w:tcPr>
          <w:p>
            <w:pPr>
              <w:keepNext/>
              <w:spacing w:after="0"/>
              <w:jc w:val="center"/>
            </w:pPr>
            <w:r>
              <w:rPr>
                <w:sz w:val="17"/>
              </w:rPr>
              <w:t>kuantil</w:t>
            </w:r>
          </w:p>
        </w:tc>
      </w:tr>
      <w:tr>
        <w:tc>
          <w:tcPr>
            <w:tcW w:type="dxa" w:w="1587"/>
          </w:tcPr>
          <w:p>
            <w:pPr>
              <w:keepNext/>
              <w:spacing w:after="0"/>
              <w:jc w:val="left"/>
            </w:pPr>
            <w:r>
              <w:rPr>
                <w:sz w:val="17"/>
              </w:rPr>
              <w:t>Chronos-2</w:t>
            </w:r>
          </w:p>
        </w:tc>
        <w:tc>
          <w:tcPr>
            <w:tcW w:type="dxa" w:w="3628"/>
          </w:tcPr>
          <w:p>
            <w:pPr>
              <w:keepNext/>
              <w:spacing w:after="0"/>
              <w:jc w:val="center"/>
            </w:pPr>
            <w:r>
              <w:rPr>
                <w:sz w:val="17"/>
              </w:rPr>
              <w:t>amazon/chronos-2</w:t>
            </w:r>
          </w:p>
        </w:tc>
        <w:tc>
          <w:tcPr>
            <w:tcW w:type="dxa" w:w="907"/>
          </w:tcPr>
          <w:p>
            <w:pPr>
              <w:keepNext/>
              <w:spacing w:after="0"/>
              <w:jc w:val="center"/>
            </w:pPr>
            <w:r>
              <w:rPr>
                <w:sz w:val="17"/>
              </w:rPr>
              <w:t>120M</w:t>
            </w:r>
          </w:p>
        </w:tc>
        <w:tc>
          <w:tcPr>
            <w:tcW w:type="dxa" w:w="1361"/>
          </w:tcPr>
          <w:p>
            <w:pPr>
              <w:keepNext/>
              <w:spacing w:after="0"/>
              <w:jc w:val="center"/>
            </w:pPr>
            <w:r>
              <w:rPr>
                <w:sz w:val="17"/>
              </w:rPr>
              <w:t>kuantil</w:t>
            </w:r>
          </w:p>
        </w:tc>
      </w:tr>
      <w:tr>
        <w:tc>
          <w:tcPr>
            <w:tcW w:type="dxa" w:w="1587"/>
          </w:tcPr>
          <w:p>
            <w:pPr>
              <w:keepNext/>
              <w:spacing w:after="0"/>
              <w:jc w:val="left"/>
            </w:pPr>
            <w:r>
              <w:rPr>
                <w:sz w:val="17"/>
              </w:rPr>
              <w:t>Toto</w:t>
            </w:r>
          </w:p>
        </w:tc>
        <w:tc>
          <w:tcPr>
            <w:tcW w:type="dxa" w:w="3628"/>
          </w:tcPr>
          <w:p>
            <w:pPr>
              <w:keepNext/>
              <w:spacing w:after="0"/>
              <w:jc w:val="center"/>
            </w:pPr>
            <w:r>
              <w:rPr>
                <w:sz w:val="17"/>
              </w:rPr>
              <w:t>Datadog/Toto-Open-Base-1.0</w:t>
            </w:r>
          </w:p>
        </w:tc>
        <w:tc>
          <w:tcPr>
            <w:tcW w:type="dxa" w:w="907"/>
          </w:tcPr>
          <w:p>
            <w:pPr>
              <w:keepNext/>
              <w:spacing w:after="0"/>
              <w:jc w:val="center"/>
            </w:pPr>
            <w:r>
              <w:rPr>
                <w:sz w:val="17"/>
              </w:rPr>
              <w:t>151M</w:t>
            </w:r>
          </w:p>
        </w:tc>
        <w:tc>
          <w:tcPr>
            <w:tcW w:type="dxa" w:w="1361"/>
          </w:tcPr>
          <w:p>
            <w:pPr>
              <w:keepNext/>
              <w:spacing w:after="0"/>
              <w:jc w:val="center"/>
            </w:pPr>
            <w:r>
              <w:rPr>
                <w:sz w:val="17"/>
              </w:rPr>
              <w:t>mean / sampel</w:t>
            </w:r>
          </w:p>
        </w:tc>
      </w:tr>
      <w:tr>
        <w:tc>
          <w:tcPr>
            <w:tcW w:type="dxa" w:w="1587"/>
          </w:tcPr>
          <w:p>
            <w:pPr>
              <w:keepNext/>
              <w:spacing w:after="0"/>
              <w:jc w:val="left"/>
            </w:pPr>
            <w:r>
              <w:rPr>
                <w:sz w:val="17"/>
              </w:rPr>
              <w:t>TimesFM-2.5</w:t>
            </w:r>
          </w:p>
        </w:tc>
        <w:tc>
          <w:tcPr>
            <w:tcW w:type="dxa" w:w="3628"/>
          </w:tcPr>
          <w:p>
            <w:pPr>
              <w:keepNext/>
              <w:spacing w:after="0"/>
              <w:jc w:val="center"/>
            </w:pPr>
            <w:r>
              <w:rPr>
                <w:sz w:val="17"/>
              </w:rPr>
              <w:t>google/timesfm-2.5-200m-pytorch</w:t>
            </w:r>
          </w:p>
        </w:tc>
        <w:tc>
          <w:tcPr>
            <w:tcW w:type="dxa" w:w="907"/>
          </w:tcPr>
          <w:p>
            <w:pPr>
              <w:keepNext/>
              <w:spacing w:after="0"/>
              <w:jc w:val="center"/>
            </w:pPr>
            <w:r>
              <w:rPr>
                <w:sz w:val="17"/>
              </w:rPr>
              <w:t>200M</w:t>
            </w:r>
          </w:p>
        </w:tc>
        <w:tc>
          <w:tcPr>
            <w:tcW w:type="dxa" w:w="1361"/>
          </w:tcPr>
          <w:p>
            <w:pPr>
              <w:keepNext/>
              <w:spacing w:after="0"/>
              <w:jc w:val="center"/>
            </w:pPr>
            <w:r>
              <w:rPr>
                <w:sz w:val="17"/>
              </w:rPr>
              <w:t>kuantil</w:t>
            </w:r>
          </w:p>
        </w:tc>
      </w:tr>
      <w:tr>
        <w:tc>
          <w:tcPr>
            <w:tcW w:type="dxa" w:w="1587"/>
          </w:tcPr>
          <w:p>
            <w:pPr>
              <w:keepNext/>
              <w:spacing w:after="0"/>
              <w:jc w:val="left"/>
            </w:pPr>
            <w:r>
              <w:rPr>
                <w:sz w:val="17"/>
              </w:rPr>
              <w:t>TiRex</w:t>
            </w:r>
          </w:p>
        </w:tc>
        <w:tc>
          <w:tcPr>
            <w:tcW w:type="dxa" w:w="3628"/>
          </w:tcPr>
          <w:p>
            <w:pPr>
              <w:keepNext/>
              <w:spacing w:after="0"/>
              <w:jc w:val="center"/>
            </w:pPr>
            <w:r>
              <w:rPr>
                <w:sz w:val="17"/>
              </w:rPr>
              <w:t>NX-AI/TiRex</w:t>
            </w:r>
          </w:p>
        </w:tc>
        <w:tc>
          <w:tcPr>
            <w:tcW w:type="dxa" w:w="907"/>
          </w:tcPr>
          <w:p>
            <w:pPr>
              <w:keepNext/>
              <w:spacing w:after="0"/>
              <w:jc w:val="center"/>
            </w:pPr>
            <w:r>
              <w:rPr>
                <w:sz w:val="17"/>
              </w:rPr>
              <w:t>35M</w:t>
            </w:r>
          </w:p>
        </w:tc>
        <w:tc>
          <w:tcPr>
            <w:tcW w:type="dxa" w:w="1361"/>
          </w:tcPr>
          <w:p>
            <w:pPr>
              <w:keepNext/>
              <w:spacing w:after="0"/>
              <w:jc w:val="center"/>
            </w:pPr>
            <w:r>
              <w:rPr>
                <w:sz w:val="17"/>
              </w:rPr>
              <w:t>kuantil</w:t>
            </w:r>
          </w:p>
        </w:tc>
      </w:tr>
      <w:tr>
        <w:tc>
          <w:tcPr>
            <w:tcW w:type="dxa" w:w="1587"/>
          </w:tcPr>
          <w:p>
            <w:pPr>
              <w:keepNext/>
              <w:spacing w:after="0"/>
              <w:jc w:val="left"/>
            </w:pPr>
            <w:r>
              <w:rPr>
                <w:sz w:val="17"/>
              </w:rPr>
              <w:t>Moirai-2-S</w:t>
            </w:r>
          </w:p>
        </w:tc>
        <w:tc>
          <w:tcPr>
            <w:tcW w:type="dxa" w:w="3628"/>
          </w:tcPr>
          <w:p>
            <w:pPr>
              <w:keepNext/>
              <w:spacing w:after="0"/>
              <w:jc w:val="center"/>
            </w:pPr>
            <w:r>
              <w:rPr>
                <w:sz w:val="17"/>
              </w:rPr>
              <w:t>Salesforce/moirai-2.0-R-small</w:t>
            </w:r>
          </w:p>
        </w:tc>
        <w:tc>
          <w:tcPr>
            <w:tcW w:type="dxa" w:w="907"/>
          </w:tcPr>
          <w:p>
            <w:pPr>
              <w:keepNext/>
              <w:spacing w:after="0"/>
              <w:jc w:val="center"/>
            </w:pPr>
            <w:r>
              <w:rPr>
                <w:sz w:val="17"/>
              </w:rPr>
              <w:t>kecil</w:t>
            </w:r>
          </w:p>
        </w:tc>
        <w:tc>
          <w:tcPr>
            <w:tcW w:type="dxa" w:w="1361"/>
          </w:tcPr>
          <w:p>
            <w:pPr>
              <w:keepNext/>
              <w:spacing w:after="0"/>
              <w:jc w:val="center"/>
            </w:pPr>
            <w:r>
              <w:rPr>
                <w:sz w:val="17"/>
              </w:rPr>
              <w:t>kuantil</w:t>
            </w:r>
          </w:p>
        </w:tc>
      </w:tr>
      <w:tr>
        <w:tc>
          <w:tcPr>
            <w:tcW w:type="dxa" w:w="1587"/>
          </w:tcPr>
          <w:p>
            <w:pPr>
              <w:keepNext/>
              <w:spacing w:after="0"/>
              <w:jc w:val="left"/>
            </w:pPr>
            <w:r>
              <w:rPr>
                <w:sz w:val="17"/>
              </w:rPr>
              <w:t>Chronos-Bolt-S</w:t>
            </w:r>
          </w:p>
        </w:tc>
        <w:tc>
          <w:tcPr>
            <w:tcW w:type="dxa" w:w="3628"/>
          </w:tcPr>
          <w:p>
            <w:pPr>
              <w:keepNext/>
              <w:spacing w:after="0"/>
              <w:jc w:val="center"/>
            </w:pPr>
            <w:r>
              <w:rPr>
                <w:sz w:val="17"/>
              </w:rPr>
              <w:t>amazon/chronos-bolt-small</w:t>
            </w:r>
          </w:p>
        </w:tc>
        <w:tc>
          <w:tcPr>
            <w:tcW w:type="dxa" w:w="907"/>
          </w:tcPr>
          <w:p>
            <w:pPr>
              <w:keepNext/>
              <w:spacing w:after="0"/>
              <w:jc w:val="center"/>
            </w:pPr>
            <w:r>
              <w:rPr>
                <w:sz w:val="17"/>
              </w:rPr>
              <w:t>48M</w:t>
            </w:r>
          </w:p>
        </w:tc>
        <w:tc>
          <w:tcPr>
            <w:tcW w:type="dxa" w:w="1361"/>
          </w:tcPr>
          <w:p>
            <w:pPr>
              <w:keepNext/>
              <w:spacing w:after="0"/>
              <w:jc w:val="center"/>
            </w:pPr>
            <w:r>
              <w:rPr>
                <w:sz w:val="17"/>
              </w:rPr>
              <w:t>kuantil</w:t>
            </w:r>
          </w:p>
        </w:tc>
      </w:tr>
      <w:tr>
        <w:tc>
          <w:tcPr>
            <w:tcW w:type="dxa" w:w="1587"/>
            <w:tcBorders>
              <w:bottom w:val="single" w:sz="8" w:color="000000"/>
            </w:tcBorders>
          </w:tcPr>
          <w:p>
            <w:pPr>
              <w:keepNext w:val="0"/>
              <w:spacing w:after="0"/>
              <w:jc w:val="left"/>
            </w:pPr>
            <w:r>
              <w:rPr>
                <w:sz w:val="17"/>
              </w:rPr>
              <w:t>TTM-r2</w:t>
            </w:r>
          </w:p>
        </w:tc>
        <w:tc>
          <w:tcPr>
            <w:tcW w:type="dxa" w:w="3628"/>
            <w:tcBorders>
              <w:bottom w:val="single" w:sz="8" w:color="000000"/>
            </w:tcBorders>
          </w:tcPr>
          <w:p>
            <w:pPr>
              <w:keepNext w:val="0"/>
              <w:spacing w:after="0"/>
              <w:jc w:val="center"/>
            </w:pPr>
            <w:r>
              <w:rPr>
                <w:sz w:val="17"/>
              </w:rPr>
              <w:t>ibm-granite/granite-timeseries-ttm-r2</w:t>
            </w:r>
          </w:p>
        </w:tc>
        <w:tc>
          <w:tcPr>
            <w:tcW w:type="dxa" w:w="907"/>
            <w:tcBorders>
              <w:bottom w:val="single" w:sz="8" w:color="000000"/>
            </w:tcBorders>
          </w:tcPr>
          <w:p>
            <w:pPr>
              <w:keepNext w:val="0"/>
              <w:spacing w:after="0"/>
              <w:jc w:val="center"/>
            </w:pPr>
            <w:r>
              <w:rPr>
                <w:sz w:val="17"/>
              </w:rPr>
              <w:t>&lt; 5M</w:t>
            </w:r>
          </w:p>
        </w:tc>
        <w:tc>
          <w:tcPr>
            <w:tcW w:type="dxa" w:w="1361"/>
            <w:tcBorders>
              <w:bottom w:val="single" w:sz="8" w:color="000000"/>
            </w:tcBorders>
          </w:tcPr>
          <w:p>
            <w:pPr>
              <w:keepNext w:val="0"/>
              <w:spacing w:after="0"/>
              <w:jc w:val="center"/>
            </w:pPr>
            <w:r>
              <w:rPr>
                <w:sz w:val="17"/>
              </w:rPr>
              <w:t>titik</w:t>
            </w:r>
          </w:p>
        </w:tc>
      </w:tr>
    </w:tbl>
    <w:p>
      <w:pPr>
        <w:spacing w:after="40"/>
      </w:pPr>
    </w:p>
    <w:p>
      <w:pPr>
        <w:jc w:val="both"/>
      </w:pPr>
      <w:r>
        <w:rPr/>
        <w:t>Baseline terdiri dari tiga kelompok. Baseline sederhana: naive, seasonal naive (musim harian), dan SWA-3 (rata-rata jam yang sama pada tiga hari terakhir). Baseline statistik lokal via StatsForecast [20]: ETS non-musiman, MSTL [21] dengan ETS atau ARIMA untuk komponen tren, Croston [22], dan TSB [23]. MSTL hanya dijalankan pada resolusi 5 menit, karena satu fit pada data 1 menit memakan 4–9 detik. Baseline terlatih global per dataset: LightGBM [24] rekursif dengan fitur lag yang dinormalisasi, serta N-BEATS [25] dan LSTM [26] via NeuralForecast [27] dengan early stopping pada split validasi. Baseline statistik melihat histori 7 hari, lebih panjang daripada konteks TSFM, sehingga perbandingan ini cenderung menguntungkan baseline.</w:t>
      </w:r>
    </w:p>
    <w:p>
      <w:pPr>
        <w:pStyle w:val="Heading2"/>
      </w:pPr>
      <w:r>
        <w:t>3.3 Protokol evaluasi</w:t>
      </w:r>
    </w:p>
    <w:p>
      <w:pPr>
        <w:jc w:val="both"/>
      </w:pPr>
      <w:r>
        <w:rPr/>
        <w:t>Setiap dataset dibagi kronologis menjadi train, validasi, dan test (Azure 10/2/2 hari, Alibaba 5/1/2, Huawei 24/2/4). Forecast dibuat dari origin setiap jam sepanjang periode validasi dan test. Horizon yang dievaluasi adalah 5, 15, dan 60 menit (ditambah 1 menit pada data 1 menit). Forecast validasi dipakai untuk membentuk kuantil conformal bagi model yang hanya menghasilkan titik [28]; residual dinormalisasi dengan skala deret lalu dikumpulkan per langkah horizon. Semua forecast dipotong ke nilai ≥ 0.</w:t>
      </w:r>
    </w:p>
    <w:p>
      <w:pPr>
        <w:jc w:val="both"/>
      </w:pPr>
      <w:r>
        <w:rPr/>
        <w:t>Metrik utama adalah relMASE, yaitu rata-rata geometrik rasio MAE model terhadap MAE seasonal naive per deret (setara dengan rasio MASE [29]); nilai &lt; 1 berarti lebih baik daripada seasonal naive. Deret dengan MAE seasonal naive nol dikeluarkan. Kami melaporkan interval kepercayaan 95% dari 1000 resampel bootstrap atas deret, serta uji Friedman dengan post-hoc Nemenyi [30] pada peringkat per deret.</w:t>
      </w:r>
    </w:p>
    <w:p>
      <w:pPr>
        <w:pStyle w:val="Heading2"/>
      </w:pPr>
      <w:r>
        <w:t>3.4 Biaya komputasi</w:t>
      </w:r>
    </w:p>
    <w:p>
      <w:pPr>
        <w:jc w:val="both"/>
      </w:pPr>
      <w:r>
        <w:rPr/>
        <w:t>Latensi diukur terpisah di Apple M3 Pro (11 core, 18 GB) dalam kondisi idle, dengan 4 thread CPU, horizon 60, batch 1 dan 64, serta konteks 512 dan 2048. Setiap konfigurasi diukur 30 kali setelah 5 kali pemanasan, dan kami melaporkan median (p50). Waktu training baseline terlatih dicatat dari run penuh.</w:t>
      </w:r>
    </w:p>
    <w:p>
      <w:pPr>
        <w:pStyle w:val="Heading2"/>
      </w:pPr>
      <w:r>
        <w:t>3.5 Simulasi autoscaling</w:t>
      </w:r>
    </w:p>
    <w:p>
      <w:pPr>
        <w:jc w:val="both"/>
      </w:pPr>
      <w:r>
        <w:rPr>
          <w:b/>
        </w:rPr>
        <w:t>Serverless (Azure, 1 menit).</w:t>
      </w:r>
      <w:r>
        <w:rPr/>
        <w:t xml:space="preserve"> Kebutuhan instance dihitung dengan hukum Little [31]: N = ⌈λ·d/60⌉, dengan λ invokasi per menit dan d durasi rata-rata aplikasi dalam detik; setiap menit yang punya invokasi butuh minimal satu instance. Kami membandingkan tiga policy. (i) Reaktif: keep-alive tetap K menit, dengan K ∈ {1, 2, 5, 10, 20, 30, 60}. (ii) Prediktif: pada setiap origin per jam, kapasitas untuk 60 menit berikutnya disiapkan dari kuantil-τ forecast, τ ∈ {0,5; …; 0,9}. (iii) Hybrid: maksimum dari prediktif dan keep-alive 10 menit. Metrik risikonya rasio cold start (permintaan yang tidak menemukan instance hangat), dan metrik biayanya instance-menit menganggur per instance-menit yang dibutuhkan.</w:t>
      </w:r>
    </w:p>
    <w:p>
      <w:pPr>
        <w:jc w:val="both"/>
      </w:pPr>
      <w:r>
        <w:rPr>
          <w:b/>
        </w:rPr>
        <w:t>VM (Alibaba, 5 menit).</w:t>
      </w:r>
      <w:r>
        <w:rPr/>
        <w:t xml:space="preserve"> Kebutuhan replika adalah R = ⌈u/100 · 20/0,7⌉, yaitu layanan berkapasitas 20 replika pada utilisasi 100% dengan target utilisasi 70%. Policy reaktif meniru HPA: memakai permintaan satu langkah sebelumnya dengan stabilisasi turun satu langkah, dengan target provisioning ∈ {0,4; …; 0,8} sebagai kenop. Policy prediktif dan hybrid didefinisikan seperti pada serverless. Metrik risikonya fraksi interval dengan kapasitas kurang, dan metrik biayanya replika berlebih per replika yang dibutuhkan.</w:t>
      </w:r>
    </w:p>
    <w:p>
      <w:pPr>
        <w:jc w:val="both"/>
      </w:pPr>
      <w:r>
        <w:rPr/>
        <w:t xml:space="preserve">Setiap policy punya kenop, jadi kami membandingkan </w:t>
      </w:r>
      <w:r>
        <w:rPr>
          <w:b/>
        </w:rPr>
        <w:t>kurva</w:t>
      </w:r>
      <w:r>
        <w:rPr/>
        <w:t xml:space="preserve"> trade-off: biaya setiap policy diinterpolasi pada tingkat risiko yang sama.</w:t>
      </w:r>
    </w:p>
    <w:p>
      <w:pPr>
        <w:pStyle w:val="Heading1"/>
      </w:pPr>
      <w:r>
        <w:t>4. Hasil</w:t>
      </w:r>
    </w:p>
    <w:p>
      <w:pPr>
        <w:pStyle w:val="Heading2"/>
      </w:pPr>
      <w:r>
        <w:t>4.1 Akurasi (RQ1)</w:t>
      </w:r>
    </w:p>
    <w:p>
      <w:pPr>
        <w:keepNext/>
      </w:pPr>
      <w:r>
        <w:rPr>
          <w:b/>
          <w:sz w:val="19"/>
        </w:rPr>
        <w:t>Tabel 3.</w:t>
      </w:r>
      <w:r>
        <w:rPr>
          <w:sz w:val="19"/>
        </w:rPr>
        <w:t xml:space="preserve"> relMASE pada horizon 60 menit (rata-rata geometrik, interval kepercayaan bootstrap 95%). Lebih kecil lebih baik; seasonal naive = 1. Tebal: terbaik per kolom. “–”: tidak dijalankan.</w:t>
      </w:r>
    </w:p>
    <w:tbl>
      <w:tblPr>
        <w:tblW w:type="auto" w:w="0"/>
        <w:jc w:val="center"/>
        <w:tblLayout w:type="fixed"/>
        <w:tblLook w:firstColumn="1" w:firstRow="1" w:lastColumn="0" w:lastRow="0" w:noHBand="0" w:noVBand="1" w:val="04A0"/>
        <w:tblLayout w:type="fixed"/>
      </w:tblPr>
      <w:tblGrid>
        <w:gridCol w:w="1474"/>
        <w:gridCol w:w="1276"/>
        <w:gridCol w:w="1276"/>
        <w:gridCol w:w="1276"/>
        <w:gridCol w:w="1276"/>
        <w:gridCol w:w="1276"/>
        <w:gridCol w:w="1276"/>
      </w:tblGrid>
      <w:tr>
        <w:tc>
          <w:tcPr>
            <w:tcW w:type="dxa" w:w="1474"/>
            <w:tcBorders>
              <w:top w:val="single" w:sz="8" w:color="000000"/>
              <w:bottom w:val="single" w:sz="4" w:color="000000"/>
            </w:tcBorders>
          </w:tcPr>
          <w:p>
            <w:pPr>
              <w:keepNext/>
              <w:spacing w:after="0"/>
              <w:jc w:val="left"/>
            </w:pPr>
            <w:r>
              <w:rPr>
                <w:b/>
                <w:sz w:val="14"/>
              </w:rPr>
              <w:t>Model</w:t>
            </w:r>
          </w:p>
        </w:tc>
        <w:tc>
          <w:tcPr>
            <w:tcW w:type="dxa" w:w="1276"/>
            <w:tcBorders>
              <w:top w:val="single" w:sz="8" w:color="000000"/>
              <w:bottom w:val="single" w:sz="4" w:color="000000"/>
            </w:tcBorders>
          </w:tcPr>
          <w:p>
            <w:pPr>
              <w:keepNext/>
              <w:spacing w:after="0"/>
              <w:jc w:val="center"/>
            </w:pPr>
            <w:r>
              <w:rPr>
                <w:b/>
                <w:sz w:val="14"/>
              </w:rPr>
              <w:t>Huawei 5m</w:t>
            </w:r>
          </w:p>
        </w:tc>
        <w:tc>
          <w:tcPr>
            <w:tcW w:type="dxa" w:w="1276"/>
            <w:tcBorders>
              <w:top w:val="single" w:sz="8" w:color="000000"/>
              <w:bottom w:val="single" w:sz="4" w:color="000000"/>
            </w:tcBorders>
          </w:tcPr>
          <w:p>
            <w:pPr>
              <w:keepNext/>
              <w:spacing w:after="0"/>
              <w:jc w:val="center"/>
            </w:pPr>
            <w:r>
              <w:rPr>
                <w:b/>
                <w:sz w:val="14"/>
              </w:rPr>
              <w:t>Alibaba 5m</w:t>
            </w:r>
          </w:p>
        </w:tc>
        <w:tc>
          <w:tcPr>
            <w:tcW w:type="dxa" w:w="1276"/>
            <w:tcBorders>
              <w:top w:val="single" w:sz="8" w:color="000000"/>
              <w:bottom w:val="single" w:sz="4" w:color="000000"/>
            </w:tcBorders>
          </w:tcPr>
          <w:p>
            <w:pPr>
              <w:keepNext/>
              <w:spacing w:after="0"/>
              <w:jc w:val="center"/>
            </w:pPr>
            <w:r>
              <w:rPr>
                <w:b/>
                <w:sz w:val="14"/>
              </w:rPr>
              <w:t>Azure19 5m</w:t>
            </w:r>
          </w:p>
        </w:tc>
        <w:tc>
          <w:tcPr>
            <w:tcW w:type="dxa" w:w="1276"/>
            <w:tcBorders>
              <w:top w:val="single" w:sz="8" w:color="000000"/>
              <w:bottom w:val="single" w:sz="4" w:color="000000"/>
            </w:tcBorders>
          </w:tcPr>
          <w:p>
            <w:pPr>
              <w:keepNext/>
              <w:spacing w:after="0"/>
              <w:jc w:val="center"/>
            </w:pPr>
            <w:r>
              <w:rPr>
                <w:b/>
                <w:sz w:val="14"/>
              </w:rPr>
              <w:t>Azure19 1m</w:t>
            </w:r>
          </w:p>
        </w:tc>
        <w:tc>
          <w:tcPr>
            <w:tcW w:type="dxa" w:w="1276"/>
            <w:tcBorders>
              <w:top w:val="single" w:sz="8" w:color="000000"/>
              <w:bottom w:val="single" w:sz="4" w:color="000000"/>
            </w:tcBorders>
          </w:tcPr>
          <w:p>
            <w:pPr>
              <w:keepNext/>
              <w:spacing w:after="0"/>
              <w:jc w:val="center"/>
            </w:pPr>
            <w:r>
              <w:rPr>
                <w:b/>
                <w:sz w:val="14"/>
              </w:rPr>
              <w:t>Azure21 5m</w:t>
            </w:r>
          </w:p>
        </w:tc>
        <w:tc>
          <w:tcPr>
            <w:tcW w:type="dxa" w:w="1276"/>
            <w:tcBorders>
              <w:top w:val="single" w:sz="8" w:color="000000"/>
              <w:bottom w:val="single" w:sz="4" w:color="000000"/>
            </w:tcBorders>
          </w:tcPr>
          <w:p>
            <w:pPr>
              <w:keepNext/>
              <w:spacing w:after="0"/>
              <w:jc w:val="center"/>
            </w:pPr>
            <w:r>
              <w:rPr>
                <w:b/>
                <w:sz w:val="14"/>
              </w:rPr>
              <w:t>Azure21 1m</w:t>
            </w:r>
          </w:p>
        </w:tc>
      </w:tr>
      <w:tr>
        <w:tc>
          <w:tcPr>
            <w:tcW w:type="dxa" w:w="1474"/>
          </w:tcPr>
          <w:p>
            <w:pPr>
              <w:keepNext/>
              <w:spacing w:after="0"/>
              <w:jc w:val="left"/>
            </w:pPr>
            <w:r>
              <w:rPr>
                <w:sz w:val="14"/>
              </w:rPr>
              <w:t>TimesFM-3</w:t>
            </w:r>
          </w:p>
        </w:tc>
        <w:tc>
          <w:tcPr>
            <w:tcW w:type="dxa" w:w="1276"/>
          </w:tcPr>
          <w:p>
            <w:pPr>
              <w:keepNext/>
              <w:spacing w:after="0"/>
              <w:jc w:val="center"/>
            </w:pPr>
            <w:r>
              <w:rPr>
                <w:sz w:val="14"/>
              </w:rPr>
              <w:t>0,471 [0,41; 0,54]</w:t>
            </w:r>
          </w:p>
        </w:tc>
        <w:tc>
          <w:tcPr>
            <w:tcW w:type="dxa" w:w="1276"/>
          </w:tcPr>
          <w:p>
            <w:pPr>
              <w:keepNext/>
              <w:spacing w:after="0"/>
              <w:jc w:val="center"/>
            </w:pPr>
            <w:r>
              <w:rPr>
                <w:b/>
                <w:sz w:val="14"/>
              </w:rPr>
              <w:t>0,610 [0,59; 0,63]</w:t>
            </w:r>
          </w:p>
        </w:tc>
        <w:tc>
          <w:tcPr>
            <w:tcW w:type="dxa" w:w="1276"/>
          </w:tcPr>
          <w:p>
            <w:pPr>
              <w:keepNext/>
              <w:spacing w:after="0"/>
              <w:jc w:val="center"/>
            </w:pPr>
            <w:r>
              <w:rPr>
                <w:b/>
                <w:sz w:val="14"/>
              </w:rPr>
              <w:t>0,468 [0,43; 0,51]</w:t>
            </w:r>
          </w:p>
        </w:tc>
        <w:tc>
          <w:tcPr>
            <w:tcW w:type="dxa" w:w="1276"/>
          </w:tcPr>
          <w:p>
            <w:pPr>
              <w:keepNext/>
              <w:spacing w:after="0"/>
              <w:jc w:val="center"/>
            </w:pPr>
            <w:r>
              <w:rPr>
                <w:sz w:val="14"/>
              </w:rPr>
              <w:t>0,561 [0,50; 0,62]</w:t>
            </w:r>
          </w:p>
        </w:tc>
        <w:tc>
          <w:tcPr>
            <w:tcW w:type="dxa" w:w="1276"/>
          </w:tcPr>
          <w:p>
            <w:pPr>
              <w:keepNext/>
              <w:spacing w:after="0"/>
              <w:jc w:val="center"/>
            </w:pPr>
            <w:r>
              <w:rPr>
                <w:sz w:val="14"/>
              </w:rPr>
              <w:t>0,249 [0,15; 0,38]</w:t>
            </w:r>
          </w:p>
        </w:tc>
        <w:tc>
          <w:tcPr>
            <w:tcW w:type="dxa" w:w="1276"/>
          </w:tcPr>
          <w:p>
            <w:pPr>
              <w:keepNext/>
              <w:spacing w:after="0"/>
              <w:jc w:val="center"/>
            </w:pPr>
            <w:r>
              <w:rPr>
                <w:sz w:val="14"/>
              </w:rPr>
              <w:t>0,296 [0,19; 0,43]</w:t>
            </w:r>
          </w:p>
        </w:tc>
      </w:tr>
      <w:tr>
        <w:tc>
          <w:tcPr>
            <w:tcW w:type="dxa" w:w="1474"/>
          </w:tcPr>
          <w:p>
            <w:pPr>
              <w:keepNext/>
              <w:spacing w:after="0"/>
              <w:jc w:val="left"/>
            </w:pPr>
            <w:r>
              <w:rPr>
                <w:sz w:val="14"/>
              </w:rPr>
              <w:t>Chronos-2</w:t>
            </w:r>
          </w:p>
        </w:tc>
        <w:tc>
          <w:tcPr>
            <w:tcW w:type="dxa" w:w="1276"/>
          </w:tcPr>
          <w:p>
            <w:pPr>
              <w:keepNext/>
              <w:spacing w:after="0"/>
              <w:jc w:val="center"/>
            </w:pPr>
            <w:r>
              <w:rPr>
                <w:b/>
                <w:sz w:val="14"/>
              </w:rPr>
              <w:t>0,467 [0,41; 0,53]</w:t>
            </w:r>
          </w:p>
        </w:tc>
        <w:tc>
          <w:tcPr>
            <w:tcW w:type="dxa" w:w="1276"/>
          </w:tcPr>
          <w:p>
            <w:pPr>
              <w:keepNext/>
              <w:spacing w:after="0"/>
              <w:jc w:val="center"/>
            </w:pPr>
            <w:r>
              <w:rPr>
                <w:sz w:val="14"/>
              </w:rPr>
              <w:t>0,614 [0,60; 0,63]</w:t>
            </w:r>
          </w:p>
        </w:tc>
        <w:tc>
          <w:tcPr>
            <w:tcW w:type="dxa" w:w="1276"/>
          </w:tcPr>
          <w:p>
            <w:pPr>
              <w:keepNext/>
              <w:spacing w:after="0"/>
              <w:jc w:val="center"/>
            </w:pPr>
            <w:r>
              <w:rPr>
                <w:sz w:val="14"/>
              </w:rPr>
              <w:t>0,488 [0,45; 0,53]</w:t>
            </w:r>
          </w:p>
        </w:tc>
        <w:tc>
          <w:tcPr>
            <w:tcW w:type="dxa" w:w="1276"/>
          </w:tcPr>
          <w:p>
            <w:pPr>
              <w:keepNext/>
              <w:spacing w:after="0"/>
              <w:jc w:val="center"/>
            </w:pPr>
            <w:r>
              <w:rPr>
                <w:sz w:val="14"/>
              </w:rPr>
              <w:t>0,581 [0,52; 0,64]</w:t>
            </w:r>
          </w:p>
        </w:tc>
        <w:tc>
          <w:tcPr>
            <w:tcW w:type="dxa" w:w="1276"/>
          </w:tcPr>
          <w:p>
            <w:pPr>
              <w:keepNext/>
              <w:spacing w:after="0"/>
              <w:jc w:val="center"/>
            </w:pPr>
            <w:r>
              <w:rPr>
                <w:sz w:val="14"/>
              </w:rPr>
              <w:t>0,344 [0,24; 0,47]</w:t>
            </w:r>
          </w:p>
        </w:tc>
        <w:tc>
          <w:tcPr>
            <w:tcW w:type="dxa" w:w="1276"/>
          </w:tcPr>
          <w:p>
            <w:pPr>
              <w:keepNext/>
              <w:spacing w:after="0"/>
              <w:jc w:val="center"/>
            </w:pPr>
            <w:r>
              <w:rPr>
                <w:sz w:val="14"/>
              </w:rPr>
              <w:t>0,313 [0,21; 0,45]</w:t>
            </w:r>
          </w:p>
        </w:tc>
      </w:tr>
      <w:tr>
        <w:tc>
          <w:tcPr>
            <w:tcW w:type="dxa" w:w="1474"/>
          </w:tcPr>
          <w:p>
            <w:pPr>
              <w:keepNext/>
              <w:spacing w:after="0"/>
              <w:jc w:val="left"/>
            </w:pPr>
            <w:r>
              <w:rPr>
                <w:sz w:val="14"/>
              </w:rPr>
              <w:t>Toto</w:t>
            </w:r>
          </w:p>
        </w:tc>
        <w:tc>
          <w:tcPr>
            <w:tcW w:type="dxa" w:w="1276"/>
          </w:tcPr>
          <w:p>
            <w:pPr>
              <w:keepNext/>
              <w:spacing w:after="0"/>
              <w:jc w:val="center"/>
            </w:pPr>
            <w:r>
              <w:rPr>
                <w:sz w:val="14"/>
              </w:rPr>
              <w:t>0,515 [0,44; 0,60]</w:t>
            </w:r>
          </w:p>
        </w:tc>
        <w:tc>
          <w:tcPr>
            <w:tcW w:type="dxa" w:w="1276"/>
          </w:tcPr>
          <w:p>
            <w:pPr>
              <w:keepNext/>
              <w:spacing w:after="0"/>
              <w:jc w:val="center"/>
            </w:pPr>
            <w:r>
              <w:rPr>
                <w:sz w:val="14"/>
              </w:rPr>
              <w:t>0,639 [0,62; 0,66]</w:t>
            </w:r>
          </w:p>
        </w:tc>
        <w:tc>
          <w:tcPr>
            <w:tcW w:type="dxa" w:w="1276"/>
          </w:tcPr>
          <w:p>
            <w:pPr>
              <w:keepNext/>
              <w:spacing w:after="0"/>
              <w:jc w:val="center"/>
            </w:pPr>
            <w:r>
              <w:rPr>
                <w:sz w:val="14"/>
              </w:rPr>
              <w:t>0,489 [0,45; 0,54]</w:t>
            </w:r>
          </w:p>
        </w:tc>
        <w:tc>
          <w:tcPr>
            <w:tcW w:type="dxa" w:w="1276"/>
          </w:tcPr>
          <w:p>
            <w:pPr>
              <w:keepNext/>
              <w:spacing w:after="0"/>
              <w:jc w:val="center"/>
            </w:pPr>
            <w:r>
              <w:rPr>
                <w:b/>
                <w:sz w:val="14"/>
              </w:rPr>
              <w:t>0,550 [0,50; 0,60]</w:t>
            </w:r>
          </w:p>
        </w:tc>
        <w:tc>
          <w:tcPr>
            <w:tcW w:type="dxa" w:w="1276"/>
          </w:tcPr>
          <w:p>
            <w:pPr>
              <w:keepNext/>
              <w:spacing w:after="0"/>
              <w:jc w:val="center"/>
            </w:pPr>
            <w:r>
              <w:rPr>
                <w:sz w:val="14"/>
              </w:rPr>
              <w:t>0,244 [0,14; 0,38]</w:t>
            </w:r>
          </w:p>
        </w:tc>
        <w:tc>
          <w:tcPr>
            <w:tcW w:type="dxa" w:w="1276"/>
          </w:tcPr>
          <w:p>
            <w:pPr>
              <w:keepNext/>
              <w:spacing w:after="0"/>
              <w:jc w:val="center"/>
            </w:pPr>
            <w:r>
              <w:rPr>
                <w:sz w:val="14"/>
              </w:rPr>
              <w:t>0,271 [0,17; 0,40]</w:t>
            </w:r>
          </w:p>
        </w:tc>
      </w:tr>
      <w:tr>
        <w:tc>
          <w:tcPr>
            <w:tcW w:type="dxa" w:w="1474"/>
          </w:tcPr>
          <w:p>
            <w:pPr>
              <w:keepNext/>
              <w:spacing w:after="0"/>
              <w:jc w:val="left"/>
            </w:pPr>
            <w:r>
              <w:rPr>
                <w:sz w:val="14"/>
              </w:rPr>
              <w:t>Toto (20 samples)</w:t>
            </w:r>
          </w:p>
        </w:tc>
        <w:tc>
          <w:tcPr>
            <w:tcW w:type="dxa" w:w="1276"/>
          </w:tcPr>
          <w:p>
            <w:pPr>
              <w:keepNext/>
              <w:spacing w:after="0"/>
              <w:jc w:val="center"/>
            </w:pPr>
            <w:r>
              <w:rPr>
                <w:sz w:val="14"/>
              </w:rPr>
              <w:t>0,595 [0,50; 0,71]</w:t>
            </w:r>
          </w:p>
        </w:tc>
        <w:tc>
          <w:tcPr>
            <w:tcW w:type="dxa" w:w="1276"/>
          </w:tcPr>
          <w:p>
            <w:pPr>
              <w:keepNext/>
              <w:spacing w:after="0"/>
              <w:jc w:val="center"/>
            </w:pPr>
            <w:r>
              <w:rPr>
                <w:sz w:val="14"/>
              </w:rPr>
              <w:t>0,697 [0,68; 0,72]</w:t>
            </w:r>
          </w:p>
        </w:tc>
        <w:tc>
          <w:tcPr>
            <w:tcW w:type="dxa" w:w="1276"/>
          </w:tcPr>
          <w:p>
            <w:pPr>
              <w:keepNext/>
              <w:spacing w:after="0"/>
              <w:jc w:val="center"/>
            </w:pPr>
            <w:r>
              <w:rPr>
                <w:sz w:val="14"/>
              </w:rPr>
              <w:t>–</w:t>
            </w:r>
          </w:p>
        </w:tc>
        <w:tc>
          <w:tcPr>
            <w:tcW w:type="dxa" w:w="1276"/>
          </w:tcPr>
          <w:p>
            <w:pPr>
              <w:keepNext/>
              <w:spacing w:after="0"/>
              <w:jc w:val="center"/>
            </w:pPr>
            <w:r>
              <w:rPr>
                <w:sz w:val="14"/>
              </w:rPr>
              <w:t>–</w:t>
            </w:r>
          </w:p>
        </w:tc>
        <w:tc>
          <w:tcPr>
            <w:tcW w:type="dxa" w:w="1276"/>
          </w:tcPr>
          <w:p>
            <w:pPr>
              <w:keepNext/>
              <w:spacing w:after="0"/>
              <w:jc w:val="center"/>
            </w:pPr>
            <w:r>
              <w:rPr>
                <w:sz w:val="14"/>
              </w:rPr>
              <w:t>–</w:t>
            </w:r>
          </w:p>
        </w:tc>
        <w:tc>
          <w:tcPr>
            <w:tcW w:type="dxa" w:w="1276"/>
          </w:tcPr>
          <w:p>
            <w:pPr>
              <w:keepNext/>
              <w:spacing w:after="0"/>
              <w:jc w:val="center"/>
            </w:pPr>
            <w:r>
              <w:rPr>
                <w:sz w:val="14"/>
              </w:rPr>
              <w:t>–</w:t>
            </w:r>
          </w:p>
        </w:tc>
      </w:tr>
      <w:tr>
        <w:tc>
          <w:tcPr>
            <w:tcW w:type="dxa" w:w="1474"/>
          </w:tcPr>
          <w:p>
            <w:pPr>
              <w:keepNext/>
              <w:spacing w:after="0"/>
              <w:jc w:val="left"/>
            </w:pPr>
            <w:r>
              <w:rPr>
                <w:sz w:val="14"/>
              </w:rPr>
              <w:t>TimesFM-2.5</w:t>
            </w:r>
          </w:p>
        </w:tc>
        <w:tc>
          <w:tcPr>
            <w:tcW w:type="dxa" w:w="1276"/>
          </w:tcPr>
          <w:p>
            <w:pPr>
              <w:keepNext/>
              <w:spacing w:after="0"/>
              <w:jc w:val="center"/>
            </w:pPr>
            <w:r>
              <w:rPr>
                <w:sz w:val="14"/>
              </w:rPr>
              <w:t>0,499 [0,43; 0,57]</w:t>
            </w:r>
          </w:p>
        </w:tc>
        <w:tc>
          <w:tcPr>
            <w:tcW w:type="dxa" w:w="1276"/>
          </w:tcPr>
          <w:p>
            <w:pPr>
              <w:keepNext/>
              <w:spacing w:after="0"/>
              <w:jc w:val="center"/>
            </w:pPr>
            <w:r>
              <w:rPr>
                <w:sz w:val="14"/>
              </w:rPr>
              <w:t>0,613 [0,60; 0,63]</w:t>
            </w:r>
          </w:p>
        </w:tc>
        <w:tc>
          <w:tcPr>
            <w:tcW w:type="dxa" w:w="1276"/>
          </w:tcPr>
          <w:p>
            <w:pPr>
              <w:keepNext/>
              <w:spacing w:after="0"/>
              <w:jc w:val="center"/>
            </w:pPr>
            <w:r>
              <w:rPr>
                <w:sz w:val="14"/>
              </w:rPr>
              <w:t>0,522 [0,48; 0,57]</w:t>
            </w:r>
          </w:p>
        </w:tc>
        <w:tc>
          <w:tcPr>
            <w:tcW w:type="dxa" w:w="1276"/>
          </w:tcPr>
          <w:p>
            <w:pPr>
              <w:keepNext/>
              <w:spacing w:after="0"/>
              <w:jc w:val="center"/>
            </w:pPr>
            <w:r>
              <w:rPr>
                <w:sz w:val="14"/>
              </w:rPr>
              <w:t>0,610 [0,55; 0,67]</w:t>
            </w:r>
          </w:p>
        </w:tc>
        <w:tc>
          <w:tcPr>
            <w:tcW w:type="dxa" w:w="1276"/>
          </w:tcPr>
          <w:p>
            <w:pPr>
              <w:keepNext/>
              <w:spacing w:after="0"/>
              <w:jc w:val="center"/>
            </w:pPr>
            <w:r>
              <w:rPr>
                <w:sz w:val="14"/>
              </w:rPr>
              <w:t>0,288 [0,19; 0,41]</w:t>
            </w:r>
          </w:p>
        </w:tc>
        <w:tc>
          <w:tcPr>
            <w:tcW w:type="dxa" w:w="1276"/>
          </w:tcPr>
          <w:p>
            <w:pPr>
              <w:keepNext/>
              <w:spacing w:after="0"/>
              <w:jc w:val="center"/>
            </w:pPr>
            <w:r>
              <w:rPr>
                <w:sz w:val="14"/>
              </w:rPr>
              <w:t>0,340 [0,23; 0,47]</w:t>
            </w:r>
          </w:p>
        </w:tc>
      </w:tr>
      <w:tr>
        <w:tc>
          <w:tcPr>
            <w:tcW w:type="dxa" w:w="1474"/>
          </w:tcPr>
          <w:p>
            <w:pPr>
              <w:keepNext/>
              <w:spacing w:after="0"/>
              <w:jc w:val="left"/>
            </w:pPr>
            <w:r>
              <w:rPr>
                <w:sz w:val="14"/>
              </w:rPr>
              <w:t>TiRex</w:t>
            </w:r>
          </w:p>
        </w:tc>
        <w:tc>
          <w:tcPr>
            <w:tcW w:type="dxa" w:w="1276"/>
          </w:tcPr>
          <w:p>
            <w:pPr>
              <w:keepNext/>
              <w:spacing w:after="0"/>
              <w:jc w:val="center"/>
            </w:pPr>
            <w:r>
              <w:rPr>
                <w:sz w:val="14"/>
              </w:rPr>
              <w:t>0,533 [0,46; 0,61]</w:t>
            </w:r>
          </w:p>
        </w:tc>
        <w:tc>
          <w:tcPr>
            <w:tcW w:type="dxa" w:w="1276"/>
          </w:tcPr>
          <w:p>
            <w:pPr>
              <w:keepNext/>
              <w:spacing w:after="0"/>
              <w:jc w:val="center"/>
            </w:pPr>
            <w:r>
              <w:rPr>
                <w:sz w:val="14"/>
              </w:rPr>
              <w:t>0,638 [0,62; 0,66]</w:t>
            </w:r>
          </w:p>
        </w:tc>
        <w:tc>
          <w:tcPr>
            <w:tcW w:type="dxa" w:w="1276"/>
          </w:tcPr>
          <w:p>
            <w:pPr>
              <w:keepNext/>
              <w:spacing w:after="0"/>
              <w:jc w:val="center"/>
            </w:pPr>
            <w:r>
              <w:rPr>
                <w:sz w:val="14"/>
              </w:rPr>
              <w:t>0,528 [0,48; 0,58]</w:t>
            </w:r>
          </w:p>
        </w:tc>
        <w:tc>
          <w:tcPr>
            <w:tcW w:type="dxa" w:w="1276"/>
          </w:tcPr>
          <w:p>
            <w:pPr>
              <w:keepNext/>
              <w:spacing w:after="0"/>
              <w:jc w:val="center"/>
            </w:pPr>
            <w:r>
              <w:rPr>
                <w:sz w:val="14"/>
              </w:rPr>
              <w:t>0,679 [0,61; 0,75]</w:t>
            </w:r>
          </w:p>
        </w:tc>
        <w:tc>
          <w:tcPr>
            <w:tcW w:type="dxa" w:w="1276"/>
          </w:tcPr>
          <w:p>
            <w:pPr>
              <w:keepNext/>
              <w:spacing w:after="0"/>
              <w:jc w:val="center"/>
            </w:pPr>
            <w:r>
              <w:rPr>
                <w:sz w:val="14"/>
              </w:rPr>
              <w:t>0,270 [0,17; 0,39]</w:t>
            </w:r>
          </w:p>
        </w:tc>
        <w:tc>
          <w:tcPr>
            <w:tcW w:type="dxa" w:w="1276"/>
          </w:tcPr>
          <w:p>
            <w:pPr>
              <w:keepNext/>
              <w:spacing w:after="0"/>
              <w:jc w:val="center"/>
            </w:pPr>
            <w:r>
              <w:rPr>
                <w:sz w:val="14"/>
              </w:rPr>
              <w:t>0,349 [0,24; 0,49]</w:t>
            </w:r>
          </w:p>
        </w:tc>
      </w:tr>
      <w:tr>
        <w:tc>
          <w:tcPr>
            <w:tcW w:type="dxa" w:w="1474"/>
          </w:tcPr>
          <w:p>
            <w:pPr>
              <w:keepNext/>
              <w:spacing w:after="0"/>
              <w:jc w:val="left"/>
            </w:pPr>
            <w:r>
              <w:rPr>
                <w:sz w:val="14"/>
              </w:rPr>
              <w:t>Moirai-2-S</w:t>
            </w:r>
          </w:p>
        </w:tc>
        <w:tc>
          <w:tcPr>
            <w:tcW w:type="dxa" w:w="1276"/>
          </w:tcPr>
          <w:p>
            <w:pPr>
              <w:keepNext/>
              <w:spacing w:after="0"/>
              <w:jc w:val="center"/>
            </w:pPr>
            <w:r>
              <w:rPr>
                <w:sz w:val="14"/>
              </w:rPr>
              <w:t>0,530 [0,46; 0,61]</w:t>
            </w:r>
          </w:p>
        </w:tc>
        <w:tc>
          <w:tcPr>
            <w:tcW w:type="dxa" w:w="1276"/>
          </w:tcPr>
          <w:p>
            <w:pPr>
              <w:keepNext/>
              <w:spacing w:after="0"/>
              <w:jc w:val="center"/>
            </w:pPr>
            <w:r>
              <w:rPr>
                <w:sz w:val="14"/>
              </w:rPr>
              <w:t>0,641 [0,62; 0,66]</w:t>
            </w:r>
          </w:p>
        </w:tc>
        <w:tc>
          <w:tcPr>
            <w:tcW w:type="dxa" w:w="1276"/>
          </w:tcPr>
          <w:p>
            <w:pPr>
              <w:keepNext/>
              <w:spacing w:after="0"/>
              <w:jc w:val="center"/>
            </w:pPr>
            <w:r>
              <w:rPr>
                <w:sz w:val="14"/>
              </w:rPr>
              <w:t>0,576 [0,53; 0,63]</w:t>
            </w:r>
          </w:p>
        </w:tc>
        <w:tc>
          <w:tcPr>
            <w:tcW w:type="dxa" w:w="1276"/>
          </w:tcPr>
          <w:p>
            <w:pPr>
              <w:keepNext/>
              <w:spacing w:after="0"/>
              <w:jc w:val="center"/>
            </w:pPr>
            <w:r>
              <w:rPr>
                <w:sz w:val="14"/>
              </w:rPr>
              <w:t>0,796 [0,71; 0,90]</w:t>
            </w:r>
          </w:p>
        </w:tc>
        <w:tc>
          <w:tcPr>
            <w:tcW w:type="dxa" w:w="1276"/>
          </w:tcPr>
          <w:p>
            <w:pPr>
              <w:keepNext/>
              <w:spacing w:after="0"/>
              <w:jc w:val="center"/>
            </w:pPr>
            <w:r>
              <w:rPr>
                <w:sz w:val="14"/>
              </w:rPr>
              <w:t>0,311 [0,20; 0,45]</w:t>
            </w:r>
          </w:p>
        </w:tc>
        <w:tc>
          <w:tcPr>
            <w:tcW w:type="dxa" w:w="1276"/>
          </w:tcPr>
          <w:p>
            <w:pPr>
              <w:keepNext/>
              <w:spacing w:after="0"/>
              <w:jc w:val="center"/>
            </w:pPr>
            <w:r>
              <w:rPr>
                <w:sz w:val="14"/>
              </w:rPr>
              <w:t>0,378 [0,26; 0,52]</w:t>
            </w:r>
          </w:p>
        </w:tc>
      </w:tr>
      <w:tr>
        <w:tc>
          <w:tcPr>
            <w:tcW w:type="dxa" w:w="1474"/>
          </w:tcPr>
          <w:p>
            <w:pPr>
              <w:keepNext/>
              <w:spacing w:after="0"/>
              <w:jc w:val="left"/>
            </w:pPr>
            <w:r>
              <w:rPr>
                <w:sz w:val="14"/>
              </w:rPr>
              <w:t>Chronos-Bolt-S</w:t>
            </w:r>
          </w:p>
        </w:tc>
        <w:tc>
          <w:tcPr>
            <w:tcW w:type="dxa" w:w="1276"/>
          </w:tcPr>
          <w:p>
            <w:pPr>
              <w:keepNext/>
              <w:spacing w:after="0"/>
              <w:jc w:val="center"/>
            </w:pPr>
            <w:r>
              <w:rPr>
                <w:sz w:val="14"/>
              </w:rPr>
              <w:t>0,602 [0,51; 0,71]</w:t>
            </w:r>
          </w:p>
        </w:tc>
        <w:tc>
          <w:tcPr>
            <w:tcW w:type="dxa" w:w="1276"/>
          </w:tcPr>
          <w:p>
            <w:pPr>
              <w:keepNext/>
              <w:spacing w:after="0"/>
              <w:jc w:val="center"/>
            </w:pPr>
            <w:r>
              <w:rPr>
                <w:sz w:val="14"/>
              </w:rPr>
              <w:t>0,659 [0,64; 0,68]</w:t>
            </w:r>
          </w:p>
        </w:tc>
        <w:tc>
          <w:tcPr>
            <w:tcW w:type="dxa" w:w="1276"/>
          </w:tcPr>
          <w:p>
            <w:pPr>
              <w:keepNext/>
              <w:spacing w:after="0"/>
              <w:jc w:val="center"/>
            </w:pPr>
            <w:r>
              <w:rPr>
                <w:sz w:val="14"/>
              </w:rPr>
              <w:t>0,745 [0,67; 0,84]</w:t>
            </w:r>
          </w:p>
        </w:tc>
        <w:tc>
          <w:tcPr>
            <w:tcW w:type="dxa" w:w="1276"/>
          </w:tcPr>
          <w:p>
            <w:pPr>
              <w:keepNext/>
              <w:spacing w:after="0"/>
              <w:jc w:val="center"/>
            </w:pPr>
            <w:r>
              <w:rPr>
                <w:sz w:val="14"/>
              </w:rPr>
              <w:t>1,079 [0,92; 1,26]</w:t>
            </w:r>
          </w:p>
        </w:tc>
        <w:tc>
          <w:tcPr>
            <w:tcW w:type="dxa" w:w="1276"/>
          </w:tcPr>
          <w:p>
            <w:pPr>
              <w:keepNext/>
              <w:spacing w:after="0"/>
              <w:jc w:val="center"/>
            </w:pPr>
            <w:r>
              <w:rPr>
                <w:sz w:val="14"/>
              </w:rPr>
              <w:t>0,408 [0,28; 0,60]</w:t>
            </w:r>
          </w:p>
        </w:tc>
        <w:tc>
          <w:tcPr>
            <w:tcW w:type="dxa" w:w="1276"/>
          </w:tcPr>
          <w:p>
            <w:pPr>
              <w:keepNext/>
              <w:spacing w:after="0"/>
              <w:jc w:val="center"/>
            </w:pPr>
            <w:r>
              <w:rPr>
                <w:sz w:val="14"/>
              </w:rPr>
              <w:t>0,527 [0,35; 0,78]</w:t>
            </w:r>
          </w:p>
        </w:tc>
      </w:tr>
      <w:tr>
        <w:tc>
          <w:tcPr>
            <w:tcW w:type="dxa" w:w="1474"/>
          </w:tcPr>
          <w:p>
            <w:pPr>
              <w:keepNext/>
              <w:spacing w:after="0"/>
              <w:jc w:val="left"/>
            </w:pPr>
            <w:r>
              <w:rPr>
                <w:sz w:val="14"/>
              </w:rPr>
              <w:t>TTM-r2</w:t>
            </w:r>
          </w:p>
        </w:tc>
        <w:tc>
          <w:tcPr>
            <w:tcW w:type="dxa" w:w="1276"/>
          </w:tcPr>
          <w:p>
            <w:pPr>
              <w:keepNext/>
              <w:spacing w:after="0"/>
              <w:jc w:val="center"/>
            </w:pPr>
            <w:r>
              <w:rPr>
                <w:sz w:val="14"/>
              </w:rPr>
              <w:t>0,755 [0,64; 0,89]</w:t>
            </w:r>
          </w:p>
        </w:tc>
        <w:tc>
          <w:tcPr>
            <w:tcW w:type="dxa" w:w="1276"/>
          </w:tcPr>
          <w:p>
            <w:pPr>
              <w:keepNext/>
              <w:spacing w:after="0"/>
              <w:jc w:val="center"/>
            </w:pPr>
            <w:r>
              <w:rPr>
                <w:sz w:val="14"/>
              </w:rPr>
              <w:t>0,673 [0,66; 0,69]</w:t>
            </w:r>
          </w:p>
        </w:tc>
        <w:tc>
          <w:tcPr>
            <w:tcW w:type="dxa" w:w="1276"/>
          </w:tcPr>
          <w:p>
            <w:pPr>
              <w:keepNext/>
              <w:spacing w:after="0"/>
              <w:jc w:val="center"/>
            </w:pPr>
            <w:r>
              <w:rPr>
                <w:sz w:val="14"/>
              </w:rPr>
              <w:t>1,151 [1,04; 1,28]</w:t>
            </w:r>
          </w:p>
        </w:tc>
        <w:tc>
          <w:tcPr>
            <w:tcW w:type="dxa" w:w="1276"/>
          </w:tcPr>
          <w:p>
            <w:pPr>
              <w:keepNext/>
              <w:spacing w:after="0"/>
              <w:jc w:val="center"/>
            </w:pPr>
            <w:r>
              <w:rPr>
                <w:sz w:val="14"/>
              </w:rPr>
              <w:t>1,543 [1,33; 1,80]</w:t>
            </w:r>
          </w:p>
        </w:tc>
        <w:tc>
          <w:tcPr>
            <w:tcW w:type="dxa" w:w="1276"/>
          </w:tcPr>
          <w:p>
            <w:pPr>
              <w:keepNext/>
              <w:spacing w:after="0"/>
              <w:jc w:val="center"/>
            </w:pPr>
            <w:r>
              <w:rPr>
                <w:sz w:val="14"/>
              </w:rPr>
              <w:t>0,932 [0,72; 1,23]</w:t>
            </w:r>
          </w:p>
        </w:tc>
        <w:tc>
          <w:tcPr>
            <w:tcW w:type="dxa" w:w="1276"/>
          </w:tcPr>
          <w:p>
            <w:pPr>
              <w:keepNext/>
              <w:spacing w:after="0"/>
              <w:jc w:val="center"/>
            </w:pPr>
            <w:r>
              <w:rPr>
                <w:sz w:val="14"/>
              </w:rPr>
              <w:t>1,121 [0,84; 1,52]</w:t>
            </w:r>
          </w:p>
        </w:tc>
      </w:tr>
      <w:tr>
        <w:tc>
          <w:tcPr>
            <w:tcW w:type="dxa" w:w="1474"/>
          </w:tcPr>
          <w:p>
            <w:pPr>
              <w:keepNext/>
              <w:spacing w:after="0"/>
              <w:jc w:val="left"/>
            </w:pPr>
            <w:r>
              <w:rPr>
                <w:sz w:val="14"/>
              </w:rPr>
              <w:t>LightGBM</w:t>
            </w:r>
          </w:p>
        </w:tc>
        <w:tc>
          <w:tcPr>
            <w:tcW w:type="dxa" w:w="1276"/>
          </w:tcPr>
          <w:p>
            <w:pPr>
              <w:keepNext/>
              <w:spacing w:after="0"/>
              <w:jc w:val="center"/>
            </w:pPr>
            <w:r>
              <w:rPr>
                <w:sz w:val="14"/>
              </w:rPr>
              <w:t>0,669 [0,61; 0,74]</w:t>
            </w:r>
          </w:p>
        </w:tc>
        <w:tc>
          <w:tcPr>
            <w:tcW w:type="dxa" w:w="1276"/>
          </w:tcPr>
          <w:p>
            <w:pPr>
              <w:keepNext/>
              <w:spacing w:after="0"/>
              <w:jc w:val="center"/>
            </w:pPr>
            <w:r>
              <w:rPr>
                <w:sz w:val="14"/>
              </w:rPr>
              <w:t>0,695 [0,68; 0,71]</w:t>
            </w:r>
          </w:p>
        </w:tc>
        <w:tc>
          <w:tcPr>
            <w:tcW w:type="dxa" w:w="1276"/>
          </w:tcPr>
          <w:p>
            <w:pPr>
              <w:keepNext/>
              <w:spacing w:after="0"/>
              <w:jc w:val="center"/>
            </w:pPr>
            <w:r>
              <w:rPr>
                <w:sz w:val="14"/>
              </w:rPr>
              <w:t>0,703 [0,65; 0,76]</w:t>
            </w:r>
          </w:p>
        </w:tc>
        <w:tc>
          <w:tcPr>
            <w:tcW w:type="dxa" w:w="1276"/>
          </w:tcPr>
          <w:p>
            <w:pPr>
              <w:keepNext/>
              <w:spacing w:after="0"/>
              <w:jc w:val="center"/>
            </w:pPr>
            <w:r>
              <w:rPr>
                <w:sz w:val="14"/>
              </w:rPr>
              <w:t>0,832 [0,75; 0,92]</w:t>
            </w:r>
          </w:p>
        </w:tc>
        <w:tc>
          <w:tcPr>
            <w:tcW w:type="dxa" w:w="1276"/>
          </w:tcPr>
          <w:p>
            <w:pPr>
              <w:keepNext/>
              <w:spacing w:after="0"/>
              <w:jc w:val="center"/>
            </w:pPr>
            <w:r>
              <w:rPr>
                <w:sz w:val="14"/>
              </w:rPr>
              <w:t>0,142 [0,05; 0,35]</w:t>
            </w:r>
          </w:p>
        </w:tc>
        <w:tc>
          <w:tcPr>
            <w:tcW w:type="dxa" w:w="1276"/>
          </w:tcPr>
          <w:p>
            <w:pPr>
              <w:keepNext/>
              <w:spacing w:after="0"/>
              <w:jc w:val="center"/>
            </w:pPr>
            <w:r>
              <w:rPr>
                <w:sz w:val="14"/>
              </w:rPr>
              <w:t>0,157 [0,05; 0,38]</w:t>
            </w:r>
          </w:p>
        </w:tc>
      </w:tr>
      <w:tr>
        <w:tc>
          <w:tcPr>
            <w:tcW w:type="dxa" w:w="1474"/>
          </w:tcPr>
          <w:p>
            <w:pPr>
              <w:keepNext/>
              <w:spacing w:after="0"/>
              <w:jc w:val="left"/>
            </w:pPr>
            <w:r>
              <w:rPr>
                <w:sz w:val="14"/>
              </w:rPr>
              <w:t>N-BEATS</w:t>
            </w:r>
          </w:p>
        </w:tc>
        <w:tc>
          <w:tcPr>
            <w:tcW w:type="dxa" w:w="1276"/>
          </w:tcPr>
          <w:p>
            <w:pPr>
              <w:keepNext/>
              <w:spacing w:after="0"/>
              <w:jc w:val="center"/>
            </w:pPr>
            <w:r>
              <w:rPr>
                <w:sz w:val="14"/>
              </w:rPr>
              <w:t>0,707 [0,60; 0,83]</w:t>
            </w:r>
          </w:p>
        </w:tc>
        <w:tc>
          <w:tcPr>
            <w:tcW w:type="dxa" w:w="1276"/>
          </w:tcPr>
          <w:p>
            <w:pPr>
              <w:keepNext/>
              <w:spacing w:after="0"/>
              <w:jc w:val="center"/>
            </w:pPr>
            <w:r>
              <w:rPr>
                <w:sz w:val="14"/>
              </w:rPr>
              <w:t>0,710 [0,69; 0,73]</w:t>
            </w:r>
          </w:p>
        </w:tc>
        <w:tc>
          <w:tcPr>
            <w:tcW w:type="dxa" w:w="1276"/>
          </w:tcPr>
          <w:p>
            <w:pPr>
              <w:keepNext/>
              <w:spacing w:after="0"/>
              <w:jc w:val="center"/>
            </w:pPr>
            <w:r>
              <w:rPr>
                <w:sz w:val="14"/>
              </w:rPr>
              <w:t>1,227 [1,09; 1,38]</w:t>
            </w:r>
          </w:p>
        </w:tc>
        <w:tc>
          <w:tcPr>
            <w:tcW w:type="dxa" w:w="1276"/>
          </w:tcPr>
          <w:p>
            <w:pPr>
              <w:keepNext/>
              <w:spacing w:after="0"/>
              <w:jc w:val="center"/>
            </w:pPr>
            <w:r>
              <w:rPr>
                <w:sz w:val="14"/>
              </w:rPr>
              <w:t>1,237 [1,08; 1,42]</w:t>
            </w:r>
          </w:p>
        </w:tc>
        <w:tc>
          <w:tcPr>
            <w:tcW w:type="dxa" w:w="1276"/>
          </w:tcPr>
          <w:p>
            <w:pPr>
              <w:keepNext/>
              <w:spacing w:after="0"/>
              <w:jc w:val="center"/>
            </w:pPr>
            <w:r>
              <w:rPr>
                <w:sz w:val="14"/>
              </w:rPr>
              <w:t>0,307 [0,19; 0,46]</w:t>
            </w:r>
          </w:p>
        </w:tc>
        <w:tc>
          <w:tcPr>
            <w:tcW w:type="dxa" w:w="1276"/>
          </w:tcPr>
          <w:p>
            <w:pPr>
              <w:keepNext/>
              <w:spacing w:after="0"/>
              <w:jc w:val="center"/>
            </w:pPr>
            <w:r>
              <w:rPr>
                <w:sz w:val="14"/>
              </w:rPr>
              <w:t>0,537 [0,40; 0,73]</w:t>
            </w:r>
          </w:p>
        </w:tc>
      </w:tr>
      <w:tr>
        <w:tc>
          <w:tcPr>
            <w:tcW w:type="dxa" w:w="1474"/>
          </w:tcPr>
          <w:p>
            <w:pPr>
              <w:keepNext/>
              <w:spacing w:after="0"/>
              <w:jc w:val="left"/>
            </w:pPr>
            <w:r>
              <w:rPr>
                <w:sz w:val="14"/>
              </w:rPr>
              <w:t>LSTM</w:t>
            </w:r>
          </w:p>
        </w:tc>
        <w:tc>
          <w:tcPr>
            <w:tcW w:type="dxa" w:w="1276"/>
          </w:tcPr>
          <w:p>
            <w:pPr>
              <w:keepNext/>
              <w:spacing w:after="0"/>
              <w:jc w:val="center"/>
            </w:pPr>
            <w:r>
              <w:rPr>
                <w:sz w:val="14"/>
              </w:rPr>
              <w:t>1,037 [0,86; 1,23]</w:t>
            </w:r>
          </w:p>
        </w:tc>
        <w:tc>
          <w:tcPr>
            <w:tcW w:type="dxa" w:w="1276"/>
          </w:tcPr>
          <w:p>
            <w:pPr>
              <w:keepNext/>
              <w:spacing w:after="0"/>
              <w:jc w:val="center"/>
            </w:pPr>
            <w:r>
              <w:rPr>
                <w:sz w:val="14"/>
              </w:rPr>
              <w:t>0,770 [0,75; 0,79]</w:t>
            </w:r>
          </w:p>
        </w:tc>
        <w:tc>
          <w:tcPr>
            <w:tcW w:type="dxa" w:w="1276"/>
          </w:tcPr>
          <w:p>
            <w:pPr>
              <w:keepNext/>
              <w:spacing w:after="0"/>
              <w:jc w:val="center"/>
            </w:pPr>
            <w:r>
              <w:rPr>
                <w:sz w:val="14"/>
              </w:rPr>
              <w:t>0,673 [0,61; 0,75]</w:t>
            </w:r>
          </w:p>
        </w:tc>
        <w:tc>
          <w:tcPr>
            <w:tcW w:type="dxa" w:w="1276"/>
          </w:tcPr>
          <w:p>
            <w:pPr>
              <w:keepNext/>
              <w:spacing w:after="0"/>
              <w:jc w:val="center"/>
            </w:pPr>
            <w:r>
              <w:rPr>
                <w:sz w:val="14"/>
              </w:rPr>
              <w:t>0,780 [0,69; 0,87]</w:t>
            </w:r>
          </w:p>
        </w:tc>
        <w:tc>
          <w:tcPr>
            <w:tcW w:type="dxa" w:w="1276"/>
          </w:tcPr>
          <w:p>
            <w:pPr>
              <w:keepNext/>
              <w:spacing w:after="0"/>
              <w:jc w:val="center"/>
            </w:pPr>
            <w:r>
              <w:rPr>
                <w:b/>
                <w:sz w:val="14"/>
              </w:rPr>
              <w:t>0,107 [0,03; 0,28]</w:t>
            </w:r>
          </w:p>
        </w:tc>
        <w:tc>
          <w:tcPr>
            <w:tcW w:type="dxa" w:w="1276"/>
          </w:tcPr>
          <w:p>
            <w:pPr>
              <w:keepNext/>
              <w:spacing w:after="0"/>
              <w:jc w:val="center"/>
            </w:pPr>
            <w:r>
              <w:rPr>
                <w:b/>
                <w:sz w:val="14"/>
              </w:rPr>
              <w:t>0,152 [0,05; 0,37]</w:t>
            </w:r>
          </w:p>
        </w:tc>
      </w:tr>
      <w:tr>
        <w:tc>
          <w:tcPr>
            <w:tcW w:type="dxa" w:w="1474"/>
          </w:tcPr>
          <w:p>
            <w:pPr>
              <w:keepNext/>
              <w:spacing w:after="0"/>
              <w:jc w:val="left"/>
            </w:pPr>
            <w:r>
              <w:rPr>
                <w:sz w:val="14"/>
              </w:rPr>
              <w:t>MSTL-ARIMA</w:t>
            </w:r>
          </w:p>
        </w:tc>
        <w:tc>
          <w:tcPr>
            <w:tcW w:type="dxa" w:w="1276"/>
          </w:tcPr>
          <w:p>
            <w:pPr>
              <w:keepNext/>
              <w:spacing w:after="0"/>
              <w:jc w:val="center"/>
            </w:pPr>
            <w:r>
              <w:rPr>
                <w:sz w:val="14"/>
              </w:rPr>
              <w:t>0,652 [0,60; 0,72]</w:t>
            </w:r>
          </w:p>
        </w:tc>
        <w:tc>
          <w:tcPr>
            <w:tcW w:type="dxa" w:w="1276"/>
          </w:tcPr>
          <w:p>
            <w:pPr>
              <w:keepNext/>
              <w:spacing w:after="0"/>
              <w:jc w:val="center"/>
            </w:pPr>
            <w:r>
              <w:rPr>
                <w:sz w:val="14"/>
              </w:rPr>
              <w:t>0,653 [0,64; 0,67]</w:t>
            </w:r>
          </w:p>
        </w:tc>
        <w:tc>
          <w:tcPr>
            <w:tcW w:type="dxa" w:w="1276"/>
          </w:tcPr>
          <w:p>
            <w:pPr>
              <w:keepNext/>
              <w:spacing w:after="0"/>
              <w:jc w:val="center"/>
            </w:pPr>
            <w:r>
              <w:rPr>
                <w:sz w:val="14"/>
              </w:rPr>
              <w:t>0,945 [0,88; 1,02]</w:t>
            </w:r>
          </w:p>
        </w:tc>
        <w:tc>
          <w:tcPr>
            <w:tcW w:type="dxa" w:w="1276"/>
          </w:tcPr>
          <w:p>
            <w:pPr>
              <w:keepNext/>
              <w:spacing w:after="0"/>
              <w:jc w:val="center"/>
            </w:pPr>
            <w:r>
              <w:rPr>
                <w:sz w:val="14"/>
              </w:rPr>
              <w:t>–</w:t>
            </w:r>
          </w:p>
        </w:tc>
        <w:tc>
          <w:tcPr>
            <w:tcW w:type="dxa" w:w="1276"/>
          </w:tcPr>
          <w:p>
            <w:pPr>
              <w:keepNext/>
              <w:spacing w:after="0"/>
              <w:jc w:val="center"/>
            </w:pPr>
            <w:r>
              <w:rPr>
                <w:sz w:val="14"/>
              </w:rPr>
              <w:t>0,908 [0,73; 1,18]</w:t>
            </w:r>
          </w:p>
        </w:tc>
        <w:tc>
          <w:tcPr>
            <w:tcW w:type="dxa" w:w="1276"/>
          </w:tcPr>
          <w:p>
            <w:pPr>
              <w:keepNext/>
              <w:spacing w:after="0"/>
              <w:jc w:val="center"/>
            </w:pPr>
            <w:r>
              <w:rPr>
                <w:sz w:val="14"/>
              </w:rPr>
              <w:t>–</w:t>
            </w:r>
          </w:p>
        </w:tc>
      </w:tr>
      <w:tr>
        <w:tc>
          <w:tcPr>
            <w:tcW w:type="dxa" w:w="1474"/>
          </w:tcPr>
          <w:p>
            <w:pPr>
              <w:keepNext/>
              <w:spacing w:after="0"/>
              <w:jc w:val="left"/>
            </w:pPr>
            <w:r>
              <w:rPr>
                <w:sz w:val="14"/>
              </w:rPr>
              <w:t>MSTL-ETS</w:t>
            </w:r>
          </w:p>
        </w:tc>
        <w:tc>
          <w:tcPr>
            <w:tcW w:type="dxa" w:w="1276"/>
          </w:tcPr>
          <w:p>
            <w:pPr>
              <w:keepNext/>
              <w:spacing w:after="0"/>
              <w:jc w:val="center"/>
            </w:pPr>
            <w:r>
              <w:rPr>
                <w:sz w:val="14"/>
              </w:rPr>
              <w:t>0,647 [0,59; 0,71]</w:t>
            </w:r>
          </w:p>
        </w:tc>
        <w:tc>
          <w:tcPr>
            <w:tcW w:type="dxa" w:w="1276"/>
          </w:tcPr>
          <w:p>
            <w:pPr>
              <w:keepNext/>
              <w:spacing w:after="0"/>
              <w:jc w:val="center"/>
            </w:pPr>
            <w:r>
              <w:rPr>
                <w:sz w:val="14"/>
              </w:rPr>
              <w:t>0,698 [0,68; 0,72]</w:t>
            </w:r>
          </w:p>
        </w:tc>
        <w:tc>
          <w:tcPr>
            <w:tcW w:type="dxa" w:w="1276"/>
          </w:tcPr>
          <w:p>
            <w:pPr>
              <w:keepNext/>
              <w:spacing w:after="0"/>
              <w:jc w:val="center"/>
            </w:pPr>
            <w:r>
              <w:rPr>
                <w:sz w:val="14"/>
              </w:rPr>
              <w:t>0,963 [0,89; 1,04]</w:t>
            </w:r>
          </w:p>
        </w:tc>
        <w:tc>
          <w:tcPr>
            <w:tcW w:type="dxa" w:w="1276"/>
          </w:tcPr>
          <w:p>
            <w:pPr>
              <w:keepNext/>
              <w:spacing w:after="0"/>
              <w:jc w:val="center"/>
            </w:pPr>
            <w:r>
              <w:rPr>
                <w:sz w:val="14"/>
              </w:rPr>
              <w:t>–</w:t>
            </w:r>
          </w:p>
        </w:tc>
        <w:tc>
          <w:tcPr>
            <w:tcW w:type="dxa" w:w="1276"/>
          </w:tcPr>
          <w:p>
            <w:pPr>
              <w:keepNext/>
              <w:spacing w:after="0"/>
              <w:jc w:val="center"/>
            </w:pPr>
            <w:r>
              <w:rPr>
                <w:sz w:val="14"/>
              </w:rPr>
              <w:t>0,969 [0,78; 1,26]</w:t>
            </w:r>
          </w:p>
        </w:tc>
        <w:tc>
          <w:tcPr>
            <w:tcW w:type="dxa" w:w="1276"/>
          </w:tcPr>
          <w:p>
            <w:pPr>
              <w:keepNext/>
              <w:spacing w:after="0"/>
              <w:jc w:val="center"/>
            </w:pPr>
            <w:r>
              <w:rPr>
                <w:sz w:val="14"/>
              </w:rPr>
              <w:t>–</w:t>
            </w:r>
          </w:p>
        </w:tc>
      </w:tr>
      <w:tr>
        <w:tc>
          <w:tcPr>
            <w:tcW w:type="dxa" w:w="1474"/>
          </w:tcPr>
          <w:p>
            <w:pPr>
              <w:keepNext/>
              <w:spacing w:after="0"/>
              <w:jc w:val="left"/>
            </w:pPr>
            <w:r>
              <w:rPr>
                <w:sz w:val="14"/>
              </w:rPr>
              <w:t>ETS</w:t>
            </w:r>
          </w:p>
        </w:tc>
        <w:tc>
          <w:tcPr>
            <w:tcW w:type="dxa" w:w="1276"/>
          </w:tcPr>
          <w:p>
            <w:pPr>
              <w:keepNext/>
              <w:spacing w:after="0"/>
              <w:jc w:val="center"/>
            </w:pPr>
            <w:r>
              <w:rPr>
                <w:sz w:val="14"/>
              </w:rPr>
              <w:t>0,886 [0,73; 1,07]</w:t>
            </w:r>
          </w:p>
        </w:tc>
        <w:tc>
          <w:tcPr>
            <w:tcW w:type="dxa" w:w="1276"/>
          </w:tcPr>
          <w:p>
            <w:pPr>
              <w:keepNext/>
              <w:spacing w:after="0"/>
              <w:jc w:val="center"/>
            </w:pPr>
            <w:r>
              <w:rPr>
                <w:sz w:val="14"/>
              </w:rPr>
              <w:t>0,780 [0,76; 0,81]</w:t>
            </w:r>
          </w:p>
        </w:tc>
        <w:tc>
          <w:tcPr>
            <w:tcW w:type="dxa" w:w="1276"/>
          </w:tcPr>
          <w:p>
            <w:pPr>
              <w:keepNext/>
              <w:spacing w:after="0"/>
              <w:jc w:val="center"/>
            </w:pPr>
            <w:r>
              <w:rPr>
                <w:sz w:val="14"/>
              </w:rPr>
              <w:t>0,945 [0,81; 1,10]</w:t>
            </w:r>
          </w:p>
        </w:tc>
        <w:tc>
          <w:tcPr>
            <w:tcW w:type="dxa" w:w="1276"/>
          </w:tcPr>
          <w:p>
            <w:pPr>
              <w:keepNext/>
              <w:spacing w:after="0"/>
              <w:jc w:val="center"/>
            </w:pPr>
            <w:r>
              <w:rPr>
                <w:sz w:val="14"/>
              </w:rPr>
              <w:t>1,236 [1,00; 1,52]</w:t>
            </w:r>
          </w:p>
        </w:tc>
        <w:tc>
          <w:tcPr>
            <w:tcW w:type="dxa" w:w="1276"/>
          </w:tcPr>
          <w:p>
            <w:pPr>
              <w:keepNext/>
              <w:spacing w:after="0"/>
              <w:jc w:val="center"/>
            </w:pPr>
            <w:r>
              <w:rPr>
                <w:sz w:val="14"/>
              </w:rPr>
              <w:t>0,476 [0,21; 0,86]</w:t>
            </w:r>
          </w:p>
        </w:tc>
        <w:tc>
          <w:tcPr>
            <w:tcW w:type="dxa" w:w="1276"/>
          </w:tcPr>
          <w:p>
            <w:pPr>
              <w:keepNext/>
              <w:spacing w:after="0"/>
              <w:jc w:val="center"/>
            </w:pPr>
            <w:r>
              <w:rPr>
                <w:sz w:val="14"/>
              </w:rPr>
              <w:t>0,693 [0,40; 1,15]</w:t>
            </w:r>
          </w:p>
        </w:tc>
      </w:tr>
      <w:tr>
        <w:tc>
          <w:tcPr>
            <w:tcW w:type="dxa" w:w="1474"/>
          </w:tcPr>
          <w:p>
            <w:pPr>
              <w:keepNext/>
              <w:spacing w:after="0"/>
              <w:jc w:val="left"/>
            </w:pPr>
            <w:r>
              <w:rPr>
                <w:sz w:val="14"/>
              </w:rPr>
              <w:t>Naive</w:t>
            </w:r>
          </w:p>
        </w:tc>
        <w:tc>
          <w:tcPr>
            <w:tcW w:type="dxa" w:w="1276"/>
          </w:tcPr>
          <w:p>
            <w:pPr>
              <w:keepNext/>
              <w:spacing w:after="0"/>
              <w:jc w:val="center"/>
            </w:pPr>
            <w:r>
              <w:rPr>
                <w:sz w:val="14"/>
              </w:rPr>
              <w:t>0,928 [0,76; 1,12]</w:t>
            </w:r>
          </w:p>
        </w:tc>
        <w:tc>
          <w:tcPr>
            <w:tcW w:type="dxa" w:w="1276"/>
          </w:tcPr>
          <w:p>
            <w:pPr>
              <w:keepNext/>
              <w:spacing w:after="0"/>
              <w:jc w:val="center"/>
            </w:pPr>
            <w:r>
              <w:rPr>
                <w:sz w:val="14"/>
              </w:rPr>
              <w:t>0,844 [0,82; 0,87]</w:t>
            </w:r>
          </w:p>
        </w:tc>
        <w:tc>
          <w:tcPr>
            <w:tcW w:type="dxa" w:w="1276"/>
          </w:tcPr>
          <w:p>
            <w:pPr>
              <w:keepNext/>
              <w:spacing w:after="0"/>
              <w:jc w:val="center"/>
            </w:pPr>
            <w:r>
              <w:rPr>
                <w:sz w:val="14"/>
              </w:rPr>
              <w:t>0,846 [0,69; 1,03]</w:t>
            </w:r>
          </w:p>
        </w:tc>
        <w:tc>
          <w:tcPr>
            <w:tcW w:type="dxa" w:w="1276"/>
          </w:tcPr>
          <w:p>
            <w:pPr>
              <w:keepNext/>
              <w:spacing w:after="0"/>
              <w:jc w:val="center"/>
            </w:pPr>
            <w:r>
              <w:rPr>
                <w:sz w:val="14"/>
              </w:rPr>
              <w:t>1,146 [0,91; 1,42]</w:t>
            </w:r>
          </w:p>
        </w:tc>
        <w:tc>
          <w:tcPr>
            <w:tcW w:type="dxa" w:w="1276"/>
          </w:tcPr>
          <w:p>
            <w:pPr>
              <w:keepNext/>
              <w:spacing w:after="0"/>
              <w:jc w:val="center"/>
            </w:pPr>
            <w:r>
              <w:rPr>
                <w:sz w:val="14"/>
              </w:rPr>
              <w:t>0,133 [0,04; 0,36]</w:t>
            </w:r>
          </w:p>
        </w:tc>
        <w:tc>
          <w:tcPr>
            <w:tcW w:type="dxa" w:w="1276"/>
          </w:tcPr>
          <w:p>
            <w:pPr>
              <w:keepNext/>
              <w:spacing w:after="0"/>
              <w:jc w:val="center"/>
            </w:pPr>
            <w:r>
              <w:rPr>
                <w:sz w:val="14"/>
              </w:rPr>
              <w:t>0,185 [0,06; 0,47]</w:t>
            </w:r>
          </w:p>
        </w:tc>
      </w:tr>
      <w:tr>
        <w:tc>
          <w:tcPr>
            <w:tcW w:type="dxa" w:w="1474"/>
          </w:tcPr>
          <w:p>
            <w:pPr>
              <w:keepNext/>
              <w:spacing w:after="0"/>
              <w:jc w:val="left"/>
            </w:pPr>
            <w:r>
              <w:rPr>
                <w:sz w:val="14"/>
              </w:rPr>
              <w:t>Seasonal naive</w:t>
            </w:r>
          </w:p>
        </w:tc>
        <w:tc>
          <w:tcPr>
            <w:tcW w:type="dxa" w:w="1276"/>
          </w:tcPr>
          <w:p>
            <w:pPr>
              <w:keepNext/>
              <w:spacing w:after="0"/>
              <w:jc w:val="center"/>
            </w:pPr>
            <w:r>
              <w:rPr>
                <w:sz w:val="14"/>
              </w:rPr>
              <w:t>1,000 [1,00; 1,00]</w:t>
            </w:r>
          </w:p>
        </w:tc>
        <w:tc>
          <w:tcPr>
            <w:tcW w:type="dxa" w:w="1276"/>
          </w:tcPr>
          <w:p>
            <w:pPr>
              <w:keepNext/>
              <w:spacing w:after="0"/>
              <w:jc w:val="center"/>
            </w:pPr>
            <w:r>
              <w:rPr>
                <w:sz w:val="14"/>
              </w:rPr>
              <w:t>1,000 [1,00; 1,00]</w:t>
            </w:r>
          </w:p>
        </w:tc>
        <w:tc>
          <w:tcPr>
            <w:tcW w:type="dxa" w:w="1276"/>
          </w:tcPr>
          <w:p>
            <w:pPr>
              <w:keepNext/>
              <w:spacing w:after="0"/>
              <w:jc w:val="center"/>
            </w:pPr>
            <w:r>
              <w:rPr>
                <w:sz w:val="14"/>
              </w:rPr>
              <w:t>1,000 [1,00; 1,00]</w:t>
            </w:r>
          </w:p>
        </w:tc>
        <w:tc>
          <w:tcPr>
            <w:tcW w:type="dxa" w:w="1276"/>
          </w:tcPr>
          <w:p>
            <w:pPr>
              <w:keepNext/>
              <w:spacing w:after="0"/>
              <w:jc w:val="center"/>
            </w:pPr>
            <w:r>
              <w:rPr>
                <w:sz w:val="14"/>
              </w:rPr>
              <w:t>1,000 [1,00; 1,00]</w:t>
            </w:r>
          </w:p>
        </w:tc>
        <w:tc>
          <w:tcPr>
            <w:tcW w:type="dxa" w:w="1276"/>
          </w:tcPr>
          <w:p>
            <w:pPr>
              <w:keepNext/>
              <w:spacing w:after="0"/>
              <w:jc w:val="center"/>
            </w:pPr>
            <w:r>
              <w:rPr>
                <w:sz w:val="14"/>
              </w:rPr>
              <w:t>1,000 [1,00; 1,00]</w:t>
            </w:r>
          </w:p>
        </w:tc>
        <w:tc>
          <w:tcPr>
            <w:tcW w:type="dxa" w:w="1276"/>
          </w:tcPr>
          <w:p>
            <w:pPr>
              <w:keepNext/>
              <w:spacing w:after="0"/>
              <w:jc w:val="center"/>
            </w:pPr>
            <w:r>
              <w:rPr>
                <w:sz w:val="14"/>
              </w:rPr>
              <w:t>1,000 [1,00; 1,00]</w:t>
            </w:r>
          </w:p>
        </w:tc>
      </w:tr>
      <w:tr>
        <w:tc>
          <w:tcPr>
            <w:tcW w:type="dxa" w:w="1474"/>
          </w:tcPr>
          <w:p>
            <w:pPr>
              <w:keepNext/>
              <w:spacing w:after="0"/>
              <w:jc w:val="left"/>
            </w:pPr>
            <w:r>
              <w:rPr>
                <w:sz w:val="14"/>
              </w:rPr>
              <w:t>SWA-3</w:t>
            </w:r>
          </w:p>
        </w:tc>
        <w:tc>
          <w:tcPr>
            <w:tcW w:type="dxa" w:w="1276"/>
          </w:tcPr>
          <w:p>
            <w:pPr>
              <w:keepNext/>
              <w:spacing w:after="0"/>
              <w:jc w:val="center"/>
            </w:pPr>
            <w:r>
              <w:rPr>
                <w:sz w:val="14"/>
              </w:rPr>
              <w:t>1,002 [0,96; 1,05]</w:t>
            </w:r>
          </w:p>
        </w:tc>
        <w:tc>
          <w:tcPr>
            <w:tcW w:type="dxa" w:w="1276"/>
          </w:tcPr>
          <w:p>
            <w:pPr>
              <w:keepNext/>
              <w:spacing w:after="0"/>
              <w:jc w:val="center"/>
            </w:pPr>
            <w:r>
              <w:rPr>
                <w:sz w:val="14"/>
              </w:rPr>
              <w:t>0,868 [0,86; 0,88]</w:t>
            </w:r>
          </w:p>
        </w:tc>
        <w:tc>
          <w:tcPr>
            <w:tcW w:type="dxa" w:w="1276"/>
          </w:tcPr>
          <w:p>
            <w:pPr>
              <w:keepNext/>
              <w:spacing w:after="0"/>
              <w:jc w:val="center"/>
            </w:pPr>
            <w:r>
              <w:rPr>
                <w:sz w:val="14"/>
              </w:rPr>
              <w:t>1,150 [1,10; 1,21]</w:t>
            </w:r>
          </w:p>
        </w:tc>
        <w:tc>
          <w:tcPr>
            <w:tcW w:type="dxa" w:w="1276"/>
          </w:tcPr>
          <w:p>
            <w:pPr>
              <w:keepNext/>
              <w:spacing w:after="0"/>
              <w:jc w:val="center"/>
            </w:pPr>
            <w:r>
              <w:rPr>
                <w:sz w:val="14"/>
              </w:rPr>
              <w:t>1,125 [1,08; 1,17]</w:t>
            </w:r>
          </w:p>
        </w:tc>
        <w:tc>
          <w:tcPr>
            <w:tcW w:type="dxa" w:w="1276"/>
          </w:tcPr>
          <w:p>
            <w:pPr>
              <w:keepNext/>
              <w:spacing w:after="0"/>
              <w:jc w:val="center"/>
            </w:pPr>
            <w:r>
              <w:rPr>
                <w:sz w:val="14"/>
              </w:rPr>
              <w:t>1,005 [0,91; 1,12]</w:t>
            </w:r>
          </w:p>
        </w:tc>
        <w:tc>
          <w:tcPr>
            <w:tcW w:type="dxa" w:w="1276"/>
          </w:tcPr>
          <w:p>
            <w:pPr>
              <w:keepNext/>
              <w:spacing w:after="0"/>
              <w:jc w:val="center"/>
            </w:pPr>
            <w:r>
              <w:rPr>
                <w:sz w:val="14"/>
              </w:rPr>
              <w:t>1,017 [0,92; 1,13]</w:t>
            </w:r>
          </w:p>
        </w:tc>
      </w:tr>
      <w:tr>
        <w:tc>
          <w:tcPr>
            <w:tcW w:type="dxa" w:w="1474"/>
          </w:tcPr>
          <w:p>
            <w:pPr>
              <w:keepNext/>
              <w:spacing w:after="0"/>
              <w:jc w:val="left"/>
            </w:pPr>
            <w:r>
              <w:rPr>
                <w:sz w:val="14"/>
              </w:rPr>
              <w:t>Croston</w:t>
            </w:r>
          </w:p>
        </w:tc>
        <w:tc>
          <w:tcPr>
            <w:tcW w:type="dxa" w:w="1276"/>
          </w:tcPr>
          <w:p>
            <w:pPr>
              <w:keepNext/>
              <w:spacing w:after="0"/>
              <w:jc w:val="center"/>
            </w:pPr>
            <w:r>
              <w:rPr>
                <w:sz w:val="14"/>
              </w:rPr>
              <w:t>1,024 [0,84; 1,24]</w:t>
            </w:r>
          </w:p>
        </w:tc>
        <w:tc>
          <w:tcPr>
            <w:tcW w:type="dxa" w:w="1276"/>
          </w:tcPr>
          <w:p>
            <w:pPr>
              <w:keepNext/>
              <w:spacing w:after="0"/>
              <w:jc w:val="center"/>
            </w:pPr>
            <w:r>
              <w:rPr>
                <w:sz w:val="14"/>
              </w:rPr>
              <w:t>0,730 [0,71; 0,75]</w:t>
            </w:r>
          </w:p>
        </w:tc>
        <w:tc>
          <w:tcPr>
            <w:tcW w:type="dxa" w:w="1276"/>
          </w:tcPr>
          <w:p>
            <w:pPr>
              <w:keepNext/>
              <w:spacing w:after="0"/>
              <w:jc w:val="center"/>
            </w:pPr>
            <w:r>
              <w:rPr>
                <w:sz w:val="14"/>
              </w:rPr>
              <w:t>0,919 [0,75; 1,12]</w:t>
            </w:r>
          </w:p>
        </w:tc>
        <w:tc>
          <w:tcPr>
            <w:tcW w:type="dxa" w:w="1276"/>
          </w:tcPr>
          <w:p>
            <w:pPr>
              <w:keepNext/>
              <w:spacing w:after="0"/>
              <w:jc w:val="center"/>
            </w:pPr>
            <w:r>
              <w:rPr>
                <w:sz w:val="14"/>
              </w:rPr>
              <w:t>1,282 [1,00; 1,59]</w:t>
            </w:r>
          </w:p>
        </w:tc>
        <w:tc>
          <w:tcPr>
            <w:tcW w:type="dxa" w:w="1276"/>
          </w:tcPr>
          <w:p>
            <w:pPr>
              <w:keepNext/>
              <w:spacing w:after="0"/>
              <w:jc w:val="center"/>
            </w:pPr>
            <w:r>
              <w:rPr>
                <w:sz w:val="14"/>
              </w:rPr>
              <w:t>1,574 [1,18; 2,21]</w:t>
            </w:r>
          </w:p>
        </w:tc>
        <w:tc>
          <w:tcPr>
            <w:tcW w:type="dxa" w:w="1276"/>
          </w:tcPr>
          <w:p>
            <w:pPr>
              <w:keepNext/>
              <w:spacing w:after="0"/>
              <w:jc w:val="center"/>
            </w:pPr>
            <w:r>
              <w:rPr>
                <w:sz w:val="14"/>
              </w:rPr>
              <w:t>2,240 [1,62; 3,20]</w:t>
            </w:r>
          </w:p>
        </w:tc>
      </w:tr>
      <w:tr>
        <w:tc>
          <w:tcPr>
            <w:tcW w:type="dxa" w:w="1474"/>
            <w:tcBorders>
              <w:bottom w:val="single" w:sz="8" w:color="000000"/>
            </w:tcBorders>
          </w:tcPr>
          <w:p>
            <w:pPr>
              <w:keepNext w:val="0"/>
              <w:spacing w:after="0"/>
              <w:jc w:val="left"/>
            </w:pPr>
            <w:r>
              <w:rPr>
                <w:sz w:val="14"/>
              </w:rPr>
              <w:t>TSB</w:t>
            </w:r>
          </w:p>
        </w:tc>
        <w:tc>
          <w:tcPr>
            <w:tcW w:type="dxa" w:w="1276"/>
            <w:tcBorders>
              <w:bottom w:val="single" w:sz="8" w:color="000000"/>
            </w:tcBorders>
          </w:tcPr>
          <w:p>
            <w:pPr>
              <w:keepNext w:val="0"/>
              <w:spacing w:after="0"/>
              <w:jc w:val="center"/>
            </w:pPr>
            <w:r>
              <w:rPr>
                <w:sz w:val="14"/>
              </w:rPr>
              <w:t>1,286 [1,04; 1,56]</w:t>
            </w:r>
          </w:p>
        </w:tc>
        <w:tc>
          <w:tcPr>
            <w:tcW w:type="dxa" w:w="1276"/>
            <w:tcBorders>
              <w:bottom w:val="single" w:sz="8" w:color="000000"/>
            </w:tcBorders>
          </w:tcPr>
          <w:p>
            <w:pPr>
              <w:keepNext w:val="0"/>
              <w:spacing w:after="0"/>
              <w:jc w:val="center"/>
            </w:pPr>
            <w:r>
              <w:rPr>
                <w:sz w:val="14"/>
              </w:rPr>
              <w:t>0,750 [0,73; 0,77]</w:t>
            </w:r>
          </w:p>
        </w:tc>
        <w:tc>
          <w:tcPr>
            <w:tcW w:type="dxa" w:w="1276"/>
            <w:tcBorders>
              <w:bottom w:val="single" w:sz="8" w:color="000000"/>
            </w:tcBorders>
          </w:tcPr>
          <w:p>
            <w:pPr>
              <w:keepNext w:val="0"/>
              <w:spacing w:after="0"/>
              <w:jc w:val="center"/>
            </w:pPr>
            <w:r>
              <w:rPr>
                <w:sz w:val="14"/>
              </w:rPr>
              <w:t>0,900 [0,74; 1,09]</w:t>
            </w:r>
          </w:p>
        </w:tc>
        <w:tc>
          <w:tcPr>
            <w:tcW w:type="dxa" w:w="1276"/>
            <w:tcBorders>
              <w:bottom w:val="single" w:sz="8" w:color="000000"/>
            </w:tcBorders>
          </w:tcPr>
          <w:p>
            <w:pPr>
              <w:keepNext w:val="0"/>
              <w:spacing w:after="0"/>
              <w:jc w:val="center"/>
            </w:pPr>
            <w:r>
              <w:rPr>
                <w:sz w:val="14"/>
              </w:rPr>
              <w:t>1,140 [0,89; 1,41]</w:t>
            </w:r>
          </w:p>
        </w:tc>
        <w:tc>
          <w:tcPr>
            <w:tcW w:type="dxa" w:w="1276"/>
            <w:tcBorders>
              <w:bottom w:val="single" w:sz="8" w:color="000000"/>
            </w:tcBorders>
          </w:tcPr>
          <w:p>
            <w:pPr>
              <w:keepNext w:val="0"/>
              <w:spacing w:after="0"/>
              <w:jc w:val="center"/>
            </w:pPr>
            <w:r>
              <w:rPr>
                <w:sz w:val="14"/>
              </w:rPr>
              <w:t>0,358 [0,15; 0,75]</w:t>
            </w:r>
          </w:p>
        </w:tc>
        <w:tc>
          <w:tcPr>
            <w:tcW w:type="dxa" w:w="1276"/>
            <w:tcBorders>
              <w:bottom w:val="single" w:sz="8" w:color="000000"/>
            </w:tcBorders>
          </w:tcPr>
          <w:p>
            <w:pPr>
              <w:keepNext w:val="0"/>
              <w:spacing w:after="0"/>
              <w:jc w:val="center"/>
            </w:pPr>
            <w:r>
              <w:rPr>
                <w:sz w:val="14"/>
              </w:rPr>
              <w:t>0,232 [0,08; 0,60]</w:t>
            </w:r>
          </w:p>
        </w:tc>
      </w:tr>
    </w:tbl>
    <w:p>
      <w:pPr>
        <w:spacing w:after="40"/>
      </w:pPr>
    </w:p>
    <w:p>
      <w:pPr>
        <w:jc w:val="both"/>
      </w:pPr>
      <w:r>
        <w:rPr/>
        <w:t>Tabel 3 memperlihatkan dua kelompok dataset dengan pola berlawanan. Pada Huawei, Alibaba, dan Azure 2019, posisi teratas selalu diisi TimesFM-3, Chronos-2, atau Toto. Di Azure 2019 resolusi 5 menit, relMASE TimesFM-3 adalah 0,468 [0,43; 0,51], sedangkan baseline terbaik (LSTM) 0,673 [0,61; 0,75]. Interval keduanya tidak bersinggungan, dan selisihnya setara dengan penurunan error 30%. Di Huawei selisihnya 28% (Chronos-2 0,467 vs MSTL-ETS 0,647). Alibaba paling ketat: TimesFM-3 0,610 vs MSTL-ARIMA 0,653, dan pada horizon 5 menit keduanya hampir sama (0,540 vs 0,547).</w:t>
      </w:r>
    </w:p>
    <w:p>
      <w:pPr>
        <w:jc w:val="both"/>
      </w:pPr>
      <w:r>
        <w:rPr/>
        <w:t>Pada Azure 2021 urutannya terbalik. LSTM (0,107), naive (0,133), dan LightGBM (0,142) jauh lebih baik daripada TSFM terbaik (Toto 0,244). Seluruh aplikasi di trace ini tergolong intermittent atau lumpy, dan 42 dari 119 aplikasi praktis tidak aktif selama periode test. Baseline yang meramalkan nol mendapat error hampir nol pada aplikasi seperti itu, sedangkan TSFM terus menghasilkan nilai kecil positif.</w:t>
      </w:r>
    </w:p>
    <w:p>
      <w:pPr>
        <w:jc w:val="both"/>
      </w:pPr>
      <w:r>
        <w:rPr/>
        <w:t>Ukuran model juga berpengaruh. Model kecil (TTM-r2, Chronos-Bolt-small) kalah dari LightGBM di sebagian besar dataset; di Azure 2019 resolusi 1 menit TTM-r2 bahkan 54% lebih buruk daripada seasonal naive. Label zero-shot tidak menjamin apa pun, dan keunggulan di atas hanya berlaku untuk model besar terbaru.</w:t>
      </w:r>
    </w:p>
    <w:p>
      <w:pPr>
        <w:keepNext/>
      </w:pPr>
      <w:r>
        <w:rPr>
          <w:b/>
          <w:sz w:val="19"/>
        </w:rPr>
        <w:t>Tabel 4.</w:t>
      </w:r>
      <w:r>
        <w:rPr>
          <w:sz w:val="19"/>
        </w:rPr>
        <w:t xml:space="preserve"> relMASE per kelas pola (deret dengan MAE seasonal naive nol dikeluarkan, sehingga n lebih kecil daripada Tabel 1).</w:t>
      </w:r>
    </w:p>
    <w:tbl>
      <w:tblPr>
        <w:tblW w:type="auto" w:w="0"/>
        <w:jc w:val="center"/>
        <w:tblLayout w:type="fixed"/>
        <w:tblLook w:firstColumn="1" w:firstRow="1" w:lastColumn="0" w:lastRow="0" w:noHBand="0" w:noVBand="1" w:val="04A0"/>
        <w:tblLayout w:type="fixed"/>
      </w:tblPr>
      <w:tblGrid>
        <w:gridCol w:w="2041"/>
        <w:gridCol w:w="1701"/>
        <w:gridCol w:w="1928"/>
        <w:gridCol w:w="1928"/>
      </w:tblGrid>
      <w:tr>
        <w:tc>
          <w:tcPr>
            <w:tcW w:type="dxa" w:w="2041"/>
            <w:tcBorders>
              <w:top w:val="single" w:sz="8" w:color="000000"/>
              <w:bottom w:val="single" w:sz="4" w:color="000000"/>
            </w:tcBorders>
          </w:tcPr>
          <w:p>
            <w:pPr>
              <w:keepNext/>
              <w:spacing w:after="0"/>
              <w:jc w:val="left"/>
            </w:pPr>
            <w:r>
              <w:rPr>
                <w:b/>
                <w:sz w:val="17"/>
              </w:rPr>
              <w:t>Dataset, horizon</w:t>
            </w:r>
          </w:p>
        </w:tc>
        <w:tc>
          <w:tcPr>
            <w:tcW w:type="dxa" w:w="1701"/>
            <w:tcBorders>
              <w:top w:val="single" w:sz="8" w:color="000000"/>
              <w:bottom w:val="single" w:sz="4" w:color="000000"/>
            </w:tcBorders>
          </w:tcPr>
          <w:p>
            <w:pPr>
              <w:keepNext/>
              <w:spacing w:after="0"/>
              <w:jc w:val="center"/>
            </w:pPr>
            <w:r>
              <w:rPr>
                <w:b/>
                <w:sz w:val="17"/>
              </w:rPr>
              <w:t>Kelas (n)</w:t>
            </w:r>
          </w:p>
        </w:tc>
        <w:tc>
          <w:tcPr>
            <w:tcW w:type="dxa" w:w="1928"/>
            <w:tcBorders>
              <w:top w:val="single" w:sz="8" w:color="000000"/>
              <w:bottom w:val="single" w:sz="4" w:color="000000"/>
            </w:tcBorders>
          </w:tcPr>
          <w:p>
            <w:pPr>
              <w:keepNext/>
              <w:spacing w:after="0"/>
              <w:jc w:val="center"/>
            </w:pPr>
            <w:r>
              <w:rPr>
                <w:b/>
                <w:sz w:val="17"/>
              </w:rPr>
              <w:t>TSFM terbaik</w:t>
            </w:r>
          </w:p>
        </w:tc>
        <w:tc>
          <w:tcPr>
            <w:tcW w:type="dxa" w:w="1928"/>
            <w:tcBorders>
              <w:top w:val="single" w:sz="8" w:color="000000"/>
              <w:bottom w:val="single" w:sz="4" w:color="000000"/>
            </w:tcBorders>
          </w:tcPr>
          <w:p>
            <w:pPr>
              <w:keepNext/>
              <w:spacing w:after="0"/>
              <w:jc w:val="center"/>
            </w:pPr>
            <w:r>
              <w:rPr>
                <w:b/>
                <w:sz w:val="17"/>
              </w:rPr>
              <w:t>Baseline terbaik</w:t>
            </w:r>
          </w:p>
        </w:tc>
      </w:tr>
      <w:tr>
        <w:tc>
          <w:tcPr>
            <w:tcW w:type="dxa" w:w="2041"/>
          </w:tcPr>
          <w:p>
            <w:pPr>
              <w:keepNext/>
              <w:spacing w:after="0"/>
              <w:jc w:val="left"/>
            </w:pPr>
            <w:r>
              <w:rPr>
                <w:sz w:val="17"/>
              </w:rPr>
              <w:t>Azure19 5m, 60 mnt</w:t>
            </w:r>
          </w:p>
        </w:tc>
        <w:tc>
          <w:tcPr>
            <w:tcW w:type="dxa" w:w="1701"/>
          </w:tcPr>
          <w:p>
            <w:pPr>
              <w:keepNext/>
              <w:spacing w:after="0"/>
              <w:jc w:val="center"/>
            </w:pPr>
            <w:r>
              <w:rPr>
                <w:sz w:val="17"/>
              </w:rPr>
              <w:t>smooth (209)</w:t>
            </w:r>
          </w:p>
        </w:tc>
        <w:tc>
          <w:tcPr>
            <w:tcW w:type="dxa" w:w="1928"/>
          </w:tcPr>
          <w:p>
            <w:pPr>
              <w:keepNext/>
              <w:spacing w:after="0"/>
              <w:jc w:val="center"/>
            </w:pPr>
            <w:r>
              <w:rPr>
                <w:sz w:val="17"/>
              </w:rPr>
              <w:t>0,451 TimesFM-3</w:t>
            </w:r>
          </w:p>
        </w:tc>
        <w:tc>
          <w:tcPr>
            <w:tcW w:type="dxa" w:w="1928"/>
          </w:tcPr>
          <w:p>
            <w:pPr>
              <w:keepNext/>
              <w:spacing w:after="0"/>
              <w:jc w:val="center"/>
            </w:pPr>
            <w:r>
              <w:rPr>
                <w:sz w:val="17"/>
              </w:rPr>
              <w:t>0,640 LSTM</w:t>
            </w:r>
          </w:p>
        </w:tc>
      </w:tr>
      <w:tr>
        <w:tc>
          <w:tcPr>
            <w:tcW w:type="dxa" w:w="2041"/>
          </w:tcPr>
          <w:p>
            <w:pPr>
              <w:keepNext/>
              <w:spacing w:after="0"/>
              <w:jc w:val="left"/>
            </w:pPr>
            <w:r>
              <w:rPr>
                <w:sz w:val="17"/>
              </w:rPr>
            </w:r>
          </w:p>
        </w:tc>
        <w:tc>
          <w:tcPr>
            <w:tcW w:type="dxa" w:w="1701"/>
          </w:tcPr>
          <w:p>
            <w:pPr>
              <w:keepNext/>
              <w:spacing w:after="0"/>
              <w:jc w:val="center"/>
            </w:pPr>
            <w:r>
              <w:rPr>
                <w:sz w:val="17"/>
              </w:rPr>
              <w:t>erratic (140)</w:t>
            </w:r>
          </w:p>
        </w:tc>
        <w:tc>
          <w:tcPr>
            <w:tcW w:type="dxa" w:w="1928"/>
          </w:tcPr>
          <w:p>
            <w:pPr>
              <w:keepNext/>
              <w:spacing w:after="0"/>
              <w:jc w:val="center"/>
            </w:pPr>
            <w:r>
              <w:rPr>
                <w:sz w:val="17"/>
              </w:rPr>
              <w:t>0,455 TimesFM-3</w:t>
            </w:r>
          </w:p>
        </w:tc>
        <w:tc>
          <w:tcPr>
            <w:tcW w:type="dxa" w:w="1928"/>
          </w:tcPr>
          <w:p>
            <w:pPr>
              <w:keepNext/>
              <w:spacing w:after="0"/>
              <w:jc w:val="center"/>
            </w:pPr>
            <w:r>
              <w:rPr>
                <w:sz w:val="17"/>
              </w:rPr>
              <w:t>0,593 LSTM</w:t>
            </w:r>
          </w:p>
        </w:tc>
      </w:tr>
      <w:tr>
        <w:tc>
          <w:tcPr>
            <w:tcW w:type="dxa" w:w="2041"/>
          </w:tcPr>
          <w:p>
            <w:pPr>
              <w:keepNext/>
              <w:spacing w:after="0"/>
              <w:jc w:val="left"/>
            </w:pPr>
            <w:r>
              <w:rPr>
                <w:sz w:val="17"/>
              </w:rPr>
            </w:r>
          </w:p>
        </w:tc>
        <w:tc>
          <w:tcPr>
            <w:tcW w:type="dxa" w:w="1701"/>
          </w:tcPr>
          <w:p>
            <w:pPr>
              <w:keepNext/>
              <w:spacing w:after="0"/>
              <w:jc w:val="center"/>
            </w:pPr>
            <w:r>
              <w:rPr>
                <w:sz w:val="17"/>
              </w:rPr>
              <w:t>lumpy (79)</w:t>
            </w:r>
          </w:p>
        </w:tc>
        <w:tc>
          <w:tcPr>
            <w:tcW w:type="dxa" w:w="1928"/>
          </w:tcPr>
          <w:p>
            <w:pPr>
              <w:keepNext/>
              <w:spacing w:after="0"/>
              <w:jc w:val="center"/>
            </w:pPr>
            <w:r>
              <w:rPr>
                <w:sz w:val="17"/>
              </w:rPr>
              <w:t>0,474 TimesFM-3</w:t>
            </w:r>
          </w:p>
        </w:tc>
        <w:tc>
          <w:tcPr>
            <w:tcW w:type="dxa" w:w="1928"/>
          </w:tcPr>
          <w:p>
            <w:pPr>
              <w:keepNext/>
              <w:spacing w:after="0"/>
              <w:jc w:val="center"/>
            </w:pPr>
            <w:r>
              <w:rPr>
                <w:sz w:val="17"/>
              </w:rPr>
              <w:t>0,634 LightGBM</w:t>
            </w:r>
          </w:p>
        </w:tc>
      </w:tr>
      <w:tr>
        <w:tc>
          <w:tcPr>
            <w:tcW w:type="dxa" w:w="2041"/>
          </w:tcPr>
          <w:p>
            <w:pPr>
              <w:keepNext/>
              <w:spacing w:after="0"/>
              <w:jc w:val="left"/>
            </w:pPr>
            <w:r>
              <w:rPr>
                <w:sz w:val="17"/>
              </w:rPr>
            </w:r>
          </w:p>
        </w:tc>
        <w:tc>
          <w:tcPr>
            <w:tcW w:type="dxa" w:w="1701"/>
          </w:tcPr>
          <w:p>
            <w:pPr>
              <w:keepNext/>
              <w:spacing w:after="0"/>
              <w:jc w:val="center"/>
            </w:pPr>
            <w:r>
              <w:rPr>
                <w:sz w:val="17"/>
              </w:rPr>
              <w:t>intermittent (40)</w:t>
            </w:r>
          </w:p>
        </w:tc>
        <w:tc>
          <w:tcPr>
            <w:tcW w:type="dxa" w:w="1928"/>
          </w:tcPr>
          <w:p>
            <w:pPr>
              <w:keepNext/>
              <w:spacing w:after="0"/>
              <w:jc w:val="center"/>
            </w:pPr>
            <w:r>
              <w:rPr>
                <w:sz w:val="17"/>
              </w:rPr>
              <w:t>0,607 TimesFM-3</w:t>
            </w:r>
          </w:p>
        </w:tc>
        <w:tc>
          <w:tcPr>
            <w:tcW w:type="dxa" w:w="1928"/>
          </w:tcPr>
          <w:p>
            <w:pPr>
              <w:keepNext/>
              <w:spacing w:after="0"/>
              <w:jc w:val="center"/>
            </w:pPr>
            <w:r>
              <w:rPr>
                <w:sz w:val="17"/>
              </w:rPr>
              <w:t>0,971 MSTL-ARIMA</w:t>
            </w:r>
          </w:p>
        </w:tc>
      </w:tr>
      <w:tr>
        <w:tc>
          <w:tcPr>
            <w:tcW w:type="dxa" w:w="2041"/>
          </w:tcPr>
          <w:p>
            <w:pPr>
              <w:keepNext/>
              <w:spacing w:after="0"/>
              <w:jc w:val="left"/>
            </w:pPr>
            <w:r>
              <w:rPr>
                <w:sz w:val="17"/>
              </w:rPr>
              <w:t>Azure19 1m, 60 mnt</w:t>
            </w:r>
          </w:p>
        </w:tc>
        <w:tc>
          <w:tcPr>
            <w:tcW w:type="dxa" w:w="1701"/>
          </w:tcPr>
          <w:p>
            <w:pPr>
              <w:keepNext/>
              <w:spacing w:after="0"/>
              <w:jc w:val="center"/>
            </w:pPr>
            <w:r>
              <w:rPr>
                <w:sz w:val="17"/>
              </w:rPr>
              <w:t>smooth (149)</w:t>
            </w:r>
          </w:p>
        </w:tc>
        <w:tc>
          <w:tcPr>
            <w:tcW w:type="dxa" w:w="1928"/>
          </w:tcPr>
          <w:p>
            <w:pPr>
              <w:keepNext/>
              <w:spacing w:after="0"/>
              <w:jc w:val="center"/>
            </w:pPr>
            <w:r>
              <w:rPr>
                <w:sz w:val="17"/>
              </w:rPr>
              <w:t>0,465 TimesFM-3</w:t>
            </w:r>
          </w:p>
        </w:tc>
        <w:tc>
          <w:tcPr>
            <w:tcW w:type="dxa" w:w="1928"/>
          </w:tcPr>
          <w:p>
            <w:pPr>
              <w:keepNext/>
              <w:spacing w:after="0"/>
              <w:jc w:val="center"/>
            </w:pPr>
            <w:r>
              <w:rPr>
                <w:sz w:val="17"/>
              </w:rPr>
              <w:t>0,556 Croston</w:t>
            </w:r>
          </w:p>
        </w:tc>
      </w:tr>
      <w:tr>
        <w:tc>
          <w:tcPr>
            <w:tcW w:type="dxa" w:w="2041"/>
          </w:tcPr>
          <w:p>
            <w:pPr>
              <w:keepNext/>
              <w:spacing w:after="0"/>
              <w:jc w:val="left"/>
            </w:pPr>
            <w:r>
              <w:rPr>
                <w:sz w:val="17"/>
              </w:rPr>
            </w:r>
          </w:p>
        </w:tc>
        <w:tc>
          <w:tcPr>
            <w:tcW w:type="dxa" w:w="1701"/>
          </w:tcPr>
          <w:p>
            <w:pPr>
              <w:keepNext/>
              <w:spacing w:after="0"/>
              <w:jc w:val="center"/>
            </w:pPr>
            <w:r>
              <w:rPr>
                <w:sz w:val="17"/>
              </w:rPr>
              <w:t>erratic (131)</w:t>
            </w:r>
          </w:p>
        </w:tc>
        <w:tc>
          <w:tcPr>
            <w:tcW w:type="dxa" w:w="1928"/>
          </w:tcPr>
          <w:p>
            <w:pPr>
              <w:keepNext/>
              <w:spacing w:after="0"/>
              <w:jc w:val="center"/>
            </w:pPr>
            <w:r>
              <w:rPr>
                <w:sz w:val="17"/>
              </w:rPr>
              <w:t>0,483 Chronos-2</w:t>
            </w:r>
          </w:p>
        </w:tc>
        <w:tc>
          <w:tcPr>
            <w:tcW w:type="dxa" w:w="1928"/>
          </w:tcPr>
          <w:p>
            <w:pPr>
              <w:keepNext/>
              <w:spacing w:after="0"/>
              <w:jc w:val="center"/>
            </w:pPr>
            <w:r>
              <w:rPr>
                <w:sz w:val="17"/>
              </w:rPr>
              <w:t>0,638 LSTM</w:t>
            </w:r>
          </w:p>
        </w:tc>
      </w:tr>
      <w:tr>
        <w:tc>
          <w:tcPr>
            <w:tcW w:type="dxa" w:w="2041"/>
          </w:tcPr>
          <w:p>
            <w:pPr>
              <w:keepNext/>
              <w:spacing w:after="0"/>
              <w:jc w:val="left"/>
            </w:pPr>
            <w:r>
              <w:rPr>
                <w:sz w:val="17"/>
              </w:rPr>
            </w:r>
          </w:p>
        </w:tc>
        <w:tc>
          <w:tcPr>
            <w:tcW w:type="dxa" w:w="1701"/>
          </w:tcPr>
          <w:p>
            <w:pPr>
              <w:keepNext/>
              <w:spacing w:after="0"/>
              <w:jc w:val="center"/>
            </w:pPr>
            <w:r>
              <w:rPr>
                <w:sz w:val="17"/>
              </w:rPr>
              <w:t>lumpy (115)</w:t>
            </w:r>
          </w:p>
        </w:tc>
        <w:tc>
          <w:tcPr>
            <w:tcW w:type="dxa" w:w="1928"/>
          </w:tcPr>
          <w:p>
            <w:pPr>
              <w:keepNext/>
              <w:spacing w:after="0"/>
              <w:jc w:val="center"/>
            </w:pPr>
            <w:r>
              <w:rPr>
                <w:sz w:val="17"/>
              </w:rPr>
              <w:t>0,524 Toto</w:t>
            </w:r>
          </w:p>
        </w:tc>
        <w:tc>
          <w:tcPr>
            <w:tcW w:type="dxa" w:w="1928"/>
          </w:tcPr>
          <w:p>
            <w:pPr>
              <w:keepNext/>
              <w:spacing w:after="0"/>
              <w:jc w:val="center"/>
            </w:pPr>
            <w:r>
              <w:rPr>
                <w:sz w:val="17"/>
              </w:rPr>
              <w:t>0,673 LightGBM</w:t>
            </w:r>
          </w:p>
        </w:tc>
      </w:tr>
      <w:tr>
        <w:tc>
          <w:tcPr>
            <w:tcW w:type="dxa" w:w="2041"/>
          </w:tcPr>
          <w:p>
            <w:pPr>
              <w:keepNext/>
              <w:spacing w:after="0"/>
              <w:jc w:val="left"/>
            </w:pPr>
            <w:r>
              <w:rPr>
                <w:sz w:val="17"/>
              </w:rPr>
            </w:r>
          </w:p>
        </w:tc>
        <w:tc>
          <w:tcPr>
            <w:tcW w:type="dxa" w:w="1701"/>
          </w:tcPr>
          <w:p>
            <w:pPr>
              <w:keepNext/>
              <w:spacing w:after="0"/>
              <w:jc w:val="center"/>
            </w:pPr>
            <w:r>
              <w:rPr>
                <w:sz w:val="17"/>
              </w:rPr>
              <w:t>intermittent (82)</w:t>
            </w:r>
          </w:p>
        </w:tc>
        <w:tc>
          <w:tcPr>
            <w:tcW w:type="dxa" w:w="1928"/>
          </w:tcPr>
          <w:p>
            <w:pPr>
              <w:keepNext/>
              <w:spacing w:after="0"/>
              <w:jc w:val="center"/>
            </w:pPr>
            <w:r>
              <w:rPr>
                <w:sz w:val="17"/>
              </w:rPr>
              <w:t>0,896 Toto</w:t>
            </w:r>
          </w:p>
        </w:tc>
        <w:tc>
          <w:tcPr>
            <w:tcW w:type="dxa" w:w="1928"/>
          </w:tcPr>
          <w:p>
            <w:pPr>
              <w:keepNext/>
              <w:spacing w:after="0"/>
              <w:jc w:val="center"/>
            </w:pPr>
            <w:r>
              <w:rPr>
                <w:sz w:val="17"/>
              </w:rPr>
              <w:t>1,099 SWA-3</w:t>
            </w:r>
          </w:p>
        </w:tc>
      </w:tr>
      <w:tr>
        <w:tc>
          <w:tcPr>
            <w:tcW w:type="dxa" w:w="2041"/>
          </w:tcPr>
          <w:p>
            <w:pPr>
              <w:keepNext/>
              <w:spacing w:after="0"/>
              <w:jc w:val="left"/>
            </w:pPr>
            <w:r>
              <w:rPr>
                <w:sz w:val="17"/>
              </w:rPr>
              <w:t>Azure21 1m, 60 mnt</w:t>
            </w:r>
          </w:p>
        </w:tc>
        <w:tc>
          <w:tcPr>
            <w:tcW w:type="dxa" w:w="1701"/>
          </w:tcPr>
          <w:p>
            <w:pPr>
              <w:keepNext/>
              <w:spacing w:after="0"/>
              <w:jc w:val="center"/>
            </w:pPr>
            <w:r>
              <w:rPr>
                <w:sz w:val="17"/>
              </w:rPr>
              <w:t>intermittent (42)</w:t>
            </w:r>
          </w:p>
        </w:tc>
        <w:tc>
          <w:tcPr>
            <w:tcW w:type="dxa" w:w="1928"/>
          </w:tcPr>
          <w:p>
            <w:pPr>
              <w:keepNext/>
              <w:spacing w:after="0"/>
              <w:jc w:val="center"/>
            </w:pPr>
            <w:r>
              <w:rPr>
                <w:sz w:val="17"/>
              </w:rPr>
              <w:t>0,432 Toto</w:t>
            </w:r>
          </w:p>
        </w:tc>
        <w:tc>
          <w:tcPr>
            <w:tcW w:type="dxa" w:w="1928"/>
          </w:tcPr>
          <w:p>
            <w:pPr>
              <w:keepNext/>
              <w:spacing w:after="0"/>
              <w:jc w:val="center"/>
            </w:pPr>
            <w:r>
              <w:rPr>
                <w:b/>
                <w:sz w:val="17"/>
              </w:rPr>
              <w:t>0,402 LightGBM</w:t>
            </w:r>
          </w:p>
        </w:tc>
      </w:tr>
      <w:tr>
        <w:tc>
          <w:tcPr>
            <w:tcW w:type="dxa" w:w="2041"/>
            <w:tcBorders>
              <w:bottom w:val="single" w:sz="8" w:color="000000"/>
            </w:tcBorders>
          </w:tcPr>
          <w:p>
            <w:pPr>
              <w:keepNext w:val="0"/>
              <w:spacing w:after="0"/>
              <w:jc w:val="left"/>
            </w:pPr>
            <w:r>
              <w:rPr>
                <w:sz w:val="17"/>
              </w:rPr>
            </w:r>
          </w:p>
        </w:tc>
        <w:tc>
          <w:tcPr>
            <w:tcW w:type="dxa" w:w="1701"/>
            <w:tcBorders>
              <w:bottom w:val="single" w:sz="8" w:color="000000"/>
            </w:tcBorders>
          </w:tcPr>
          <w:p>
            <w:pPr>
              <w:keepNext w:val="0"/>
              <w:spacing w:after="0"/>
              <w:jc w:val="center"/>
            </w:pPr>
            <w:r>
              <w:rPr>
                <w:sz w:val="17"/>
              </w:rPr>
              <w:t>lumpy (35)</w:t>
            </w:r>
          </w:p>
        </w:tc>
        <w:tc>
          <w:tcPr>
            <w:tcW w:type="dxa" w:w="1928"/>
            <w:tcBorders>
              <w:bottom w:val="single" w:sz="8" w:color="000000"/>
            </w:tcBorders>
          </w:tcPr>
          <w:p>
            <w:pPr>
              <w:keepNext w:val="0"/>
              <w:spacing w:after="0"/>
              <w:jc w:val="center"/>
            </w:pPr>
            <w:r>
              <w:rPr>
                <w:sz w:val="17"/>
              </w:rPr>
              <w:t>0,155 Toto</w:t>
            </w:r>
          </w:p>
        </w:tc>
        <w:tc>
          <w:tcPr>
            <w:tcW w:type="dxa" w:w="1928"/>
            <w:tcBorders>
              <w:bottom w:val="single" w:sz="8" w:color="000000"/>
            </w:tcBorders>
          </w:tcPr>
          <w:p>
            <w:pPr>
              <w:keepNext w:val="0"/>
              <w:spacing w:after="0"/>
              <w:jc w:val="center"/>
            </w:pPr>
            <w:r>
              <w:rPr>
                <w:b/>
                <w:sz w:val="17"/>
              </w:rPr>
              <w:t>0,045 LSTM</w:t>
            </w:r>
          </w:p>
        </w:tc>
      </w:tr>
    </w:tbl>
    <w:p>
      <w:pPr>
        <w:spacing w:after="40"/>
      </w:pPr>
    </w:p>
    <w:p>
      <w:pPr>
        <w:jc w:val="both"/>
      </w:pPr>
      <w:r>
        <w:rPr/>
        <w:t>Analisis per kelas (Tabel 4) menunjukkan bahwa label kelas saja tidak menjelaskan kegagalan TSFM. Di Azure 2019, TSFM tetap unggul untuk kelas intermittent (0,607 vs 0,971). Kelas yang sama di Azure 2021 berbalik arah, dan untuk kelas lumpy LSTM tiga kali lebih baik. Pembedanya adalah tingkat kesparsean: aplikasi Azure 2021 jauh lebih jarang dipanggil.</w:t>
      </w:r>
    </w:p>
    <w:p>
      <w:pPr>
        <w:keepNext/>
        <w:jc w:val="center"/>
      </w:pPr>
      <w:r>
        <w:drawing>
          <wp:inline xmlns:a="http://schemas.openxmlformats.org/drawingml/2006/main" xmlns:pic="http://schemas.openxmlformats.org/drawingml/2006/picture">
            <wp:extent cx="5580000" cy="2345839"/>
            <wp:docPr id="1" name="Picture 1"/>
            <wp:cNvGraphicFramePr>
              <a:graphicFrameLocks noChangeAspect="1"/>
            </wp:cNvGraphicFramePr>
            <a:graphic>
              <a:graphicData uri="http://schemas.openxmlformats.org/drawingml/2006/picture">
                <pic:pic>
                  <pic:nvPicPr>
                    <pic:cNvPr id="0" name="cd_azure2019_1min_id.png"/>
                    <pic:cNvPicPr/>
                  </pic:nvPicPr>
                  <pic:blipFill>
                    <a:blip r:embed="rId9"/>
                    <a:stretch>
                      <a:fillRect/>
                    </a:stretch>
                  </pic:blipFill>
                  <pic:spPr>
                    <a:xfrm>
                      <a:off x="0" y="0"/>
                      <a:ext cx="5580000" cy="2345839"/>
                    </a:xfrm>
                    <a:prstGeom prst="rect"/>
                  </pic:spPr>
                </pic:pic>
              </a:graphicData>
            </a:graphic>
          </wp:inline>
        </w:drawing>
      </w:r>
    </w:p>
    <w:p>
      <w:pPr>
        <w:jc w:val="center"/>
      </w:pPr>
      <w:r>
        <w:rPr>
          <w:b/>
          <w:sz w:val="19"/>
        </w:rPr>
        <w:t>Gambar 1.</w:t>
      </w:r>
      <w:r>
        <w:rPr>
          <w:sz w:val="19"/>
        </w:rPr>
        <w:t xml:space="preserve"> Diagram critical difference (Nemenyi, α = 0,05) untuk Azure 2019 resolusi 1 menit, horizon 60 menit. Angka adalah peringkat rata-rata per deret (1 = terbaik); batang menghubungkan model yang tidak berbeda signifikan. Biru: TSFM; oranye: baseline terlatih; hijau: baseline statistik.</w:t>
      </w:r>
    </w:p>
    <w:p>
      <w:pPr>
        <w:jc w:val="both"/>
      </w:pPr>
      <w:r>
        <w:rPr/>
        <w:t>Uji Friedman menolak hipotesis bahwa semua model setara di keenam kombinasi dataset–resolusi (p &lt; 10⁻³⁰⁰). Namun model terbaik tidak pernah berbeda signifikan dari peringkat kedua. Di Azure 2019 resolusi 1 menit (Gambar 1), TimesFM-3 (3,32) dan Toto (3,51) berada dalam satu kelompok, sementara LightGBM (8,55) terpisah lebih dari satu CD (1,13). Karena itu kami menyebut “kelompok teratas”, bukan satu pemenang. Pada Azure 2021, peringkat dan rata-rata memberi jawaban berbeda: per deret, TiRex dan Toto paling sering menempati peringkat atas, tetapi rata-rata geometriknya dimenangkan LSTM karena selisih yang sangat besar pada aplikasi yang hampir selalu nol. Kedua sudut pandang ini sama-sama perlu dilaporkan.</w:t>
      </w:r>
    </w:p>
    <w:p>
      <w:pPr>
        <w:pStyle w:val="Heading2"/>
      </w:pPr>
      <w:r>
        <w:t>4.2 Replikasi Toner dkk.</w:t>
      </w:r>
    </w:p>
    <w:p>
      <w:pPr>
        <w:jc w:val="both"/>
      </w:pPr>
      <w:r>
        <w:rPr/>
        <w:t>Untuk memisahkan pengaruh generasi model dari pengaruh setting, kami mengulang protokol Toner dkk. [8] pada data Huawei: konteks 520 langkah, horizon 30, 96, dan 336 langkah, dengan metrik MASE rata-rata (Tabel 5).</w:t>
      </w:r>
    </w:p>
    <w:p>
      <w:pPr>
        <w:keepNext/>
      </w:pPr>
      <w:r>
        <w:rPr>
          <w:b/>
          <w:sz w:val="19"/>
        </w:rPr>
        <w:t>Tabel 5.</w:t>
      </w:r>
      <w:r>
        <w:rPr>
          <w:sz w:val="19"/>
        </w:rPr>
        <w:t xml:space="preserve"> Replikasi setting Toner dkk. (Huawei 5 menit, C = 520, MASE rata-rata; lebih kecil lebih baik).</w:t>
      </w:r>
    </w:p>
    <w:tbl>
      <w:tblPr>
        <w:tblW w:type="auto" w:w="0"/>
        <w:jc w:val="center"/>
        <w:tblLayout w:type="fixed"/>
        <w:tblLook w:firstColumn="1" w:firstRow="1" w:lastColumn="0" w:lastRow="0" w:noHBand="0" w:noVBand="1" w:val="04A0"/>
        <w:tblLayout w:type="fixed"/>
      </w:tblPr>
      <w:tblGrid>
        <w:gridCol w:w="2041"/>
        <w:gridCol w:w="1361"/>
        <w:gridCol w:w="1361"/>
        <w:gridCol w:w="1361"/>
      </w:tblGrid>
      <w:tr>
        <w:tc>
          <w:tcPr>
            <w:tcW w:type="dxa" w:w="2041"/>
            <w:tcBorders>
              <w:top w:val="single" w:sz="8" w:color="000000"/>
              <w:bottom w:val="single" w:sz="4" w:color="000000"/>
            </w:tcBorders>
          </w:tcPr>
          <w:p>
            <w:pPr>
              <w:keepNext/>
              <w:spacing w:after="0"/>
              <w:jc w:val="left"/>
            </w:pPr>
            <w:r>
              <w:rPr>
                <w:b/>
                <w:sz w:val="17"/>
              </w:rPr>
              <w:t>Model</w:t>
            </w:r>
          </w:p>
        </w:tc>
        <w:tc>
          <w:tcPr>
            <w:tcW w:type="dxa" w:w="1361"/>
            <w:tcBorders>
              <w:top w:val="single" w:sz="8" w:color="000000"/>
              <w:bottom w:val="single" w:sz="4" w:color="000000"/>
            </w:tcBorders>
          </w:tcPr>
          <w:p>
            <w:pPr>
              <w:keepNext/>
              <w:spacing w:after="0"/>
              <w:jc w:val="center"/>
            </w:pPr>
            <w:r>
              <w:rPr>
                <w:b/>
                <w:sz w:val="17"/>
              </w:rPr>
              <w:t>H = 30</w:t>
            </w:r>
          </w:p>
        </w:tc>
        <w:tc>
          <w:tcPr>
            <w:tcW w:type="dxa" w:w="1361"/>
            <w:tcBorders>
              <w:top w:val="single" w:sz="8" w:color="000000"/>
              <w:bottom w:val="single" w:sz="4" w:color="000000"/>
            </w:tcBorders>
          </w:tcPr>
          <w:p>
            <w:pPr>
              <w:keepNext/>
              <w:spacing w:after="0"/>
              <w:jc w:val="center"/>
            </w:pPr>
            <w:r>
              <w:rPr>
                <w:b/>
                <w:sz w:val="17"/>
              </w:rPr>
              <w:t>H = 96</w:t>
            </w:r>
          </w:p>
        </w:tc>
        <w:tc>
          <w:tcPr>
            <w:tcW w:type="dxa" w:w="1361"/>
            <w:tcBorders>
              <w:top w:val="single" w:sz="8" w:color="000000"/>
              <w:bottom w:val="single" w:sz="4" w:color="000000"/>
            </w:tcBorders>
          </w:tcPr>
          <w:p>
            <w:pPr>
              <w:keepNext/>
              <w:spacing w:after="0"/>
              <w:jc w:val="center"/>
            </w:pPr>
            <w:r>
              <w:rPr>
                <w:b/>
                <w:sz w:val="17"/>
              </w:rPr>
              <w:t>H = 336</w:t>
            </w:r>
          </w:p>
        </w:tc>
      </w:tr>
      <w:tr>
        <w:tc>
          <w:tcPr>
            <w:tcW w:type="dxa" w:w="2041"/>
          </w:tcPr>
          <w:p>
            <w:pPr>
              <w:keepNext/>
              <w:spacing w:after="0"/>
              <w:jc w:val="left"/>
            </w:pPr>
            <w:r>
              <w:rPr>
                <w:sz w:val="17"/>
              </w:rPr>
              <w:t>TimesFM-3</w:t>
            </w:r>
          </w:p>
        </w:tc>
        <w:tc>
          <w:tcPr>
            <w:tcW w:type="dxa" w:w="1361"/>
          </w:tcPr>
          <w:p>
            <w:pPr>
              <w:keepNext/>
              <w:spacing w:after="0"/>
              <w:jc w:val="center"/>
            </w:pPr>
            <w:r>
              <w:rPr>
                <w:b/>
                <w:sz w:val="17"/>
              </w:rPr>
              <w:t>0,912</w:t>
            </w:r>
          </w:p>
        </w:tc>
        <w:tc>
          <w:tcPr>
            <w:tcW w:type="dxa" w:w="1361"/>
          </w:tcPr>
          <w:p>
            <w:pPr>
              <w:keepNext/>
              <w:spacing w:after="0"/>
              <w:jc w:val="center"/>
            </w:pPr>
            <w:r>
              <w:rPr>
                <w:sz w:val="17"/>
              </w:rPr>
              <w:t>1,102</w:t>
            </w:r>
          </w:p>
        </w:tc>
        <w:tc>
          <w:tcPr>
            <w:tcW w:type="dxa" w:w="1361"/>
          </w:tcPr>
          <w:p>
            <w:pPr>
              <w:keepNext/>
              <w:spacing w:after="0"/>
              <w:jc w:val="center"/>
            </w:pPr>
            <w:r>
              <w:rPr>
                <w:sz w:val="17"/>
              </w:rPr>
              <w:t>1,347</w:t>
            </w:r>
          </w:p>
        </w:tc>
      </w:tr>
      <w:tr>
        <w:tc>
          <w:tcPr>
            <w:tcW w:type="dxa" w:w="2041"/>
          </w:tcPr>
          <w:p>
            <w:pPr>
              <w:keepNext/>
              <w:spacing w:after="0"/>
              <w:jc w:val="left"/>
            </w:pPr>
            <w:r>
              <w:rPr>
                <w:sz w:val="17"/>
              </w:rPr>
              <w:t>Chronos-2</w:t>
            </w:r>
          </w:p>
        </w:tc>
        <w:tc>
          <w:tcPr>
            <w:tcW w:type="dxa" w:w="1361"/>
          </w:tcPr>
          <w:p>
            <w:pPr>
              <w:keepNext/>
              <w:spacing w:after="0"/>
              <w:jc w:val="center"/>
            </w:pPr>
            <w:r>
              <w:rPr>
                <w:sz w:val="17"/>
              </w:rPr>
              <w:t>0,920</w:t>
            </w:r>
          </w:p>
        </w:tc>
        <w:tc>
          <w:tcPr>
            <w:tcW w:type="dxa" w:w="1361"/>
          </w:tcPr>
          <w:p>
            <w:pPr>
              <w:keepNext/>
              <w:spacing w:after="0"/>
              <w:jc w:val="center"/>
            </w:pPr>
            <w:r>
              <w:rPr>
                <w:b/>
                <w:sz w:val="17"/>
              </w:rPr>
              <w:t>1,082</w:t>
            </w:r>
          </w:p>
        </w:tc>
        <w:tc>
          <w:tcPr>
            <w:tcW w:type="dxa" w:w="1361"/>
          </w:tcPr>
          <w:p>
            <w:pPr>
              <w:keepNext/>
              <w:spacing w:after="0"/>
              <w:jc w:val="center"/>
            </w:pPr>
            <w:r>
              <w:rPr>
                <w:b/>
                <w:sz w:val="17"/>
              </w:rPr>
              <w:t>1,301</w:t>
            </w:r>
          </w:p>
        </w:tc>
      </w:tr>
      <w:tr>
        <w:tc>
          <w:tcPr>
            <w:tcW w:type="dxa" w:w="2041"/>
          </w:tcPr>
          <w:p>
            <w:pPr>
              <w:keepNext/>
              <w:spacing w:after="0"/>
              <w:jc w:val="left"/>
            </w:pPr>
            <w:r>
              <w:rPr>
                <w:sz w:val="17"/>
              </w:rPr>
              <w:t>TimesFM-2.5</w:t>
            </w:r>
          </w:p>
        </w:tc>
        <w:tc>
          <w:tcPr>
            <w:tcW w:type="dxa" w:w="1361"/>
          </w:tcPr>
          <w:p>
            <w:pPr>
              <w:keepNext/>
              <w:spacing w:after="0"/>
              <w:jc w:val="center"/>
            </w:pPr>
            <w:r>
              <w:rPr>
                <w:sz w:val="17"/>
              </w:rPr>
              <w:t>0,996</w:t>
            </w:r>
          </w:p>
        </w:tc>
        <w:tc>
          <w:tcPr>
            <w:tcW w:type="dxa" w:w="1361"/>
          </w:tcPr>
          <w:p>
            <w:pPr>
              <w:keepNext/>
              <w:spacing w:after="0"/>
              <w:jc w:val="center"/>
            </w:pPr>
            <w:r>
              <w:rPr>
                <w:sz w:val="17"/>
              </w:rPr>
              <w:t>1,216</w:t>
            </w:r>
          </w:p>
        </w:tc>
        <w:tc>
          <w:tcPr>
            <w:tcW w:type="dxa" w:w="1361"/>
          </w:tcPr>
          <w:p>
            <w:pPr>
              <w:keepNext/>
              <w:spacing w:after="0"/>
              <w:jc w:val="center"/>
            </w:pPr>
            <w:r>
              <w:rPr>
                <w:sz w:val="17"/>
              </w:rPr>
              <w:t>1,453</w:t>
            </w:r>
          </w:p>
        </w:tc>
      </w:tr>
      <w:tr>
        <w:tc>
          <w:tcPr>
            <w:tcW w:type="dxa" w:w="2041"/>
          </w:tcPr>
          <w:p>
            <w:pPr>
              <w:keepNext/>
              <w:spacing w:after="0"/>
              <w:jc w:val="left"/>
            </w:pPr>
            <w:r>
              <w:rPr>
                <w:sz w:val="17"/>
              </w:rPr>
              <w:t>Toto</w:t>
            </w:r>
          </w:p>
        </w:tc>
        <w:tc>
          <w:tcPr>
            <w:tcW w:type="dxa" w:w="1361"/>
          </w:tcPr>
          <w:p>
            <w:pPr>
              <w:keepNext/>
              <w:spacing w:after="0"/>
              <w:jc w:val="center"/>
            </w:pPr>
            <w:r>
              <w:rPr>
                <w:sz w:val="17"/>
              </w:rPr>
              <w:t>1,004</w:t>
            </w:r>
          </w:p>
        </w:tc>
        <w:tc>
          <w:tcPr>
            <w:tcW w:type="dxa" w:w="1361"/>
          </w:tcPr>
          <w:p>
            <w:pPr>
              <w:keepNext/>
              <w:spacing w:after="0"/>
              <w:jc w:val="center"/>
            </w:pPr>
            <w:r>
              <w:rPr>
                <w:sz w:val="17"/>
              </w:rPr>
              <w:t>1,347</w:t>
            </w:r>
          </w:p>
        </w:tc>
        <w:tc>
          <w:tcPr>
            <w:tcW w:type="dxa" w:w="1361"/>
          </w:tcPr>
          <w:p>
            <w:pPr>
              <w:keepNext/>
              <w:spacing w:after="0"/>
              <w:jc w:val="center"/>
            </w:pPr>
            <w:r>
              <w:rPr>
                <w:sz w:val="17"/>
              </w:rPr>
              <w:t>1,671</w:t>
            </w:r>
          </w:p>
        </w:tc>
      </w:tr>
      <w:tr>
        <w:tc>
          <w:tcPr>
            <w:tcW w:type="dxa" w:w="2041"/>
          </w:tcPr>
          <w:p>
            <w:pPr>
              <w:keepNext/>
              <w:spacing w:after="0"/>
              <w:jc w:val="left"/>
            </w:pPr>
            <w:r>
              <w:rPr>
                <w:sz w:val="17"/>
              </w:rPr>
              <w:t>TiRex</w:t>
            </w:r>
          </w:p>
        </w:tc>
        <w:tc>
          <w:tcPr>
            <w:tcW w:type="dxa" w:w="1361"/>
          </w:tcPr>
          <w:p>
            <w:pPr>
              <w:keepNext/>
              <w:spacing w:after="0"/>
              <w:jc w:val="center"/>
            </w:pPr>
            <w:r>
              <w:rPr>
                <w:sz w:val="17"/>
              </w:rPr>
              <w:t>1,100</w:t>
            </w:r>
          </w:p>
        </w:tc>
        <w:tc>
          <w:tcPr>
            <w:tcW w:type="dxa" w:w="1361"/>
          </w:tcPr>
          <w:p>
            <w:pPr>
              <w:keepNext/>
              <w:spacing w:after="0"/>
              <w:jc w:val="center"/>
            </w:pPr>
            <w:r>
              <w:rPr>
                <w:sz w:val="17"/>
              </w:rPr>
              <w:t>1,402</w:t>
            </w:r>
          </w:p>
        </w:tc>
        <w:tc>
          <w:tcPr>
            <w:tcW w:type="dxa" w:w="1361"/>
          </w:tcPr>
          <w:p>
            <w:pPr>
              <w:keepNext/>
              <w:spacing w:after="0"/>
              <w:jc w:val="center"/>
            </w:pPr>
            <w:r>
              <w:rPr>
                <w:sz w:val="17"/>
              </w:rPr>
              <w:t>1,606</w:t>
            </w:r>
          </w:p>
        </w:tc>
      </w:tr>
      <w:tr>
        <w:tc>
          <w:tcPr>
            <w:tcW w:type="dxa" w:w="2041"/>
          </w:tcPr>
          <w:p>
            <w:pPr>
              <w:keepNext/>
              <w:spacing w:after="0"/>
              <w:jc w:val="left"/>
            </w:pPr>
            <w:r>
              <w:rPr>
                <w:sz w:val="17"/>
              </w:rPr>
              <w:t>Moirai-2-S</w:t>
            </w:r>
          </w:p>
        </w:tc>
        <w:tc>
          <w:tcPr>
            <w:tcW w:type="dxa" w:w="1361"/>
          </w:tcPr>
          <w:p>
            <w:pPr>
              <w:keepNext/>
              <w:spacing w:after="0"/>
              <w:jc w:val="center"/>
            </w:pPr>
            <w:r>
              <w:rPr>
                <w:sz w:val="17"/>
              </w:rPr>
              <w:t>1,124</w:t>
            </w:r>
          </w:p>
        </w:tc>
        <w:tc>
          <w:tcPr>
            <w:tcW w:type="dxa" w:w="1361"/>
          </w:tcPr>
          <w:p>
            <w:pPr>
              <w:keepNext/>
              <w:spacing w:after="0"/>
              <w:jc w:val="center"/>
            </w:pPr>
            <w:r>
              <w:rPr>
                <w:sz w:val="17"/>
              </w:rPr>
              <w:t>1,558</w:t>
            </w:r>
          </w:p>
        </w:tc>
        <w:tc>
          <w:tcPr>
            <w:tcW w:type="dxa" w:w="1361"/>
          </w:tcPr>
          <w:p>
            <w:pPr>
              <w:keepNext/>
              <w:spacing w:after="0"/>
              <w:jc w:val="center"/>
            </w:pPr>
            <w:r>
              <w:rPr>
                <w:sz w:val="17"/>
              </w:rPr>
              <w:t>2,096</w:t>
            </w:r>
          </w:p>
        </w:tc>
      </w:tr>
      <w:tr>
        <w:tc>
          <w:tcPr>
            <w:tcW w:type="dxa" w:w="2041"/>
          </w:tcPr>
          <w:p>
            <w:pPr>
              <w:keepNext/>
              <w:spacing w:after="0"/>
              <w:jc w:val="left"/>
            </w:pPr>
            <w:r>
              <w:rPr>
                <w:sz w:val="17"/>
              </w:rPr>
              <w:t>Chronos-Bolt-S</w:t>
            </w:r>
          </w:p>
        </w:tc>
        <w:tc>
          <w:tcPr>
            <w:tcW w:type="dxa" w:w="1361"/>
          </w:tcPr>
          <w:p>
            <w:pPr>
              <w:keepNext/>
              <w:spacing w:after="0"/>
              <w:jc w:val="center"/>
            </w:pPr>
            <w:r>
              <w:rPr>
                <w:sz w:val="17"/>
              </w:rPr>
              <w:t>1,222</w:t>
            </w:r>
          </w:p>
        </w:tc>
        <w:tc>
          <w:tcPr>
            <w:tcW w:type="dxa" w:w="1361"/>
          </w:tcPr>
          <w:p>
            <w:pPr>
              <w:keepNext/>
              <w:spacing w:after="0"/>
              <w:jc w:val="center"/>
            </w:pPr>
            <w:r>
              <w:rPr>
                <w:sz w:val="17"/>
              </w:rPr>
              <w:t>1,468</w:t>
            </w:r>
          </w:p>
        </w:tc>
        <w:tc>
          <w:tcPr>
            <w:tcW w:type="dxa" w:w="1361"/>
          </w:tcPr>
          <w:p>
            <w:pPr>
              <w:keepNext/>
              <w:spacing w:after="0"/>
              <w:jc w:val="center"/>
            </w:pPr>
            <w:r>
              <w:rPr>
                <w:sz w:val="17"/>
              </w:rPr>
              <w:t>1,653</w:t>
            </w:r>
          </w:p>
        </w:tc>
      </w:tr>
      <w:tr>
        <w:tc>
          <w:tcPr>
            <w:tcW w:type="dxa" w:w="2041"/>
          </w:tcPr>
          <w:p>
            <w:pPr>
              <w:keepNext/>
              <w:spacing w:after="0"/>
              <w:jc w:val="left"/>
            </w:pPr>
            <w:r>
              <w:rPr>
                <w:sz w:val="17"/>
              </w:rPr>
              <w:t>TTM-r2</w:t>
            </w:r>
          </w:p>
        </w:tc>
        <w:tc>
          <w:tcPr>
            <w:tcW w:type="dxa" w:w="1361"/>
          </w:tcPr>
          <w:p>
            <w:pPr>
              <w:keepNext/>
              <w:spacing w:after="0"/>
              <w:jc w:val="center"/>
            </w:pPr>
            <w:r>
              <w:rPr>
                <w:sz w:val="17"/>
              </w:rPr>
              <w:t>1,290</w:t>
            </w:r>
          </w:p>
        </w:tc>
        <w:tc>
          <w:tcPr>
            <w:tcW w:type="dxa" w:w="1361"/>
          </w:tcPr>
          <w:p>
            <w:pPr>
              <w:keepNext/>
              <w:spacing w:after="0"/>
              <w:jc w:val="center"/>
            </w:pPr>
            <w:r>
              <w:rPr>
                <w:sz w:val="17"/>
              </w:rPr>
              <w:t>1,600</w:t>
            </w:r>
          </w:p>
        </w:tc>
        <w:tc>
          <w:tcPr>
            <w:tcW w:type="dxa" w:w="1361"/>
          </w:tcPr>
          <w:p>
            <w:pPr>
              <w:keepNext/>
              <w:spacing w:after="0"/>
              <w:jc w:val="center"/>
            </w:pPr>
            <w:r>
              <w:rPr>
                <w:sz w:val="17"/>
              </w:rPr>
              <w:t>–</w:t>
            </w:r>
          </w:p>
        </w:tc>
      </w:tr>
      <w:tr>
        <w:tc>
          <w:tcPr>
            <w:tcW w:type="dxa" w:w="2041"/>
          </w:tcPr>
          <w:p>
            <w:pPr>
              <w:keepNext/>
              <w:spacing w:after="0"/>
              <w:jc w:val="left"/>
            </w:pPr>
            <w:r>
              <w:rPr>
                <w:sz w:val="17"/>
              </w:rPr>
              <w:t>Seasonal naive</w:t>
            </w:r>
          </w:p>
        </w:tc>
        <w:tc>
          <w:tcPr>
            <w:tcW w:type="dxa" w:w="1361"/>
          </w:tcPr>
          <w:p>
            <w:pPr>
              <w:keepNext/>
              <w:spacing w:after="0"/>
              <w:jc w:val="center"/>
            </w:pPr>
            <w:r>
              <w:rPr>
                <w:sz w:val="17"/>
              </w:rPr>
              <w:t>1,324</w:t>
            </w:r>
          </w:p>
        </w:tc>
        <w:tc>
          <w:tcPr>
            <w:tcW w:type="dxa" w:w="1361"/>
          </w:tcPr>
          <w:p>
            <w:pPr>
              <w:keepNext/>
              <w:spacing w:after="0"/>
              <w:jc w:val="center"/>
            </w:pPr>
            <w:r>
              <w:rPr>
                <w:sz w:val="17"/>
              </w:rPr>
              <w:t>1,358</w:t>
            </w:r>
          </w:p>
        </w:tc>
        <w:tc>
          <w:tcPr>
            <w:tcW w:type="dxa" w:w="1361"/>
          </w:tcPr>
          <w:p>
            <w:pPr>
              <w:keepNext/>
              <w:spacing w:after="0"/>
              <w:jc w:val="center"/>
            </w:pPr>
            <w:r>
              <w:rPr>
                <w:sz w:val="17"/>
              </w:rPr>
              <w:t>1,459</w:t>
            </w:r>
          </w:p>
        </w:tc>
      </w:tr>
      <w:tr>
        <w:tc>
          <w:tcPr>
            <w:tcW w:type="dxa" w:w="2041"/>
            <w:tcBorders>
              <w:bottom w:val="single" w:sz="8" w:color="000000"/>
            </w:tcBorders>
          </w:tcPr>
          <w:p>
            <w:pPr>
              <w:keepNext w:val="0"/>
              <w:spacing w:after="0"/>
              <w:jc w:val="left"/>
            </w:pPr>
            <w:r>
              <w:rPr>
                <w:sz w:val="17"/>
              </w:rPr>
              <w:t>Naive</w:t>
            </w:r>
          </w:p>
        </w:tc>
        <w:tc>
          <w:tcPr>
            <w:tcW w:type="dxa" w:w="1361"/>
            <w:tcBorders>
              <w:bottom w:val="single" w:sz="8" w:color="000000"/>
            </w:tcBorders>
          </w:tcPr>
          <w:p>
            <w:pPr>
              <w:keepNext w:val="0"/>
              <w:spacing w:after="0"/>
              <w:jc w:val="center"/>
            </w:pPr>
            <w:r>
              <w:rPr>
                <w:sz w:val="17"/>
              </w:rPr>
              <w:t>1,936</w:t>
            </w:r>
          </w:p>
        </w:tc>
        <w:tc>
          <w:tcPr>
            <w:tcW w:type="dxa" w:w="1361"/>
            <w:tcBorders>
              <w:bottom w:val="single" w:sz="8" w:color="000000"/>
            </w:tcBorders>
          </w:tcPr>
          <w:p>
            <w:pPr>
              <w:keepNext w:val="0"/>
              <w:spacing w:after="0"/>
              <w:jc w:val="center"/>
            </w:pPr>
            <w:r>
              <w:rPr>
                <w:sz w:val="17"/>
              </w:rPr>
              <w:t>3,413</w:t>
            </w:r>
          </w:p>
        </w:tc>
        <w:tc>
          <w:tcPr>
            <w:tcW w:type="dxa" w:w="1361"/>
            <w:tcBorders>
              <w:bottom w:val="single" w:sz="8" w:color="000000"/>
            </w:tcBorders>
          </w:tcPr>
          <w:p>
            <w:pPr>
              <w:keepNext w:val="0"/>
              <w:spacing w:after="0"/>
              <w:jc w:val="center"/>
            </w:pPr>
            <w:r>
              <w:rPr>
                <w:sz w:val="17"/>
              </w:rPr>
              <w:t>4,054</w:t>
            </w:r>
          </w:p>
        </w:tc>
      </w:tr>
    </w:tbl>
    <w:p>
      <w:pPr>
        <w:spacing w:after="40"/>
      </w:pPr>
    </w:p>
    <w:p>
      <w:pPr>
        <w:jc w:val="both"/>
      </w:pPr>
      <w:r>
        <w:rPr/>
        <w:t>Chronos-2 dan TimesFM-3 mengalahkan seasonal naive di ketiga horizon. Model kecil (Chronos-Bolt-small, Moirai-small, TTM) kalah atau setara di horizon ≥ 96, sama dengan temuan Toner dkk. Jadi hasil negatif mereka mencerminkan generasi model yang diuji, bukan batas pendekatan zero-shot pada data cloud.</w:t>
      </w:r>
    </w:p>
    <w:p>
      <w:pPr>
        <w:pStyle w:val="Heading2"/>
      </w:pPr>
      <w:r>
        <w:t>4.3 Panjang konteks</w:t>
      </w:r>
    </w:p>
    <w:p>
      <w:pPr>
        <w:keepNext/>
        <w:jc w:val="center"/>
      </w:pPr>
      <w:r>
        <w:drawing>
          <wp:inline xmlns:a="http://schemas.openxmlformats.org/drawingml/2006/main" xmlns:pic="http://schemas.openxmlformats.org/drawingml/2006/picture">
            <wp:extent cx="5220000" cy="2034180"/>
            <wp:docPr id="2" name="Picture 2"/>
            <wp:cNvGraphicFramePr>
              <a:graphicFrameLocks noChangeAspect="1"/>
            </wp:cNvGraphicFramePr>
            <a:graphic>
              <a:graphicData uri="http://schemas.openxmlformats.org/drawingml/2006/picture">
                <pic:pic>
                  <pic:nvPicPr>
                    <pic:cNvPr id="0" name="context_ablation_id.png"/>
                    <pic:cNvPicPr/>
                  </pic:nvPicPr>
                  <pic:blipFill>
                    <a:blip r:embed="rId10"/>
                    <a:stretch>
                      <a:fillRect/>
                    </a:stretch>
                  </pic:blipFill>
                  <pic:spPr>
                    <a:xfrm>
                      <a:off x="0" y="0"/>
                      <a:ext cx="5220000" cy="2034180"/>
                    </a:xfrm>
                    <a:prstGeom prst="rect"/>
                  </pic:spPr>
                </pic:pic>
              </a:graphicData>
            </a:graphic>
          </wp:inline>
        </w:drawing>
      </w:r>
    </w:p>
    <w:p>
      <w:pPr>
        <w:jc w:val="center"/>
      </w:pPr>
      <w:r>
        <w:rPr>
          <w:b/>
          <w:sz w:val="19"/>
        </w:rPr>
        <w:t>Gambar 2.</w:t>
      </w:r>
      <w:r>
        <w:rPr>
          <w:sz w:val="19"/>
        </w:rPr>
        <w:t xml:space="preserve"> relMASE pada horizon terpanjang sebagai fungsi panjang konteks C. Kiri: Azure 2019 resolusi 1 menit; kanan: Huawei resolusi 5 menit.</w:t>
      </w:r>
    </w:p>
    <w:p>
      <w:pPr>
        <w:jc w:val="both"/>
      </w:pPr>
      <w:r>
        <w:rPr/>
        <w:t>Gambar 2 memperlihatkan bahwa konteks optimal bergantung pada resolusi. Pada Huawei 5 menit, memperpanjang konteks dari 512 ke 1024 langkah (1,8 ke 3,5 hari) menurunkan relMASE Chronos-2 dari 0,561 ke 0,470, dan TimesFM-3 terus membaik hingga 6912 langkah (0,436). Pada Azure 2019 1 menit arahnya terbalik untuk Chronos-2 (0,537 pada C = 512; 0,581 pada 2048; 0,596 pada 8192) dan TimesFM-3, sedangkan Toto sedikit membaik. Konteks 8192 juga membuat Chronos-2 4,4× lebih lambat. Hasil TiRex identik untuk C ≥ 2048, yang mengindikasikan konteks dipotong secara internal. Dengan demikian, konfigurasi utama (C = 2048) sedikit merugikan Chronos-2 dan TimesFM-3 pada data 1 menit, sehingga perbandingan di Tabel 3 bersifat konservatif bagi TSFM.</w:t>
      </w:r>
    </w:p>
    <w:p>
      <w:pPr>
        <w:pStyle w:val="Heading2"/>
      </w:pPr>
      <w:r>
        <w:t>4.4 Biaya komputasi (RQ2)</w:t>
      </w:r>
    </w:p>
    <w:p>
      <w:pPr>
        <w:keepNext/>
      </w:pPr>
      <w:r>
        <w:rPr>
          <w:b/>
          <w:sz w:val="19"/>
        </w:rPr>
        <w:t>Tabel 6.</w:t>
      </w:r>
      <w:r>
        <w:rPr>
          <w:sz w:val="19"/>
        </w:rPr>
        <w:t xml:space="preserve"> Latensi inferensi p50 (ms) di CPU (4 thread, horizon 60) dan memori puncak. ᵃ Dikompilasi dengan batch internal 64, sehingga angka batch 1 ikut ter-padding. RSS mencakup ±1,3 GB data yang dimuat harness.</w:t>
      </w:r>
    </w:p>
    <w:tbl>
      <w:tblPr>
        <w:tblW w:type="auto" w:w="0"/>
        <w:jc w:val="center"/>
        <w:tblLayout w:type="fixed"/>
        <w:tblLook w:firstColumn="1" w:firstRow="1" w:lastColumn="0" w:lastRow="0" w:noHBand="0" w:noVBand="1" w:val="04A0"/>
        <w:tblLayout w:type="fixed"/>
      </w:tblPr>
      <w:tblGrid>
        <w:gridCol w:w="2041"/>
        <w:gridCol w:w="1077"/>
        <w:gridCol w:w="1077"/>
        <w:gridCol w:w="1077"/>
        <w:gridCol w:w="1134"/>
        <w:gridCol w:w="964"/>
      </w:tblGrid>
      <w:tr>
        <w:tc>
          <w:tcPr>
            <w:tcW w:type="dxa" w:w="2041"/>
            <w:tcBorders>
              <w:top w:val="single" w:sz="8" w:color="000000"/>
              <w:bottom w:val="single" w:sz="4" w:color="000000"/>
            </w:tcBorders>
          </w:tcPr>
          <w:p>
            <w:pPr>
              <w:keepNext/>
              <w:spacing w:after="0"/>
              <w:jc w:val="left"/>
            </w:pPr>
            <w:r>
              <w:rPr>
                <w:b/>
                <w:sz w:val="16"/>
              </w:rPr>
              <w:t>Model</w:t>
            </w:r>
          </w:p>
        </w:tc>
        <w:tc>
          <w:tcPr>
            <w:tcW w:type="dxa" w:w="1077"/>
            <w:tcBorders>
              <w:top w:val="single" w:sz="8" w:color="000000"/>
              <w:bottom w:val="single" w:sz="4" w:color="000000"/>
            </w:tcBorders>
          </w:tcPr>
          <w:p>
            <w:pPr>
              <w:keepNext/>
              <w:spacing w:after="0"/>
              <w:jc w:val="center"/>
            </w:pPr>
            <w:r>
              <w:rPr>
                <w:b/>
                <w:sz w:val="16"/>
              </w:rPr>
              <w:t>b=1, C=512</w:t>
            </w:r>
          </w:p>
        </w:tc>
        <w:tc>
          <w:tcPr>
            <w:tcW w:type="dxa" w:w="1077"/>
            <w:tcBorders>
              <w:top w:val="single" w:sz="8" w:color="000000"/>
              <w:bottom w:val="single" w:sz="4" w:color="000000"/>
            </w:tcBorders>
          </w:tcPr>
          <w:p>
            <w:pPr>
              <w:keepNext/>
              <w:spacing w:after="0"/>
              <w:jc w:val="center"/>
            </w:pPr>
            <w:r>
              <w:rPr>
                <w:b/>
                <w:sz w:val="16"/>
              </w:rPr>
              <w:t>b=1, C=2048</w:t>
            </w:r>
          </w:p>
        </w:tc>
        <w:tc>
          <w:tcPr>
            <w:tcW w:type="dxa" w:w="1077"/>
            <w:tcBorders>
              <w:top w:val="single" w:sz="8" w:color="000000"/>
              <w:bottom w:val="single" w:sz="4" w:color="000000"/>
            </w:tcBorders>
          </w:tcPr>
          <w:p>
            <w:pPr>
              <w:keepNext/>
              <w:spacing w:after="0"/>
              <w:jc w:val="center"/>
            </w:pPr>
            <w:r>
              <w:rPr>
                <w:b/>
                <w:sz w:val="16"/>
              </w:rPr>
              <w:t>b=64, C=512</w:t>
            </w:r>
          </w:p>
        </w:tc>
        <w:tc>
          <w:tcPr>
            <w:tcW w:type="dxa" w:w="1134"/>
            <w:tcBorders>
              <w:top w:val="single" w:sz="8" w:color="000000"/>
              <w:bottom w:val="single" w:sz="4" w:color="000000"/>
            </w:tcBorders>
          </w:tcPr>
          <w:p>
            <w:pPr>
              <w:keepNext/>
              <w:spacing w:after="0"/>
              <w:jc w:val="center"/>
            </w:pPr>
            <w:r>
              <w:rPr>
                <w:b/>
                <w:sz w:val="16"/>
              </w:rPr>
              <w:t>b=64, C=2048</w:t>
            </w:r>
          </w:p>
        </w:tc>
        <w:tc>
          <w:tcPr>
            <w:tcW w:type="dxa" w:w="964"/>
            <w:tcBorders>
              <w:top w:val="single" w:sz="8" w:color="000000"/>
              <w:bottom w:val="single" w:sz="4" w:color="000000"/>
            </w:tcBorders>
          </w:tcPr>
          <w:p>
            <w:pPr>
              <w:keepNext/>
              <w:spacing w:after="0"/>
              <w:jc w:val="center"/>
            </w:pPr>
            <w:r>
              <w:rPr>
                <w:b/>
                <w:sz w:val="16"/>
              </w:rPr>
              <w:t>RSS (MB)</w:t>
            </w:r>
          </w:p>
        </w:tc>
      </w:tr>
      <w:tr>
        <w:tc>
          <w:tcPr>
            <w:tcW w:type="dxa" w:w="2041"/>
          </w:tcPr>
          <w:p>
            <w:pPr>
              <w:keepNext/>
              <w:spacing w:after="0"/>
              <w:jc w:val="left"/>
            </w:pPr>
            <w:r>
              <w:rPr>
                <w:sz w:val="16"/>
              </w:rPr>
              <w:t>Naive, seasonal naive</w:t>
            </w:r>
          </w:p>
        </w:tc>
        <w:tc>
          <w:tcPr>
            <w:tcW w:type="dxa" w:w="1077"/>
          </w:tcPr>
          <w:p>
            <w:pPr>
              <w:keepNext/>
              <w:spacing w:after="0"/>
              <w:jc w:val="center"/>
            </w:pPr>
            <w:r>
              <w:rPr>
                <w:sz w:val="16"/>
              </w:rPr>
              <w:t>&lt;0,1</w:t>
            </w:r>
          </w:p>
        </w:tc>
        <w:tc>
          <w:tcPr>
            <w:tcW w:type="dxa" w:w="1077"/>
          </w:tcPr>
          <w:p>
            <w:pPr>
              <w:keepNext/>
              <w:spacing w:after="0"/>
              <w:jc w:val="center"/>
            </w:pPr>
            <w:r>
              <w:rPr>
                <w:sz w:val="16"/>
              </w:rPr>
              <w:t>&lt;0,1</w:t>
            </w:r>
          </w:p>
        </w:tc>
        <w:tc>
          <w:tcPr>
            <w:tcW w:type="dxa" w:w="1077"/>
          </w:tcPr>
          <w:p>
            <w:pPr>
              <w:keepNext/>
              <w:spacing w:after="0"/>
              <w:jc w:val="center"/>
            </w:pPr>
            <w:r>
              <w:rPr>
                <w:sz w:val="16"/>
              </w:rPr>
              <w:t>&lt;0,1</w:t>
            </w:r>
          </w:p>
        </w:tc>
        <w:tc>
          <w:tcPr>
            <w:tcW w:type="dxa" w:w="1134"/>
          </w:tcPr>
          <w:p>
            <w:pPr>
              <w:keepNext/>
              <w:spacing w:after="0"/>
              <w:jc w:val="center"/>
            </w:pPr>
            <w:r>
              <w:rPr>
                <w:sz w:val="16"/>
              </w:rPr>
              <w:t>&lt;0,1</w:t>
            </w:r>
          </w:p>
        </w:tc>
        <w:tc>
          <w:tcPr>
            <w:tcW w:type="dxa" w:w="964"/>
          </w:tcPr>
          <w:p>
            <w:pPr>
              <w:keepNext/>
              <w:spacing w:after="0"/>
              <w:jc w:val="center"/>
            </w:pPr>
            <w:r>
              <w:rPr>
                <w:sz w:val="16"/>
              </w:rPr>
              <w:t>1300</w:t>
            </w:r>
          </w:p>
        </w:tc>
      </w:tr>
      <w:tr>
        <w:tc>
          <w:tcPr>
            <w:tcW w:type="dxa" w:w="2041"/>
          </w:tcPr>
          <w:p>
            <w:pPr>
              <w:keepNext/>
              <w:spacing w:after="0"/>
              <w:jc w:val="left"/>
            </w:pPr>
            <w:r>
              <w:rPr>
                <w:sz w:val="16"/>
              </w:rPr>
              <w:t>TSB, Croston</w:t>
            </w:r>
          </w:p>
        </w:tc>
        <w:tc>
          <w:tcPr>
            <w:tcW w:type="dxa" w:w="1077"/>
          </w:tcPr>
          <w:p>
            <w:pPr>
              <w:keepNext/>
              <w:spacing w:after="0"/>
              <w:jc w:val="center"/>
            </w:pPr>
            <w:r>
              <w:rPr>
                <w:sz w:val="16"/>
              </w:rPr>
              <w:t>0,2</w:t>
            </w:r>
          </w:p>
        </w:tc>
        <w:tc>
          <w:tcPr>
            <w:tcW w:type="dxa" w:w="1077"/>
          </w:tcPr>
          <w:p>
            <w:pPr>
              <w:keepNext/>
              <w:spacing w:after="0"/>
              <w:jc w:val="center"/>
            </w:pPr>
            <w:r>
              <w:rPr>
                <w:sz w:val="16"/>
              </w:rPr>
              <w:t>0,3</w:t>
            </w:r>
          </w:p>
        </w:tc>
        <w:tc>
          <w:tcPr>
            <w:tcW w:type="dxa" w:w="1077"/>
          </w:tcPr>
          <w:p>
            <w:pPr>
              <w:keepNext/>
              <w:spacing w:after="0"/>
              <w:jc w:val="center"/>
            </w:pPr>
            <w:r>
              <w:rPr>
                <w:sz w:val="16"/>
              </w:rPr>
              <w:t>8,5</w:t>
            </w:r>
          </w:p>
        </w:tc>
        <w:tc>
          <w:tcPr>
            <w:tcW w:type="dxa" w:w="1134"/>
          </w:tcPr>
          <w:p>
            <w:pPr>
              <w:keepNext/>
              <w:spacing w:after="0"/>
              <w:jc w:val="center"/>
            </w:pPr>
            <w:r>
              <w:rPr>
                <w:sz w:val="16"/>
              </w:rPr>
              <w:t>14</w:t>
            </w:r>
          </w:p>
        </w:tc>
        <w:tc>
          <w:tcPr>
            <w:tcW w:type="dxa" w:w="964"/>
          </w:tcPr>
          <w:p>
            <w:pPr>
              <w:keepNext/>
              <w:spacing w:after="0"/>
              <w:jc w:val="center"/>
            </w:pPr>
            <w:r>
              <w:rPr>
                <w:sz w:val="16"/>
              </w:rPr>
              <w:t>1400</w:t>
            </w:r>
          </w:p>
        </w:tc>
      </w:tr>
      <w:tr>
        <w:tc>
          <w:tcPr>
            <w:tcW w:type="dxa" w:w="2041"/>
          </w:tcPr>
          <w:p>
            <w:pPr>
              <w:keepNext/>
              <w:spacing w:after="0"/>
              <w:jc w:val="left"/>
            </w:pPr>
            <w:r>
              <w:rPr>
                <w:sz w:val="16"/>
              </w:rPr>
              <w:t>TTM-r2</w:t>
            </w:r>
          </w:p>
        </w:tc>
        <w:tc>
          <w:tcPr>
            <w:tcW w:type="dxa" w:w="1077"/>
          </w:tcPr>
          <w:p>
            <w:pPr>
              <w:keepNext/>
              <w:spacing w:after="0"/>
              <w:jc w:val="center"/>
            </w:pPr>
            <w:r>
              <w:rPr>
                <w:sz w:val="16"/>
              </w:rPr>
              <w:t>1,3</w:t>
            </w:r>
          </w:p>
        </w:tc>
        <w:tc>
          <w:tcPr>
            <w:tcW w:type="dxa" w:w="1077"/>
          </w:tcPr>
          <w:p>
            <w:pPr>
              <w:keepNext/>
              <w:spacing w:after="0"/>
              <w:jc w:val="center"/>
            </w:pPr>
            <w:r>
              <w:rPr>
                <w:sz w:val="16"/>
              </w:rPr>
              <w:t>1,7</w:t>
            </w:r>
          </w:p>
        </w:tc>
        <w:tc>
          <w:tcPr>
            <w:tcW w:type="dxa" w:w="1077"/>
          </w:tcPr>
          <w:p>
            <w:pPr>
              <w:keepNext/>
              <w:spacing w:after="0"/>
              <w:jc w:val="center"/>
            </w:pPr>
            <w:r>
              <w:rPr>
                <w:sz w:val="16"/>
              </w:rPr>
              <w:t>6,7</w:t>
            </w:r>
          </w:p>
        </w:tc>
        <w:tc>
          <w:tcPr>
            <w:tcW w:type="dxa" w:w="1134"/>
          </w:tcPr>
          <w:p>
            <w:pPr>
              <w:keepNext/>
              <w:spacing w:after="0"/>
              <w:jc w:val="center"/>
            </w:pPr>
            <w:r>
              <w:rPr>
                <w:sz w:val="16"/>
              </w:rPr>
              <w:t>15</w:t>
            </w:r>
          </w:p>
        </w:tc>
        <w:tc>
          <w:tcPr>
            <w:tcW w:type="dxa" w:w="964"/>
          </w:tcPr>
          <w:p>
            <w:pPr>
              <w:keepNext/>
              <w:spacing w:after="0"/>
              <w:jc w:val="center"/>
            </w:pPr>
            <w:r>
              <w:rPr>
                <w:sz w:val="16"/>
              </w:rPr>
              <w:t>1586</w:t>
            </w:r>
          </w:p>
        </w:tc>
      </w:tr>
      <w:tr>
        <w:tc>
          <w:tcPr>
            <w:tcW w:type="dxa" w:w="2041"/>
          </w:tcPr>
          <w:p>
            <w:pPr>
              <w:keepNext/>
              <w:spacing w:after="0"/>
              <w:jc w:val="left"/>
            </w:pPr>
            <w:r>
              <w:rPr>
                <w:sz w:val="16"/>
              </w:rPr>
              <w:t>Chronos-Bolt-S</w:t>
            </w:r>
          </w:p>
        </w:tc>
        <w:tc>
          <w:tcPr>
            <w:tcW w:type="dxa" w:w="1077"/>
          </w:tcPr>
          <w:p>
            <w:pPr>
              <w:keepNext/>
              <w:spacing w:after="0"/>
              <w:jc w:val="center"/>
            </w:pPr>
            <w:r>
              <w:rPr>
                <w:sz w:val="16"/>
              </w:rPr>
              <w:t>8,2</w:t>
            </w:r>
          </w:p>
        </w:tc>
        <w:tc>
          <w:tcPr>
            <w:tcW w:type="dxa" w:w="1077"/>
          </w:tcPr>
          <w:p>
            <w:pPr>
              <w:keepNext/>
              <w:spacing w:after="0"/>
              <w:jc w:val="center"/>
            </w:pPr>
            <w:r>
              <w:rPr>
                <w:sz w:val="16"/>
              </w:rPr>
              <w:t>13,5</w:t>
            </w:r>
          </w:p>
        </w:tc>
        <w:tc>
          <w:tcPr>
            <w:tcW w:type="dxa" w:w="1077"/>
          </w:tcPr>
          <w:p>
            <w:pPr>
              <w:keepNext/>
              <w:spacing w:after="0"/>
              <w:jc w:val="center"/>
            </w:pPr>
            <w:r>
              <w:rPr>
                <w:sz w:val="16"/>
              </w:rPr>
              <w:t>94</w:t>
            </w:r>
          </w:p>
        </w:tc>
        <w:tc>
          <w:tcPr>
            <w:tcW w:type="dxa" w:w="1134"/>
          </w:tcPr>
          <w:p>
            <w:pPr>
              <w:keepNext/>
              <w:spacing w:after="0"/>
              <w:jc w:val="center"/>
            </w:pPr>
            <w:r>
              <w:rPr>
                <w:sz w:val="16"/>
              </w:rPr>
              <w:t>338</w:t>
            </w:r>
          </w:p>
        </w:tc>
        <w:tc>
          <w:tcPr>
            <w:tcW w:type="dxa" w:w="964"/>
          </w:tcPr>
          <w:p>
            <w:pPr>
              <w:keepNext/>
              <w:spacing w:after="0"/>
              <w:jc w:val="center"/>
            </w:pPr>
            <w:r>
              <w:rPr>
                <w:sz w:val="16"/>
              </w:rPr>
              <w:t>1943</w:t>
            </w:r>
          </w:p>
        </w:tc>
      </w:tr>
      <w:tr>
        <w:tc>
          <w:tcPr>
            <w:tcW w:type="dxa" w:w="2041"/>
          </w:tcPr>
          <w:p>
            <w:pPr>
              <w:keepNext/>
              <w:spacing w:after="0"/>
              <w:jc w:val="left"/>
            </w:pPr>
            <w:r>
              <w:rPr>
                <w:sz w:val="16"/>
              </w:rPr>
              <w:t>Moirai-2-S</w:t>
            </w:r>
          </w:p>
        </w:tc>
        <w:tc>
          <w:tcPr>
            <w:tcW w:type="dxa" w:w="1077"/>
          </w:tcPr>
          <w:p>
            <w:pPr>
              <w:keepNext/>
              <w:spacing w:after="0"/>
              <w:jc w:val="center"/>
            </w:pPr>
            <w:r>
              <w:rPr>
                <w:sz w:val="16"/>
              </w:rPr>
              <w:t>4,2</w:t>
            </w:r>
          </w:p>
        </w:tc>
        <w:tc>
          <w:tcPr>
            <w:tcW w:type="dxa" w:w="1077"/>
          </w:tcPr>
          <w:p>
            <w:pPr>
              <w:keepNext/>
              <w:spacing w:after="0"/>
              <w:jc w:val="center"/>
            </w:pPr>
            <w:r>
              <w:rPr>
                <w:sz w:val="16"/>
              </w:rPr>
              <w:t>10,5</w:t>
            </w:r>
          </w:p>
        </w:tc>
        <w:tc>
          <w:tcPr>
            <w:tcW w:type="dxa" w:w="1077"/>
          </w:tcPr>
          <w:p>
            <w:pPr>
              <w:keepNext/>
              <w:spacing w:after="0"/>
              <w:jc w:val="center"/>
            </w:pPr>
            <w:r>
              <w:rPr>
                <w:sz w:val="16"/>
              </w:rPr>
              <w:t>112</w:t>
            </w:r>
          </w:p>
        </w:tc>
        <w:tc>
          <w:tcPr>
            <w:tcW w:type="dxa" w:w="1134"/>
          </w:tcPr>
          <w:p>
            <w:pPr>
              <w:keepNext/>
              <w:spacing w:after="0"/>
              <w:jc w:val="center"/>
            </w:pPr>
            <w:r>
              <w:rPr>
                <w:sz w:val="16"/>
              </w:rPr>
              <w:t>473</w:t>
            </w:r>
          </w:p>
        </w:tc>
        <w:tc>
          <w:tcPr>
            <w:tcW w:type="dxa" w:w="964"/>
          </w:tcPr>
          <w:p>
            <w:pPr>
              <w:keepNext/>
              <w:spacing w:after="0"/>
              <w:jc w:val="center"/>
            </w:pPr>
            <w:r>
              <w:rPr>
                <w:sz w:val="16"/>
              </w:rPr>
              <w:t>1667</w:t>
            </w:r>
          </w:p>
        </w:tc>
      </w:tr>
      <w:tr>
        <w:tc>
          <w:tcPr>
            <w:tcW w:type="dxa" w:w="2041"/>
          </w:tcPr>
          <w:p>
            <w:pPr>
              <w:keepNext/>
              <w:spacing w:after="0"/>
              <w:jc w:val="left"/>
            </w:pPr>
            <w:r>
              <w:rPr>
                <w:sz w:val="16"/>
              </w:rPr>
              <w:t>Toto (mean)</w:t>
            </w:r>
          </w:p>
        </w:tc>
        <w:tc>
          <w:tcPr>
            <w:tcW w:type="dxa" w:w="1077"/>
          </w:tcPr>
          <w:p>
            <w:pPr>
              <w:keepNext/>
              <w:spacing w:after="0"/>
              <w:jc w:val="center"/>
            </w:pPr>
            <w:r>
              <w:rPr>
                <w:sz w:val="16"/>
              </w:rPr>
              <w:t>27,7</w:t>
            </w:r>
          </w:p>
        </w:tc>
        <w:tc>
          <w:tcPr>
            <w:tcW w:type="dxa" w:w="1077"/>
          </w:tcPr>
          <w:p>
            <w:pPr>
              <w:keepNext/>
              <w:spacing w:after="0"/>
              <w:jc w:val="center"/>
            </w:pPr>
            <w:r>
              <w:rPr>
                <w:sz w:val="16"/>
              </w:rPr>
              <w:t>29,2</w:t>
            </w:r>
          </w:p>
        </w:tc>
        <w:tc>
          <w:tcPr>
            <w:tcW w:type="dxa" w:w="1077"/>
          </w:tcPr>
          <w:p>
            <w:pPr>
              <w:keepNext/>
              <w:spacing w:after="0"/>
              <w:jc w:val="center"/>
            </w:pPr>
            <w:r>
              <w:rPr>
                <w:sz w:val="16"/>
              </w:rPr>
              <w:t>184</w:t>
            </w:r>
          </w:p>
        </w:tc>
        <w:tc>
          <w:tcPr>
            <w:tcW w:type="dxa" w:w="1134"/>
          </w:tcPr>
          <w:p>
            <w:pPr>
              <w:keepNext/>
              <w:spacing w:after="0"/>
              <w:jc w:val="center"/>
            </w:pPr>
            <w:r>
              <w:rPr>
                <w:sz w:val="16"/>
              </w:rPr>
              <w:t>657</w:t>
            </w:r>
          </w:p>
        </w:tc>
        <w:tc>
          <w:tcPr>
            <w:tcW w:type="dxa" w:w="964"/>
          </w:tcPr>
          <w:p>
            <w:pPr>
              <w:keepNext/>
              <w:spacing w:after="0"/>
              <w:jc w:val="center"/>
            </w:pPr>
            <w:r>
              <w:rPr>
                <w:sz w:val="16"/>
              </w:rPr>
              <w:t>2925</w:t>
            </w:r>
          </w:p>
        </w:tc>
      </w:tr>
      <w:tr>
        <w:tc>
          <w:tcPr>
            <w:tcW w:type="dxa" w:w="2041"/>
          </w:tcPr>
          <w:p>
            <w:pPr>
              <w:keepNext/>
              <w:spacing w:after="0"/>
              <w:jc w:val="left"/>
            </w:pPr>
            <w:r>
              <w:rPr>
                <w:sz w:val="16"/>
              </w:rPr>
              <w:t>Chronos-2</w:t>
            </w:r>
          </w:p>
        </w:tc>
        <w:tc>
          <w:tcPr>
            <w:tcW w:type="dxa" w:w="1077"/>
          </w:tcPr>
          <w:p>
            <w:pPr>
              <w:keepNext/>
              <w:spacing w:after="0"/>
              <w:jc w:val="center"/>
            </w:pPr>
            <w:r>
              <w:rPr>
                <w:sz w:val="16"/>
              </w:rPr>
              <w:t>27,5</w:t>
            </w:r>
          </w:p>
        </w:tc>
        <w:tc>
          <w:tcPr>
            <w:tcW w:type="dxa" w:w="1077"/>
          </w:tcPr>
          <w:p>
            <w:pPr>
              <w:keepNext/>
              <w:spacing w:after="0"/>
              <w:jc w:val="center"/>
            </w:pPr>
            <w:r>
              <w:rPr>
                <w:sz w:val="16"/>
              </w:rPr>
              <w:t>49,5</w:t>
            </w:r>
          </w:p>
        </w:tc>
        <w:tc>
          <w:tcPr>
            <w:tcW w:type="dxa" w:w="1077"/>
          </w:tcPr>
          <w:p>
            <w:pPr>
              <w:keepNext/>
              <w:spacing w:after="0"/>
              <w:jc w:val="center"/>
            </w:pPr>
            <w:r>
              <w:rPr>
                <w:sz w:val="16"/>
              </w:rPr>
              <w:t>477</w:t>
            </w:r>
          </w:p>
        </w:tc>
        <w:tc>
          <w:tcPr>
            <w:tcW w:type="dxa" w:w="1134"/>
          </w:tcPr>
          <w:p>
            <w:pPr>
              <w:keepNext/>
              <w:spacing w:after="0"/>
              <w:jc w:val="center"/>
            </w:pPr>
            <w:r>
              <w:rPr>
                <w:sz w:val="16"/>
              </w:rPr>
              <w:t>1696</w:t>
            </w:r>
          </w:p>
        </w:tc>
        <w:tc>
          <w:tcPr>
            <w:tcW w:type="dxa" w:w="964"/>
          </w:tcPr>
          <w:p>
            <w:pPr>
              <w:keepNext/>
              <w:spacing w:after="0"/>
              <w:jc w:val="center"/>
            </w:pPr>
            <w:r>
              <w:rPr>
                <w:sz w:val="16"/>
              </w:rPr>
              <w:t>2481</w:t>
            </w:r>
          </w:p>
        </w:tc>
      </w:tr>
      <w:tr>
        <w:tc>
          <w:tcPr>
            <w:tcW w:type="dxa" w:w="2041"/>
          </w:tcPr>
          <w:p>
            <w:pPr>
              <w:keepNext/>
              <w:spacing w:after="0"/>
              <w:jc w:val="left"/>
            </w:pPr>
            <w:r>
              <w:rPr>
                <w:sz w:val="16"/>
              </w:rPr>
              <w:t>ETS (per deret)</w:t>
            </w:r>
          </w:p>
        </w:tc>
        <w:tc>
          <w:tcPr>
            <w:tcW w:type="dxa" w:w="1077"/>
          </w:tcPr>
          <w:p>
            <w:pPr>
              <w:keepNext/>
              <w:spacing w:after="0"/>
              <w:jc w:val="center"/>
            </w:pPr>
            <w:r>
              <w:rPr>
                <w:sz w:val="16"/>
              </w:rPr>
              <w:t>2,3</w:t>
            </w:r>
          </w:p>
        </w:tc>
        <w:tc>
          <w:tcPr>
            <w:tcW w:type="dxa" w:w="1077"/>
          </w:tcPr>
          <w:p>
            <w:pPr>
              <w:keepNext/>
              <w:spacing w:after="0"/>
              <w:jc w:val="center"/>
            </w:pPr>
            <w:r>
              <w:rPr>
                <w:sz w:val="16"/>
              </w:rPr>
              <w:t>8,4</w:t>
            </w:r>
          </w:p>
        </w:tc>
        <w:tc>
          <w:tcPr>
            <w:tcW w:type="dxa" w:w="1077"/>
          </w:tcPr>
          <w:p>
            <w:pPr>
              <w:keepNext/>
              <w:spacing w:after="0"/>
              <w:jc w:val="center"/>
            </w:pPr>
            <w:r>
              <w:rPr>
                <w:sz w:val="16"/>
              </w:rPr>
              <w:t>595</w:t>
            </w:r>
          </w:p>
        </w:tc>
        <w:tc>
          <w:tcPr>
            <w:tcW w:type="dxa" w:w="1134"/>
          </w:tcPr>
          <w:p>
            <w:pPr>
              <w:keepNext/>
              <w:spacing w:after="0"/>
              <w:jc w:val="center"/>
            </w:pPr>
            <w:r>
              <w:rPr>
                <w:sz w:val="16"/>
              </w:rPr>
              <w:t>3409</w:t>
            </w:r>
          </w:p>
        </w:tc>
        <w:tc>
          <w:tcPr>
            <w:tcW w:type="dxa" w:w="964"/>
          </w:tcPr>
          <w:p>
            <w:pPr>
              <w:keepNext/>
              <w:spacing w:after="0"/>
              <w:jc w:val="center"/>
            </w:pPr>
            <w:r>
              <w:rPr>
                <w:sz w:val="16"/>
              </w:rPr>
              <w:t>1342</w:t>
            </w:r>
          </w:p>
        </w:tc>
      </w:tr>
      <w:tr>
        <w:tc>
          <w:tcPr>
            <w:tcW w:type="dxa" w:w="2041"/>
          </w:tcPr>
          <w:p>
            <w:pPr>
              <w:keepNext/>
              <w:spacing w:after="0"/>
              <w:jc w:val="left"/>
            </w:pPr>
            <w:r>
              <w:rPr>
                <w:sz w:val="16"/>
              </w:rPr>
              <w:t>TimesFM-3</w:t>
            </w:r>
          </w:p>
        </w:tc>
        <w:tc>
          <w:tcPr>
            <w:tcW w:type="dxa" w:w="1077"/>
          </w:tcPr>
          <w:p>
            <w:pPr>
              <w:keepNext/>
              <w:spacing w:after="0"/>
              <w:jc w:val="center"/>
            </w:pPr>
            <w:r>
              <w:rPr>
                <w:sz w:val="16"/>
              </w:rPr>
              <w:t>74,8</w:t>
            </w:r>
          </w:p>
        </w:tc>
        <w:tc>
          <w:tcPr>
            <w:tcW w:type="dxa" w:w="1077"/>
          </w:tcPr>
          <w:p>
            <w:pPr>
              <w:keepNext/>
              <w:spacing w:after="0"/>
              <w:jc w:val="center"/>
            </w:pPr>
            <w:r>
              <w:rPr>
                <w:sz w:val="16"/>
              </w:rPr>
              <w:t>128,7</w:t>
            </w:r>
          </w:p>
        </w:tc>
        <w:tc>
          <w:tcPr>
            <w:tcW w:type="dxa" w:w="1077"/>
          </w:tcPr>
          <w:p>
            <w:pPr>
              <w:keepNext/>
              <w:spacing w:after="0"/>
              <w:jc w:val="center"/>
            </w:pPr>
            <w:r>
              <w:rPr>
                <w:sz w:val="16"/>
              </w:rPr>
              <w:t>1615</w:t>
            </w:r>
          </w:p>
        </w:tc>
        <w:tc>
          <w:tcPr>
            <w:tcW w:type="dxa" w:w="1134"/>
          </w:tcPr>
          <w:p>
            <w:pPr>
              <w:keepNext/>
              <w:spacing w:after="0"/>
              <w:jc w:val="center"/>
            </w:pPr>
            <w:r>
              <w:rPr>
                <w:sz w:val="16"/>
              </w:rPr>
              <w:t>3338</w:t>
            </w:r>
          </w:p>
        </w:tc>
        <w:tc>
          <w:tcPr>
            <w:tcW w:type="dxa" w:w="964"/>
          </w:tcPr>
          <w:p>
            <w:pPr>
              <w:keepNext/>
              <w:spacing w:after="0"/>
              <w:jc w:val="center"/>
            </w:pPr>
            <w:r>
              <w:rPr>
                <w:sz w:val="16"/>
              </w:rPr>
              <w:t>5044</w:t>
            </w:r>
          </w:p>
        </w:tc>
      </w:tr>
      <w:tr>
        <w:tc>
          <w:tcPr>
            <w:tcW w:type="dxa" w:w="2041"/>
          </w:tcPr>
          <w:p>
            <w:pPr>
              <w:keepNext/>
              <w:spacing w:after="0"/>
              <w:jc w:val="left"/>
            </w:pPr>
            <w:r>
              <w:rPr>
                <w:sz w:val="16"/>
              </w:rPr>
              <w:t>TimesFM-2.5ᵃ</w:t>
            </w:r>
          </w:p>
        </w:tc>
        <w:tc>
          <w:tcPr>
            <w:tcW w:type="dxa" w:w="1077"/>
          </w:tcPr>
          <w:p>
            <w:pPr>
              <w:keepNext/>
              <w:spacing w:after="0"/>
              <w:jc w:val="center"/>
            </w:pPr>
            <w:r>
              <w:rPr>
                <w:sz w:val="16"/>
              </w:rPr>
              <w:t>836</w:t>
            </w:r>
          </w:p>
        </w:tc>
        <w:tc>
          <w:tcPr>
            <w:tcW w:type="dxa" w:w="1077"/>
          </w:tcPr>
          <w:p>
            <w:pPr>
              <w:keepNext/>
              <w:spacing w:after="0"/>
              <w:jc w:val="center"/>
            </w:pPr>
            <w:r>
              <w:rPr>
                <w:sz w:val="16"/>
              </w:rPr>
              <w:t>3348</w:t>
            </w:r>
          </w:p>
        </w:tc>
        <w:tc>
          <w:tcPr>
            <w:tcW w:type="dxa" w:w="1077"/>
          </w:tcPr>
          <w:p>
            <w:pPr>
              <w:keepNext/>
              <w:spacing w:after="0"/>
              <w:jc w:val="center"/>
            </w:pPr>
            <w:r>
              <w:rPr>
                <w:sz w:val="16"/>
              </w:rPr>
              <w:t>838</w:t>
            </w:r>
          </w:p>
        </w:tc>
        <w:tc>
          <w:tcPr>
            <w:tcW w:type="dxa" w:w="1134"/>
          </w:tcPr>
          <w:p>
            <w:pPr>
              <w:keepNext/>
              <w:spacing w:after="0"/>
              <w:jc w:val="center"/>
            </w:pPr>
            <w:r>
              <w:rPr>
                <w:sz w:val="16"/>
              </w:rPr>
              <w:t>3604</w:t>
            </w:r>
          </w:p>
        </w:tc>
        <w:tc>
          <w:tcPr>
            <w:tcW w:type="dxa" w:w="964"/>
          </w:tcPr>
          <w:p>
            <w:pPr>
              <w:keepNext/>
              <w:spacing w:after="0"/>
              <w:jc w:val="center"/>
            </w:pPr>
            <w:r>
              <w:rPr>
                <w:sz w:val="16"/>
              </w:rPr>
              <w:t>4912</w:t>
            </w:r>
          </w:p>
        </w:tc>
      </w:tr>
      <w:tr>
        <w:tc>
          <w:tcPr>
            <w:tcW w:type="dxa" w:w="2041"/>
          </w:tcPr>
          <w:p>
            <w:pPr>
              <w:keepNext/>
              <w:spacing w:after="0"/>
              <w:jc w:val="left"/>
            </w:pPr>
            <w:r>
              <w:rPr>
                <w:sz w:val="16"/>
              </w:rPr>
              <w:t>TiRex</w:t>
            </w:r>
          </w:p>
        </w:tc>
        <w:tc>
          <w:tcPr>
            <w:tcW w:type="dxa" w:w="1077"/>
          </w:tcPr>
          <w:p>
            <w:pPr>
              <w:keepNext/>
              <w:spacing w:after="0"/>
              <w:jc w:val="center"/>
            </w:pPr>
            <w:r>
              <w:rPr>
                <w:sz w:val="16"/>
              </w:rPr>
              <w:t>223</w:t>
            </w:r>
          </w:p>
        </w:tc>
        <w:tc>
          <w:tcPr>
            <w:tcW w:type="dxa" w:w="1077"/>
          </w:tcPr>
          <w:p>
            <w:pPr>
              <w:keepNext/>
              <w:spacing w:after="0"/>
              <w:jc w:val="center"/>
            </w:pPr>
            <w:r>
              <w:rPr>
                <w:sz w:val="16"/>
              </w:rPr>
              <w:t>223</w:t>
            </w:r>
          </w:p>
        </w:tc>
        <w:tc>
          <w:tcPr>
            <w:tcW w:type="dxa" w:w="1077"/>
          </w:tcPr>
          <w:p>
            <w:pPr>
              <w:keepNext/>
              <w:spacing w:after="0"/>
              <w:jc w:val="center"/>
            </w:pPr>
            <w:r>
              <w:rPr>
                <w:sz w:val="16"/>
              </w:rPr>
              <w:t>9909</w:t>
            </w:r>
          </w:p>
        </w:tc>
        <w:tc>
          <w:tcPr>
            <w:tcW w:type="dxa" w:w="1134"/>
          </w:tcPr>
          <w:p>
            <w:pPr>
              <w:keepNext/>
              <w:spacing w:after="0"/>
              <w:jc w:val="center"/>
            </w:pPr>
            <w:r>
              <w:rPr>
                <w:sz w:val="16"/>
              </w:rPr>
              <w:t>9898</w:t>
            </w:r>
          </w:p>
        </w:tc>
        <w:tc>
          <w:tcPr>
            <w:tcW w:type="dxa" w:w="964"/>
          </w:tcPr>
          <w:p>
            <w:pPr>
              <w:keepNext/>
              <w:spacing w:after="0"/>
              <w:jc w:val="center"/>
            </w:pPr>
            <w:r>
              <w:rPr>
                <w:sz w:val="16"/>
              </w:rPr>
              <w:t>1887</w:t>
            </w:r>
          </w:p>
        </w:tc>
      </w:tr>
      <w:tr>
        <w:tc>
          <w:tcPr>
            <w:tcW w:type="dxa" w:w="2041"/>
            <w:tcBorders>
              <w:bottom w:val="single" w:sz="8" w:color="000000"/>
            </w:tcBorders>
          </w:tcPr>
          <w:p>
            <w:pPr>
              <w:keepNext w:val="0"/>
              <w:spacing w:after="0"/>
              <w:jc w:val="left"/>
            </w:pPr>
            <w:r>
              <w:rPr>
                <w:sz w:val="16"/>
              </w:rPr>
              <w:t>Toto (20 sampel)</w:t>
            </w:r>
          </w:p>
        </w:tc>
        <w:tc>
          <w:tcPr>
            <w:tcW w:type="dxa" w:w="1077"/>
            <w:tcBorders>
              <w:bottom w:val="single" w:sz="8" w:color="000000"/>
            </w:tcBorders>
          </w:tcPr>
          <w:p>
            <w:pPr>
              <w:keepNext w:val="0"/>
              <w:spacing w:after="0"/>
              <w:jc w:val="center"/>
            </w:pPr>
            <w:r>
              <w:rPr>
                <w:sz w:val="16"/>
              </w:rPr>
              <w:t>111</w:t>
            </w:r>
          </w:p>
        </w:tc>
        <w:tc>
          <w:tcPr>
            <w:tcW w:type="dxa" w:w="1077"/>
            <w:tcBorders>
              <w:bottom w:val="single" w:sz="8" w:color="000000"/>
            </w:tcBorders>
          </w:tcPr>
          <w:p>
            <w:pPr>
              <w:keepNext w:val="0"/>
              <w:spacing w:after="0"/>
              <w:jc w:val="center"/>
            </w:pPr>
            <w:r>
              <w:rPr>
                <w:sz w:val="16"/>
              </w:rPr>
              <w:t>283</w:t>
            </w:r>
          </w:p>
        </w:tc>
        <w:tc>
          <w:tcPr>
            <w:tcW w:type="dxa" w:w="1077"/>
            <w:tcBorders>
              <w:bottom w:val="single" w:sz="8" w:color="000000"/>
            </w:tcBorders>
          </w:tcPr>
          <w:p>
            <w:pPr>
              <w:keepNext w:val="0"/>
              <w:spacing w:after="0"/>
              <w:jc w:val="center"/>
            </w:pPr>
            <w:r>
              <w:rPr>
                <w:sz w:val="16"/>
              </w:rPr>
              <w:t>4154</w:t>
            </w:r>
          </w:p>
        </w:tc>
        <w:tc>
          <w:tcPr>
            <w:tcW w:type="dxa" w:w="1134"/>
            <w:tcBorders>
              <w:bottom w:val="single" w:sz="8" w:color="000000"/>
            </w:tcBorders>
          </w:tcPr>
          <w:p>
            <w:pPr>
              <w:keepNext w:val="0"/>
              <w:spacing w:after="0"/>
              <w:jc w:val="center"/>
            </w:pPr>
            <w:r>
              <w:rPr>
                <w:sz w:val="16"/>
              </w:rPr>
              <w:t>22994</w:t>
            </w:r>
          </w:p>
        </w:tc>
        <w:tc>
          <w:tcPr>
            <w:tcW w:type="dxa" w:w="964"/>
            <w:tcBorders>
              <w:bottom w:val="single" w:sz="8" w:color="000000"/>
            </w:tcBorders>
          </w:tcPr>
          <w:p>
            <w:pPr>
              <w:keepNext w:val="0"/>
              <w:spacing w:after="0"/>
              <w:jc w:val="center"/>
            </w:pPr>
            <w:r>
              <w:rPr>
                <w:sz w:val="16"/>
              </w:rPr>
              <w:t>9567</w:t>
            </w:r>
          </w:p>
        </w:tc>
      </w:tr>
    </w:tbl>
    <w:p>
      <w:pPr>
        <w:spacing w:after="40"/>
      </w:pPr>
    </w:p>
    <w:p>
      <w:pPr>
        <w:keepNext/>
        <w:jc w:val="center"/>
      </w:pPr>
      <w:r>
        <w:drawing>
          <wp:inline xmlns:a="http://schemas.openxmlformats.org/drawingml/2006/main" xmlns:pic="http://schemas.openxmlformats.org/drawingml/2006/picture">
            <wp:extent cx="3780000" cy="3091734"/>
            <wp:docPr id="3" name="Picture 3"/>
            <wp:cNvGraphicFramePr>
              <a:graphicFrameLocks noChangeAspect="1"/>
            </wp:cNvGraphicFramePr>
            <a:graphic>
              <a:graphicData uri="http://schemas.openxmlformats.org/drawingml/2006/picture">
                <pic:pic>
                  <pic:nvPicPr>
                    <pic:cNvPr id="0" name="pareto_accuracy_latency_id.png"/>
                    <pic:cNvPicPr/>
                  </pic:nvPicPr>
                  <pic:blipFill>
                    <a:blip r:embed="rId11"/>
                    <a:stretch>
                      <a:fillRect/>
                    </a:stretch>
                  </pic:blipFill>
                  <pic:spPr>
                    <a:xfrm>
                      <a:off x="0" y="0"/>
                      <a:ext cx="3780000" cy="3091734"/>
                    </a:xfrm>
                    <a:prstGeom prst="rect"/>
                  </pic:spPr>
                </pic:pic>
              </a:graphicData>
            </a:graphic>
          </wp:inline>
        </w:drawing>
      </w:r>
    </w:p>
    <w:p>
      <w:pPr>
        <w:jc w:val="center"/>
      </w:pPr>
      <w:r>
        <w:rPr>
          <w:b/>
          <w:sz w:val="19"/>
        </w:rPr>
        <w:t>Gambar 3.</w:t>
      </w:r>
      <w:r>
        <w:rPr>
          <w:sz w:val="19"/>
        </w:rPr>
        <w:t xml:space="preserve"> Akurasi (rata-rata geometrik relMASE pada empat dataset padat) terhadap latensi CPU (batch 64, C = 2048). Garis titik: akurasi baseline terlatih, yang latensinya tidak diukur.</w:t>
      </w:r>
    </w:p>
    <w:p>
      <w:pPr>
        <w:jc w:val="both"/>
      </w:pPr>
      <w:r>
        <w:rPr/>
        <w:t>Chronos-2 (1,7 detik per 64 deret) dan Toto dalam mode mean (0,66 detik) mendominasi TimesFM-3: akurasinya setara, tetapi TimesFM-3 butuh 3,3 detik (Gambar 3). TiRex paling lambat di antara TSFM besar (9,9 detik) dan akurasinya lebih rendah. ETS yang di-fit per deret pada konteks 2048 sudah sama lambatnya dengan TimesFM-3, jadi inferensi TSFM besar tidak lebih mahal daripada fitting statistik lokal. Dalam skala run penuh, satu siklus forecast per jam untuk 550 aplikasi butuh ±37 detik dengan TimesFM-3 dan ±100 detik dengan TiRex di CPU laptop, jauh di bawah anggaran 60 menit. Sebagai pembanding, training baseline untuk Azure 2019 1 menit butuh 384 detik (LightGBM), 1615 detik (LSTM), dan 2233 detik (N-BEATS), dan training ini harus diulang setiap kali pola beban berubah.</w:t>
      </w:r>
    </w:p>
    <w:p>
      <w:pPr>
        <w:jc w:val="both"/>
      </w:pPr>
      <w:r>
        <w:rPr/>
        <w:t>Peramalan probabilistik berbasis sampel paling tidak efisien. Toto dengan 20 sampel 35× lebih lambat dan memakai 9,6 GB RAM, tetapi relMASE-nya lebih buruk daripada mode mean (Huawei 0,595 vs 0,515; Alibaba 0,697 vs 0,639).</w:t>
      </w:r>
    </w:p>
    <w:p>
      <w:pPr>
        <w:pStyle w:val="Heading2"/>
      </w:pPr>
      <w:r>
        <w:t>4.5 Keputusan autoscaling (RQ3)</w:t>
      </w:r>
    </w:p>
    <w:p>
      <w:pPr>
        <w:keepNext/>
        <w:jc w:val="center"/>
      </w:pPr>
      <w:r>
        <w:drawing>
          <wp:inline xmlns:a="http://schemas.openxmlformats.org/drawingml/2006/main" xmlns:pic="http://schemas.openxmlformats.org/drawingml/2006/picture">
            <wp:extent cx="5580000" cy="2128937"/>
            <wp:docPr id="4" name="Picture 4"/>
            <wp:cNvGraphicFramePr>
              <a:graphicFrameLocks noChangeAspect="1"/>
            </wp:cNvGraphicFramePr>
            <a:graphic>
              <a:graphicData uri="http://schemas.openxmlformats.org/drawingml/2006/picture">
                <pic:pic>
                  <pic:nvPicPr>
                    <pic:cNvPr id="0" name="tradeoff_autoscaling_id.png"/>
                    <pic:cNvPicPr/>
                  </pic:nvPicPr>
                  <pic:blipFill>
                    <a:blip r:embed="rId12"/>
                    <a:stretch>
                      <a:fillRect/>
                    </a:stretch>
                  </pic:blipFill>
                  <pic:spPr>
                    <a:xfrm>
                      <a:off x="0" y="0"/>
                      <a:ext cx="5580000" cy="2128937"/>
                    </a:xfrm>
                    <a:prstGeom prst="rect"/>
                  </pic:spPr>
                </pic:pic>
              </a:graphicData>
            </a:graphic>
          </wp:inline>
        </w:drawing>
      </w:r>
    </w:p>
    <w:p>
      <w:pPr>
        <w:jc w:val="center"/>
      </w:pPr>
      <w:r>
        <w:rPr>
          <w:b/>
          <w:sz w:val="19"/>
        </w:rPr>
        <w:t>Gambar 4.</w:t>
      </w:r>
      <w:r>
        <w:rPr>
          <w:sz w:val="19"/>
        </w:rPr>
        <w:t xml:space="preserve"> Kurva trade-off autoscaling (skala log). Setiap kurva menyapu kenop policy-nya: kuantil τ untuk prediktif/hybrid, durasi keep-alive atau target utilisasi untuk reaktif. Kiri bawah lebih baik.</w:t>
      </w:r>
    </w:p>
    <w:p>
      <w:pPr>
        <w:keepNext/>
      </w:pPr>
      <w:r>
        <w:rPr>
          <w:b/>
          <w:sz w:val="19"/>
        </w:rPr>
        <w:t>Tabel 7.</w:t>
      </w:r>
      <w:r>
        <w:rPr>
          <w:sz w:val="19"/>
        </w:rPr>
        <w:t xml:space="preserve"> Simulasi serverless Azure 2019 (548 aplikasi, resolusi 1 menit, 2 hari test).</w:t>
      </w:r>
    </w:p>
    <w:tbl>
      <w:tblPr>
        <w:tblW w:type="auto" w:w="0"/>
        <w:jc w:val="center"/>
        <w:tblLayout w:type="fixed"/>
        <w:tblLook w:firstColumn="1" w:firstRow="1" w:lastColumn="0" w:lastRow="0" w:noHBand="0" w:noVBand="1" w:val="04A0"/>
        <w:tblLayout w:type="fixed"/>
      </w:tblPr>
      <w:tblGrid>
        <w:gridCol w:w="3402"/>
        <w:gridCol w:w="1474"/>
        <w:gridCol w:w="1814"/>
      </w:tblGrid>
      <w:tr>
        <w:tc>
          <w:tcPr>
            <w:tcW w:type="dxa" w:w="3402"/>
            <w:tcBorders>
              <w:top w:val="single" w:sz="8" w:color="000000"/>
              <w:bottom w:val="single" w:sz="4" w:color="000000"/>
            </w:tcBorders>
          </w:tcPr>
          <w:p>
            <w:pPr>
              <w:keepNext/>
              <w:spacing w:after="0"/>
              <w:jc w:val="left"/>
            </w:pPr>
            <w:r>
              <w:rPr>
                <w:b/>
                <w:sz w:val="17"/>
              </w:rPr>
              <w:t>Policy</w:t>
            </w:r>
          </w:p>
        </w:tc>
        <w:tc>
          <w:tcPr>
            <w:tcW w:type="dxa" w:w="1474"/>
            <w:tcBorders>
              <w:top w:val="single" w:sz="8" w:color="000000"/>
              <w:bottom w:val="single" w:sz="4" w:color="000000"/>
            </w:tcBorders>
          </w:tcPr>
          <w:p>
            <w:pPr>
              <w:keepNext/>
              <w:spacing w:after="0"/>
              <w:jc w:val="center"/>
            </w:pPr>
            <w:r>
              <w:rPr>
                <w:b/>
                <w:sz w:val="17"/>
              </w:rPr>
              <w:t>Cold start</w:t>
            </w:r>
          </w:p>
        </w:tc>
        <w:tc>
          <w:tcPr>
            <w:tcW w:type="dxa" w:w="1814"/>
            <w:tcBorders>
              <w:top w:val="single" w:sz="8" w:color="000000"/>
              <w:bottom w:val="single" w:sz="4" w:color="000000"/>
            </w:tcBorders>
          </w:tcPr>
          <w:p>
            <w:pPr>
              <w:keepNext/>
              <w:spacing w:after="0"/>
              <w:jc w:val="center"/>
            </w:pPr>
            <w:r>
              <w:rPr>
                <w:b/>
                <w:sz w:val="17"/>
              </w:rPr>
              <w:t>Idle / kebutuhan</w:t>
            </w:r>
          </w:p>
        </w:tc>
      </w:tr>
      <w:tr>
        <w:tc>
          <w:tcPr>
            <w:tcW w:type="dxa" w:w="3402"/>
          </w:tcPr>
          <w:p>
            <w:pPr>
              <w:keepNext/>
              <w:spacing w:after="0"/>
              <w:jc w:val="left"/>
            </w:pPr>
            <w:r>
              <w:rPr>
                <w:sz w:val="17"/>
              </w:rPr>
              <w:t>Keep-alive 5 menit</w:t>
            </w:r>
          </w:p>
        </w:tc>
        <w:tc>
          <w:tcPr>
            <w:tcW w:type="dxa" w:w="1474"/>
          </w:tcPr>
          <w:p>
            <w:pPr>
              <w:keepNext/>
              <w:spacing w:after="0"/>
              <w:jc w:val="center"/>
            </w:pPr>
            <w:r>
              <w:rPr>
                <w:sz w:val="17"/>
              </w:rPr>
              <w:t>3,9%</w:t>
            </w:r>
          </w:p>
        </w:tc>
        <w:tc>
          <w:tcPr>
            <w:tcW w:type="dxa" w:w="1814"/>
          </w:tcPr>
          <w:p>
            <w:pPr>
              <w:keepNext/>
              <w:spacing w:after="0"/>
              <w:jc w:val="center"/>
            </w:pPr>
            <w:r>
              <w:rPr>
                <w:sz w:val="17"/>
              </w:rPr>
              <w:t>0,26</w:t>
            </w:r>
          </w:p>
        </w:tc>
      </w:tr>
      <w:tr>
        <w:tc>
          <w:tcPr>
            <w:tcW w:type="dxa" w:w="3402"/>
          </w:tcPr>
          <w:p>
            <w:pPr>
              <w:keepNext/>
              <w:spacing w:after="0"/>
              <w:jc w:val="left"/>
            </w:pPr>
            <w:r>
              <w:rPr>
                <w:sz w:val="17"/>
              </w:rPr>
              <w:t>Keep-alive 10 menit</w:t>
            </w:r>
          </w:p>
        </w:tc>
        <w:tc>
          <w:tcPr>
            <w:tcW w:type="dxa" w:w="1474"/>
          </w:tcPr>
          <w:p>
            <w:pPr>
              <w:keepNext/>
              <w:spacing w:after="0"/>
              <w:jc w:val="center"/>
            </w:pPr>
            <w:r>
              <w:rPr>
                <w:sz w:val="17"/>
              </w:rPr>
              <w:t>3,3%</w:t>
            </w:r>
          </w:p>
        </w:tc>
        <w:tc>
          <w:tcPr>
            <w:tcW w:type="dxa" w:w="1814"/>
          </w:tcPr>
          <w:p>
            <w:pPr>
              <w:keepNext/>
              <w:spacing w:after="0"/>
              <w:jc w:val="center"/>
            </w:pPr>
            <w:r>
              <w:rPr>
                <w:sz w:val="17"/>
              </w:rPr>
              <w:t>0,43</w:t>
            </w:r>
          </w:p>
        </w:tc>
      </w:tr>
      <w:tr>
        <w:tc>
          <w:tcPr>
            <w:tcW w:type="dxa" w:w="3402"/>
          </w:tcPr>
          <w:p>
            <w:pPr>
              <w:keepNext/>
              <w:spacing w:after="0"/>
              <w:jc w:val="left"/>
            </w:pPr>
            <w:r>
              <w:rPr>
                <w:sz w:val="17"/>
              </w:rPr>
              <w:t>Keep-alive 30 menit</w:t>
            </w:r>
          </w:p>
        </w:tc>
        <w:tc>
          <w:tcPr>
            <w:tcW w:type="dxa" w:w="1474"/>
          </w:tcPr>
          <w:p>
            <w:pPr>
              <w:keepNext/>
              <w:spacing w:after="0"/>
              <w:jc w:val="center"/>
            </w:pPr>
            <w:r>
              <w:rPr>
                <w:sz w:val="17"/>
              </w:rPr>
              <w:t>0,7%</w:t>
            </w:r>
          </w:p>
        </w:tc>
        <w:tc>
          <w:tcPr>
            <w:tcW w:type="dxa" w:w="1814"/>
          </w:tcPr>
          <w:p>
            <w:pPr>
              <w:keepNext/>
              <w:spacing w:after="0"/>
              <w:jc w:val="center"/>
            </w:pPr>
            <w:r>
              <w:rPr>
                <w:sz w:val="17"/>
              </w:rPr>
              <w:t>0,99</w:t>
            </w:r>
          </w:p>
        </w:tc>
      </w:tr>
      <w:tr>
        <w:tc>
          <w:tcPr>
            <w:tcW w:type="dxa" w:w="3402"/>
          </w:tcPr>
          <w:p>
            <w:pPr>
              <w:keepNext/>
              <w:spacing w:after="0"/>
              <w:jc w:val="left"/>
            </w:pPr>
            <w:r>
              <w:rPr>
                <w:sz w:val="17"/>
              </w:rPr>
              <w:t>Prediktif TimesFM-3, τ = 0,9</w:t>
            </w:r>
          </w:p>
        </w:tc>
        <w:tc>
          <w:tcPr>
            <w:tcW w:type="dxa" w:w="1474"/>
          </w:tcPr>
          <w:p>
            <w:pPr>
              <w:keepNext/>
              <w:spacing w:after="0"/>
              <w:jc w:val="center"/>
            </w:pPr>
            <w:r>
              <w:rPr>
                <w:sz w:val="17"/>
              </w:rPr>
              <w:t>1,9%</w:t>
            </w:r>
          </w:p>
        </w:tc>
        <w:tc>
          <w:tcPr>
            <w:tcW w:type="dxa" w:w="1814"/>
          </w:tcPr>
          <w:p>
            <w:pPr>
              <w:keepNext/>
              <w:spacing w:after="0"/>
              <w:jc w:val="center"/>
            </w:pPr>
            <w:r>
              <w:rPr>
                <w:sz w:val="17"/>
              </w:rPr>
              <w:t>0,19</w:t>
            </w:r>
          </w:p>
        </w:tc>
      </w:tr>
      <w:tr>
        <w:tc>
          <w:tcPr>
            <w:tcW w:type="dxa" w:w="3402"/>
          </w:tcPr>
          <w:p>
            <w:pPr>
              <w:keepNext/>
              <w:spacing w:after="0"/>
              <w:jc w:val="left"/>
            </w:pPr>
            <w:r>
              <w:rPr>
                <w:sz w:val="17"/>
              </w:rPr>
              <w:t>Prediktif Chronos-2, τ = 0,9</w:t>
            </w:r>
          </w:p>
        </w:tc>
        <w:tc>
          <w:tcPr>
            <w:tcW w:type="dxa" w:w="1474"/>
          </w:tcPr>
          <w:p>
            <w:pPr>
              <w:keepNext/>
              <w:spacing w:after="0"/>
              <w:jc w:val="center"/>
            </w:pPr>
            <w:r>
              <w:rPr>
                <w:sz w:val="17"/>
              </w:rPr>
              <w:t>1,9%</w:t>
            </w:r>
          </w:p>
        </w:tc>
        <w:tc>
          <w:tcPr>
            <w:tcW w:type="dxa" w:w="1814"/>
          </w:tcPr>
          <w:p>
            <w:pPr>
              <w:keepNext/>
              <w:spacing w:after="0"/>
              <w:jc w:val="center"/>
            </w:pPr>
            <w:r>
              <w:rPr>
                <w:sz w:val="17"/>
              </w:rPr>
              <w:t>0,18</w:t>
            </w:r>
          </w:p>
        </w:tc>
      </w:tr>
      <w:tr>
        <w:tc>
          <w:tcPr>
            <w:tcW w:type="dxa" w:w="3402"/>
          </w:tcPr>
          <w:p>
            <w:pPr>
              <w:keepNext/>
              <w:spacing w:after="0"/>
              <w:jc w:val="left"/>
            </w:pPr>
            <w:r>
              <w:rPr>
                <w:sz w:val="17"/>
              </w:rPr>
              <w:t>Prediktif LightGBM, τ = 0,9</w:t>
            </w:r>
          </w:p>
        </w:tc>
        <w:tc>
          <w:tcPr>
            <w:tcW w:type="dxa" w:w="1474"/>
          </w:tcPr>
          <w:p>
            <w:pPr>
              <w:keepNext/>
              <w:spacing w:after="0"/>
              <w:jc w:val="center"/>
            </w:pPr>
            <w:r>
              <w:rPr>
                <w:sz w:val="17"/>
              </w:rPr>
              <w:t>2,6%</w:t>
            </w:r>
          </w:p>
        </w:tc>
        <w:tc>
          <w:tcPr>
            <w:tcW w:type="dxa" w:w="1814"/>
          </w:tcPr>
          <w:p>
            <w:pPr>
              <w:keepNext/>
              <w:spacing w:after="0"/>
              <w:jc w:val="center"/>
            </w:pPr>
            <w:r>
              <w:rPr>
                <w:sz w:val="17"/>
              </w:rPr>
              <w:t>0,33</w:t>
            </w:r>
          </w:p>
        </w:tc>
      </w:tr>
      <w:tr>
        <w:tc>
          <w:tcPr>
            <w:tcW w:type="dxa" w:w="3402"/>
          </w:tcPr>
          <w:p>
            <w:pPr>
              <w:keepNext/>
              <w:spacing w:after="0"/>
              <w:jc w:val="left"/>
            </w:pPr>
            <w:r>
              <w:rPr>
                <w:sz w:val="17"/>
              </w:rPr>
              <w:t>Prediktif naive, τ = 0,9</w:t>
            </w:r>
          </w:p>
        </w:tc>
        <w:tc>
          <w:tcPr>
            <w:tcW w:type="dxa" w:w="1474"/>
          </w:tcPr>
          <w:p>
            <w:pPr>
              <w:keepNext/>
              <w:spacing w:after="0"/>
              <w:jc w:val="center"/>
            </w:pPr>
            <w:r>
              <w:rPr>
                <w:sz w:val="17"/>
              </w:rPr>
              <w:t>3,0%</w:t>
            </w:r>
          </w:p>
        </w:tc>
        <w:tc>
          <w:tcPr>
            <w:tcW w:type="dxa" w:w="1814"/>
          </w:tcPr>
          <w:p>
            <w:pPr>
              <w:keepNext/>
              <w:spacing w:after="0"/>
              <w:jc w:val="center"/>
            </w:pPr>
            <w:r>
              <w:rPr>
                <w:sz w:val="17"/>
              </w:rPr>
              <w:t>0,99</w:t>
            </w:r>
          </w:p>
        </w:tc>
      </w:tr>
      <w:tr>
        <w:tc>
          <w:tcPr>
            <w:tcW w:type="dxa" w:w="3402"/>
          </w:tcPr>
          <w:p>
            <w:pPr>
              <w:keepNext/>
              <w:spacing w:after="0"/>
              <w:jc w:val="left"/>
            </w:pPr>
            <w:r>
              <w:rPr>
                <w:sz w:val="17"/>
              </w:rPr>
              <w:t>Hybrid TimesFM-3, τ = 0,9</w:t>
            </w:r>
          </w:p>
        </w:tc>
        <w:tc>
          <w:tcPr>
            <w:tcW w:type="dxa" w:w="1474"/>
          </w:tcPr>
          <w:p>
            <w:pPr>
              <w:keepNext/>
              <w:spacing w:after="0"/>
              <w:jc w:val="center"/>
            </w:pPr>
            <w:r>
              <w:rPr>
                <w:sz w:val="17"/>
              </w:rPr>
              <w:t>0,5%</w:t>
            </w:r>
          </w:p>
        </w:tc>
        <w:tc>
          <w:tcPr>
            <w:tcW w:type="dxa" w:w="1814"/>
          </w:tcPr>
          <w:p>
            <w:pPr>
              <w:keepNext/>
              <w:spacing w:after="0"/>
              <w:jc w:val="center"/>
            </w:pPr>
            <w:r>
              <w:rPr>
                <w:sz w:val="17"/>
              </w:rPr>
              <w:t>0,50</w:t>
            </w:r>
          </w:p>
        </w:tc>
      </w:tr>
      <w:tr>
        <w:tc>
          <w:tcPr>
            <w:tcW w:type="dxa" w:w="3402"/>
            <w:tcBorders>
              <w:bottom w:val="single" w:sz="8" w:color="000000"/>
            </w:tcBorders>
          </w:tcPr>
          <w:p>
            <w:pPr>
              <w:keepNext w:val="0"/>
              <w:spacing w:after="0"/>
              <w:jc w:val="left"/>
            </w:pPr>
            <w:r>
              <w:rPr>
                <w:sz w:val="17"/>
              </w:rPr>
              <w:t>Hybrid LightGBM, τ = 0,9</w:t>
            </w:r>
          </w:p>
        </w:tc>
        <w:tc>
          <w:tcPr>
            <w:tcW w:type="dxa" w:w="1474"/>
            <w:tcBorders>
              <w:bottom w:val="single" w:sz="8" w:color="000000"/>
            </w:tcBorders>
          </w:tcPr>
          <w:p>
            <w:pPr>
              <w:keepNext w:val="0"/>
              <w:spacing w:after="0"/>
              <w:jc w:val="center"/>
            </w:pPr>
            <w:r>
              <w:rPr>
                <w:sz w:val="17"/>
              </w:rPr>
              <w:t>0,8%</w:t>
            </w:r>
          </w:p>
        </w:tc>
        <w:tc>
          <w:tcPr>
            <w:tcW w:type="dxa" w:w="1814"/>
            <w:tcBorders>
              <w:bottom w:val="single" w:sz="8" w:color="000000"/>
            </w:tcBorders>
          </w:tcPr>
          <w:p>
            <w:pPr>
              <w:keepNext w:val="0"/>
              <w:spacing w:after="0"/>
              <w:jc w:val="center"/>
            </w:pPr>
            <w:r>
              <w:rPr>
                <w:sz w:val="17"/>
              </w:rPr>
              <w:t>0,64</w:t>
            </w:r>
          </w:p>
        </w:tc>
      </w:tr>
    </w:tbl>
    <w:p>
      <w:pPr>
        <w:spacing w:after="40"/>
      </w:pPr>
    </w:p>
    <w:p>
      <w:pPr>
        <w:jc w:val="both"/>
      </w:pPr>
      <w:r>
        <w:rPr>
          <w:b/>
        </w:rPr>
        <w:t>Serverless Azure 2019.</w:t>
      </w:r>
      <w:r>
        <w:rPr/>
        <w:t xml:space="preserve"> Rencana pre-warm berbasis TSFM mengalahkan keep-alive reaktif di seluruh kurva (Tabel 7, Gambar 4 kiri). Pada tingkat cold start 5%, instance menganggur per kebutuhan adalah 0,064 untuk TimesFM-3, 0,119 untuk LightGBM, dan 0,166 untuk keep-alive, atau penghematan ±60% dibanding reaktif dan ±45% dibanding LightGBM. Pada cold start ±2%, keep-alive butuh 0,84 instance menganggur per kebutuhan, sedangkan Chronos-2 hanya 0,18.</w:t>
      </w:r>
    </w:p>
    <w:p>
      <w:pPr>
        <w:jc w:val="both"/>
      </w:pPr>
      <w:r>
        <w:rPr>
          <w:b/>
        </w:rPr>
        <w:t>Serverless Azure 2021.</w:t>
      </w:r>
      <w:r>
        <w:rPr/>
        <w:t xml:space="preserve"> Rencana prediktif murni gagal untuk semua model: cold start 69–89%, karena invokasi yang jarang tidak terprediksi oleh rencana per jam. Dalam mode hybrid, cold start turun ke 5–7%. Untuk naive, LSTM, dan LightGBM, kapasitas menganggurnya (1,4–1,9) hampir sama dengan keep-alive saja (±1,4 pada cold start 7%). Untuk TSFM angkanya 2,4–7,3, artinya TSFM menambah kapasitas terbuang tanpa mengurangi cold start.</w:t>
      </w:r>
    </w:p>
    <w:p>
      <w:pPr>
        <w:keepNext/>
      </w:pPr>
      <w:r>
        <w:rPr>
          <w:b/>
          <w:sz w:val="19"/>
        </w:rPr>
        <w:t>Tabel 8.</w:t>
      </w:r>
      <w:r>
        <w:rPr>
          <w:sz w:val="19"/>
        </w:rPr>
        <w:t xml:space="preserve"> Simulasi VM Alibaba: replika berlebih per replika yang dibutuhkan pada risiko kekurangan kapasitas yang sama (interpolasi; “–”: di luar jangkauan kenop policy).</w:t>
      </w:r>
    </w:p>
    <w:tbl>
      <w:tblPr>
        <w:tblW w:type="auto" w:w="0"/>
        <w:jc w:val="center"/>
        <w:tblLayout w:type="fixed"/>
        <w:tblLook w:firstColumn="1" w:firstRow="1" w:lastColumn="0" w:lastRow="0" w:noHBand="0" w:noVBand="1" w:val="04A0"/>
        <w:tblLayout w:type="fixed"/>
      </w:tblPr>
      <w:tblGrid>
        <w:gridCol w:w="3742"/>
        <w:gridCol w:w="1134"/>
        <w:gridCol w:w="1134"/>
        <w:gridCol w:w="1134"/>
      </w:tblGrid>
      <w:tr>
        <w:tc>
          <w:tcPr>
            <w:tcW w:type="dxa" w:w="3742"/>
            <w:tcBorders>
              <w:top w:val="single" w:sz="8" w:color="000000"/>
              <w:bottom w:val="single" w:sz="4" w:color="000000"/>
            </w:tcBorders>
          </w:tcPr>
          <w:p>
            <w:pPr>
              <w:keepNext/>
              <w:spacing w:after="0"/>
              <w:jc w:val="left"/>
            </w:pPr>
            <w:r>
              <w:rPr>
                <w:b/>
                <w:sz w:val="17"/>
              </w:rPr>
              <w:t>Policy</w:t>
            </w:r>
          </w:p>
        </w:tc>
        <w:tc>
          <w:tcPr>
            <w:tcW w:type="dxa" w:w="1134"/>
            <w:tcBorders>
              <w:top w:val="single" w:sz="8" w:color="000000"/>
              <w:bottom w:val="single" w:sz="4" w:color="000000"/>
            </w:tcBorders>
          </w:tcPr>
          <w:p>
            <w:pPr>
              <w:keepNext/>
              <w:spacing w:after="0"/>
              <w:jc w:val="center"/>
            </w:pPr>
            <w:r>
              <w:rPr>
                <w:b/>
                <w:sz w:val="17"/>
              </w:rPr>
              <w:t>Risiko 5%</w:t>
            </w:r>
          </w:p>
        </w:tc>
        <w:tc>
          <w:tcPr>
            <w:tcW w:type="dxa" w:w="1134"/>
            <w:tcBorders>
              <w:top w:val="single" w:sz="8" w:color="000000"/>
              <w:bottom w:val="single" w:sz="4" w:color="000000"/>
            </w:tcBorders>
          </w:tcPr>
          <w:p>
            <w:pPr>
              <w:keepNext/>
              <w:spacing w:after="0"/>
              <w:jc w:val="center"/>
            </w:pPr>
            <w:r>
              <w:rPr>
                <w:b/>
                <w:sz w:val="17"/>
              </w:rPr>
              <w:t>Risiko 10%</w:t>
            </w:r>
          </w:p>
        </w:tc>
        <w:tc>
          <w:tcPr>
            <w:tcW w:type="dxa" w:w="1134"/>
            <w:tcBorders>
              <w:top w:val="single" w:sz="8" w:color="000000"/>
              <w:bottom w:val="single" w:sz="4" w:color="000000"/>
            </w:tcBorders>
          </w:tcPr>
          <w:p>
            <w:pPr>
              <w:keepNext/>
              <w:spacing w:after="0"/>
              <w:jc w:val="center"/>
            </w:pPr>
            <w:r>
              <w:rPr>
                <w:b/>
                <w:sz w:val="17"/>
              </w:rPr>
              <w:t>Risiko 20%</w:t>
            </w:r>
          </w:p>
        </w:tc>
      </w:tr>
      <w:tr>
        <w:tc>
          <w:tcPr>
            <w:tcW w:type="dxa" w:w="3742"/>
          </w:tcPr>
          <w:p>
            <w:pPr>
              <w:keepNext/>
              <w:spacing w:after="0"/>
              <w:jc w:val="left"/>
            </w:pPr>
            <w:r>
              <w:rPr>
                <w:sz w:val="17"/>
              </w:rPr>
              <w:t>HPA reaktif</w:t>
            </w:r>
          </w:p>
        </w:tc>
        <w:tc>
          <w:tcPr>
            <w:tcW w:type="dxa" w:w="1134"/>
          </w:tcPr>
          <w:p>
            <w:pPr>
              <w:keepNext/>
              <w:spacing w:after="0"/>
              <w:jc w:val="center"/>
            </w:pPr>
            <w:r>
              <w:rPr>
                <w:sz w:val="17"/>
              </w:rPr>
              <w:t>0,242</w:t>
            </w:r>
          </w:p>
        </w:tc>
        <w:tc>
          <w:tcPr>
            <w:tcW w:type="dxa" w:w="1134"/>
          </w:tcPr>
          <w:p>
            <w:pPr>
              <w:keepNext/>
              <w:spacing w:after="0"/>
              <w:jc w:val="center"/>
            </w:pPr>
            <w:r>
              <w:rPr>
                <w:sz w:val="17"/>
              </w:rPr>
              <w:t>0,187</w:t>
            </w:r>
          </w:p>
        </w:tc>
        <w:tc>
          <w:tcPr>
            <w:tcW w:type="dxa" w:w="1134"/>
          </w:tcPr>
          <w:p>
            <w:pPr>
              <w:keepNext/>
              <w:spacing w:after="0"/>
              <w:jc w:val="center"/>
            </w:pPr>
            <w:r>
              <w:rPr>
                <w:sz w:val="17"/>
              </w:rPr>
              <w:t>0,105</w:t>
            </w:r>
          </w:p>
        </w:tc>
      </w:tr>
      <w:tr>
        <w:tc>
          <w:tcPr>
            <w:tcW w:type="dxa" w:w="3742"/>
          </w:tcPr>
          <w:p>
            <w:pPr>
              <w:keepNext/>
              <w:spacing w:after="0"/>
              <w:jc w:val="left"/>
            </w:pPr>
            <w:r>
              <w:rPr>
                <w:sz w:val="17"/>
              </w:rPr>
              <w:t>Hybrid TimesFM-3</w:t>
            </w:r>
          </w:p>
        </w:tc>
        <w:tc>
          <w:tcPr>
            <w:tcW w:type="dxa" w:w="1134"/>
          </w:tcPr>
          <w:p>
            <w:pPr>
              <w:keepNext/>
              <w:spacing w:after="0"/>
              <w:jc w:val="center"/>
            </w:pPr>
            <w:r>
              <w:rPr>
                <w:b/>
                <w:sz w:val="17"/>
              </w:rPr>
              <w:t>0,201</w:t>
            </w:r>
          </w:p>
        </w:tc>
        <w:tc>
          <w:tcPr>
            <w:tcW w:type="dxa" w:w="1134"/>
          </w:tcPr>
          <w:p>
            <w:pPr>
              <w:keepNext/>
              <w:spacing w:after="0"/>
              <w:jc w:val="center"/>
            </w:pPr>
            <w:r>
              <w:rPr>
                <w:sz w:val="17"/>
              </w:rPr>
              <w:t>0,144</w:t>
            </w:r>
          </w:p>
        </w:tc>
        <w:tc>
          <w:tcPr>
            <w:tcW w:type="dxa" w:w="1134"/>
          </w:tcPr>
          <w:p>
            <w:pPr>
              <w:keepNext/>
              <w:spacing w:after="0"/>
              <w:jc w:val="center"/>
            </w:pPr>
            <w:r>
              <w:rPr>
                <w:sz w:val="17"/>
              </w:rPr>
              <w:t>–</w:t>
            </w:r>
          </w:p>
        </w:tc>
      </w:tr>
      <w:tr>
        <w:tc>
          <w:tcPr>
            <w:tcW w:type="dxa" w:w="3742"/>
          </w:tcPr>
          <w:p>
            <w:pPr>
              <w:keepNext/>
              <w:spacing w:after="0"/>
              <w:jc w:val="left"/>
            </w:pPr>
            <w:r>
              <w:rPr>
                <w:sz w:val="17"/>
              </w:rPr>
              <w:t>Hybrid Chronos-2</w:t>
            </w:r>
          </w:p>
        </w:tc>
        <w:tc>
          <w:tcPr>
            <w:tcW w:type="dxa" w:w="1134"/>
          </w:tcPr>
          <w:p>
            <w:pPr>
              <w:keepNext/>
              <w:spacing w:after="0"/>
              <w:jc w:val="center"/>
            </w:pPr>
            <w:r>
              <w:rPr>
                <w:sz w:val="17"/>
              </w:rPr>
              <w:t>–</w:t>
            </w:r>
          </w:p>
        </w:tc>
        <w:tc>
          <w:tcPr>
            <w:tcW w:type="dxa" w:w="1134"/>
          </w:tcPr>
          <w:p>
            <w:pPr>
              <w:keepNext/>
              <w:spacing w:after="0"/>
              <w:jc w:val="center"/>
            </w:pPr>
            <w:r>
              <w:rPr>
                <w:b/>
                <w:sz w:val="17"/>
              </w:rPr>
              <w:t>0,141</w:t>
            </w:r>
          </w:p>
        </w:tc>
        <w:tc>
          <w:tcPr>
            <w:tcW w:type="dxa" w:w="1134"/>
          </w:tcPr>
          <w:p>
            <w:pPr>
              <w:keepNext/>
              <w:spacing w:after="0"/>
              <w:jc w:val="center"/>
            </w:pPr>
            <w:r>
              <w:rPr>
                <w:sz w:val="17"/>
              </w:rPr>
              <w:t>–</w:t>
            </w:r>
          </w:p>
        </w:tc>
      </w:tr>
      <w:tr>
        <w:tc>
          <w:tcPr>
            <w:tcW w:type="dxa" w:w="3742"/>
          </w:tcPr>
          <w:p>
            <w:pPr>
              <w:keepNext/>
              <w:spacing w:after="0"/>
              <w:jc w:val="left"/>
            </w:pPr>
            <w:r>
              <w:rPr>
                <w:sz w:val="17"/>
              </w:rPr>
              <w:t>Hybrid MSTL-ARIMA</w:t>
            </w:r>
          </w:p>
        </w:tc>
        <w:tc>
          <w:tcPr>
            <w:tcW w:type="dxa" w:w="1134"/>
          </w:tcPr>
          <w:p>
            <w:pPr>
              <w:keepNext/>
              <w:spacing w:after="0"/>
              <w:jc w:val="center"/>
            </w:pPr>
            <w:r>
              <w:rPr>
                <w:sz w:val="17"/>
              </w:rPr>
              <w:t>–</w:t>
            </w:r>
          </w:p>
        </w:tc>
        <w:tc>
          <w:tcPr>
            <w:tcW w:type="dxa" w:w="1134"/>
          </w:tcPr>
          <w:p>
            <w:pPr>
              <w:keepNext/>
              <w:spacing w:after="0"/>
              <w:jc w:val="center"/>
            </w:pPr>
            <w:r>
              <w:rPr>
                <w:sz w:val="17"/>
              </w:rPr>
              <w:t>0,142</w:t>
            </w:r>
          </w:p>
        </w:tc>
        <w:tc>
          <w:tcPr>
            <w:tcW w:type="dxa" w:w="1134"/>
          </w:tcPr>
          <w:p>
            <w:pPr>
              <w:keepNext/>
              <w:spacing w:after="0"/>
              <w:jc w:val="center"/>
            </w:pPr>
            <w:r>
              <w:rPr>
                <w:sz w:val="17"/>
              </w:rPr>
              <w:t>–</w:t>
            </w:r>
          </w:p>
        </w:tc>
      </w:tr>
      <w:tr>
        <w:tc>
          <w:tcPr>
            <w:tcW w:type="dxa" w:w="3742"/>
          </w:tcPr>
          <w:p>
            <w:pPr>
              <w:keepNext/>
              <w:spacing w:after="0"/>
              <w:jc w:val="left"/>
            </w:pPr>
            <w:r>
              <w:rPr>
                <w:sz w:val="17"/>
              </w:rPr>
              <w:t>Hybrid LightGBM</w:t>
            </w:r>
          </w:p>
        </w:tc>
        <w:tc>
          <w:tcPr>
            <w:tcW w:type="dxa" w:w="1134"/>
          </w:tcPr>
          <w:p>
            <w:pPr>
              <w:keepNext/>
              <w:spacing w:after="0"/>
              <w:jc w:val="center"/>
            </w:pPr>
            <w:r>
              <w:rPr>
                <w:sz w:val="17"/>
              </w:rPr>
              <w:t>–</w:t>
            </w:r>
          </w:p>
        </w:tc>
        <w:tc>
          <w:tcPr>
            <w:tcW w:type="dxa" w:w="1134"/>
          </w:tcPr>
          <w:p>
            <w:pPr>
              <w:keepNext/>
              <w:spacing w:after="0"/>
              <w:jc w:val="center"/>
            </w:pPr>
            <w:r>
              <w:rPr>
                <w:sz w:val="17"/>
              </w:rPr>
              <w:t>0,149</w:t>
            </w:r>
          </w:p>
        </w:tc>
        <w:tc>
          <w:tcPr>
            <w:tcW w:type="dxa" w:w="1134"/>
          </w:tcPr>
          <w:p>
            <w:pPr>
              <w:keepNext/>
              <w:spacing w:after="0"/>
              <w:jc w:val="center"/>
            </w:pPr>
            <w:r>
              <w:rPr>
                <w:sz w:val="17"/>
              </w:rPr>
              <w:t>–</w:t>
            </w:r>
          </w:p>
        </w:tc>
      </w:tr>
      <w:tr>
        <w:tc>
          <w:tcPr>
            <w:tcW w:type="dxa" w:w="3742"/>
          </w:tcPr>
          <w:p>
            <w:pPr>
              <w:keepNext/>
              <w:spacing w:after="0"/>
              <w:jc w:val="left"/>
            </w:pPr>
            <w:r>
              <w:rPr>
                <w:sz w:val="17"/>
              </w:rPr>
              <w:t>Prediktif Chronos-2 / TimesFM-3</w:t>
            </w:r>
          </w:p>
        </w:tc>
        <w:tc>
          <w:tcPr>
            <w:tcW w:type="dxa" w:w="1134"/>
          </w:tcPr>
          <w:p>
            <w:pPr>
              <w:keepNext/>
              <w:spacing w:after="0"/>
              <w:jc w:val="center"/>
            </w:pPr>
            <w:r>
              <w:rPr>
                <w:sz w:val="17"/>
              </w:rPr>
              <w:t>–</w:t>
            </w:r>
          </w:p>
        </w:tc>
        <w:tc>
          <w:tcPr>
            <w:tcW w:type="dxa" w:w="1134"/>
          </w:tcPr>
          <w:p>
            <w:pPr>
              <w:keepNext/>
              <w:spacing w:after="0"/>
              <w:jc w:val="center"/>
            </w:pPr>
            <w:r>
              <w:rPr>
                <w:sz w:val="17"/>
              </w:rPr>
              <w:t>0,168</w:t>
            </w:r>
          </w:p>
        </w:tc>
        <w:tc>
          <w:tcPr>
            <w:tcW w:type="dxa" w:w="1134"/>
          </w:tcPr>
          <w:p>
            <w:pPr>
              <w:keepNext/>
              <w:spacing w:after="0"/>
              <w:jc w:val="center"/>
            </w:pPr>
            <w:r>
              <w:rPr>
                <w:sz w:val="17"/>
              </w:rPr>
              <w:t>0,106</w:t>
            </w:r>
          </w:p>
        </w:tc>
      </w:tr>
      <w:tr>
        <w:tc>
          <w:tcPr>
            <w:tcW w:type="dxa" w:w="3742"/>
            <w:tcBorders>
              <w:bottom w:val="single" w:sz="8" w:color="000000"/>
            </w:tcBorders>
          </w:tcPr>
          <w:p>
            <w:pPr>
              <w:keepNext w:val="0"/>
              <w:spacing w:after="0"/>
              <w:jc w:val="left"/>
            </w:pPr>
            <w:r>
              <w:rPr>
                <w:sz w:val="17"/>
              </w:rPr>
              <w:t>Prediktif MSTL-ARIMA</w:t>
            </w:r>
          </w:p>
        </w:tc>
        <w:tc>
          <w:tcPr>
            <w:tcW w:type="dxa" w:w="1134"/>
            <w:tcBorders>
              <w:bottom w:val="single" w:sz="8" w:color="000000"/>
            </w:tcBorders>
          </w:tcPr>
          <w:p>
            <w:pPr>
              <w:keepNext w:val="0"/>
              <w:spacing w:after="0"/>
              <w:jc w:val="center"/>
            </w:pPr>
            <w:r>
              <w:rPr>
                <w:sz w:val="17"/>
              </w:rPr>
              <w:t>–</w:t>
            </w:r>
          </w:p>
        </w:tc>
        <w:tc>
          <w:tcPr>
            <w:tcW w:type="dxa" w:w="1134"/>
            <w:tcBorders>
              <w:bottom w:val="single" w:sz="8" w:color="000000"/>
            </w:tcBorders>
          </w:tcPr>
          <w:p>
            <w:pPr>
              <w:keepNext w:val="0"/>
              <w:spacing w:after="0"/>
              <w:jc w:val="center"/>
            </w:pPr>
            <w:r>
              <w:rPr>
                <w:sz w:val="17"/>
              </w:rPr>
              <w:t>–</w:t>
            </w:r>
          </w:p>
        </w:tc>
        <w:tc>
          <w:tcPr>
            <w:tcW w:type="dxa" w:w="1134"/>
            <w:tcBorders>
              <w:bottom w:val="single" w:sz="8" w:color="000000"/>
            </w:tcBorders>
          </w:tcPr>
          <w:p>
            <w:pPr>
              <w:keepNext w:val="0"/>
              <w:spacing w:after="0"/>
              <w:jc w:val="center"/>
            </w:pPr>
            <w:r>
              <w:rPr>
                <w:sz w:val="17"/>
              </w:rPr>
              <w:t>0,114</w:t>
            </w:r>
          </w:p>
        </w:tc>
      </w:tr>
    </w:tbl>
    <w:p>
      <w:pPr>
        <w:spacing w:after="40"/>
      </w:pPr>
    </w:p>
    <w:p>
      <w:pPr>
        <w:jc w:val="both"/>
      </w:pPr>
      <w:r>
        <w:rPr>
          <w:b/>
        </w:rPr>
        <w:t>VM Alibaba.</w:t>
      </w:r>
      <w:r>
        <w:rPr/>
        <w:t xml:space="preserve"> Rencana prediktif per jam tidak lebih baik daripada HPA reaktif (0,106 vs 0,105 pada risiko 20%; Tabel 8). Beban VM berautokorelasi tinggi, sehingga reaksi setiap 5 menit sudah menangkap sebagian besar informasinya. Mode hybrid menghemat ±24% kapasitas berlebih pada risiko 10% (0,141 vs 0,187), tetapi TSFM hampir setara dengan MSTL-ARIMA (0,141 vs 0,142).</w:t>
      </w:r>
    </w:p>
    <w:p>
      <w:pPr>
        <w:jc w:val="both"/>
      </w:pPr>
      <w:r>
        <w:rPr>
          <w:b/>
        </w:rPr>
        <w:t>Apakah urutan akurasi menentukan urutan keputusan?</w:t>
      </w:r>
      <w:r>
        <w:rPr/>
        <w:t xml:space="preserve"> Korelasi Spearman antara peringkat relMASE dan peringkat biaya pada risiko yang sama tinggi: 0,87 (Alibaba hybrid, risiko 10%), 0,99 (Alibaba prediktif, risiko 20%), dan 0,82 (Azure 2019 prediktif, cold start 5%). Model yang lebih akurat cenderung menghasilkan keputusan yang lebih baik, jadi hipotesis awal kami bahwa urutannya akan banyak berubah tidak terbukti. Yang berubah adalah besar selisihnya. Di Alibaba-hybrid, keunggulan akurasi TSFM sebesar 7–12% menyusut menjadi 1–5% pada biaya keputusan. Di Azure 2019, keunggulan akurasi ±30% justru membesar menjadi ±45% pada kapasitas menganggur.</w:t>
      </w:r>
    </w:p>
    <w:p>
      <w:pPr>
        <w:pStyle w:val="Heading1"/>
      </w:pPr>
      <w:r>
        <w:t>5. Diskusi</w:t>
      </w:r>
    </w:p>
    <w:p>
      <w:pPr>
        <w:pStyle w:val="Heading2"/>
      </w:pPr>
      <w:r>
        <w:t>5.1 Kapan TSFM layak dipakai untuk autoscaling</w:t>
      </w:r>
    </w:p>
    <w:p>
      <w:pPr>
        <w:jc w:val="both"/>
      </w:pPr>
      <w:r>
        <w:rPr/>
        <w:t>Hasil di atas menghasilkan tiga panduan praktis:</w:t>
      </w:r>
    </w:p>
    <w:p>
      <w:pPr>
        <w:pStyle w:val="ListBullet"/>
        <w:jc w:val="both"/>
      </w:pPr>
      <w:r>
        <w:rPr>
          <w:b/>
        </w:rPr>
        <w:t>Pre-warming serverless untuk aplikasi yang cukup aktif.</w:t>
      </w:r>
      <w:r>
        <w:rPr/>
        <w:t xml:space="preserve"> Di sinilah TSFM paling bernilai: tanpa training per aplikasi, rencana pre-warm per jam memangkas instance menganggur hampir setengahnya dibanding LightGBM dan lebih dari setengahnya dibanding keep-alive.</w:t>
      </w:r>
    </w:p>
    <w:p>
      <w:pPr>
        <w:pStyle w:val="ListBullet"/>
        <w:jc w:val="both"/>
      </w:pPr>
      <w:r>
        <w:rPr>
          <w:b/>
        </w:rPr>
        <w:t>Aplikasi yang hampir selalu menganggur.</w:t>
      </w:r>
      <w:r>
        <w:rPr/>
        <w:t xml:space="preserve"> Untuk aplikasi seperti ini, keep-alive biasa atau model sederhana yang mampu meramalkan nol lebih aman. Rule sederhana berbasis fraksi menit tanpa invokasi pada histori bisa dipakai untuk mengarahkan aplikasi ke policy yang tepat.</w:t>
      </w:r>
    </w:p>
    <w:p>
      <w:pPr>
        <w:pStyle w:val="ListBullet"/>
        <w:jc w:val="both"/>
      </w:pPr>
      <w:r>
        <w:rPr>
          <w:b/>
        </w:rPr>
        <w:t>Autoscaling VM yang sudah reaktif.</w:t>
      </w:r>
      <w:r>
        <w:rPr/>
        <w:t xml:space="preserve"> Forecast lebih berguna sebagai batas bawah kapasitas (hybrid) daripada pengganti kontrol reaktif, dan pada mode ini model statistik klasik sudah memberi sebagian besar manfaatnya.</w:t>
      </w:r>
    </w:p>
    <w:p>
      <w:pPr>
        <w:jc w:val="both"/>
      </w:pPr>
      <w:r>
        <w:rPr/>
        <w:t>Dari sisi biaya, Chronos-2 dan Toto (mode mean) adalah pilihan default yang masuk akal di CPU. Konteks perlu dipilih per resolusi: minimal 3,5 hari untuk data 5 menit, dan sekitar 8 jam untuk Chronos-2 pada data 1 menit.</w:t>
      </w:r>
    </w:p>
    <w:p>
      <w:pPr>
        <w:pStyle w:val="Heading2"/>
      </w:pPr>
      <w:r>
        <w:t>5.2 Kaitan dengan autoscaling hemat energi</w:t>
      </w:r>
    </w:p>
    <w:p>
      <w:pPr>
        <w:jc w:val="both"/>
      </w:pPr>
      <w:r>
        <w:rPr/>
        <w:t>Simulator kami mengeluarkan deret kapasitas aktif per menit untuk setiap policy. Deret ini dapat langsung dipetakan ke konsumsi energi dengan model daya linear P = P₀ + (P₁ − P₀)·u, dengan P₀ daya saat menganggur dan P₁ daya pada utilisasi penuh, sehingga hasil RQ3 menjadi masukan untuk studi autoscaling hemat energi yang memakai komponen forecasting yang sama. Biaya inferensi dari RQ2 juga perlu dihitung sebagai overhead energi forecaster itu sendiri.</w:t>
      </w:r>
    </w:p>
    <w:p>
      <w:pPr>
        <w:pStyle w:val="Heading2"/>
      </w:pPr>
      <w:r>
        <w:t>5.3 Ancaman terhadap validitas</w:t>
      </w:r>
    </w:p>
    <w:p>
      <w:pPr>
        <w:pStyle w:val="ListBullet"/>
        <w:jc w:val="both"/>
      </w:pPr>
      <w:r>
        <w:rPr>
          <w:b/>
        </w:rPr>
        <w:t>Kebocoran pretraining.</w:t>
      </w:r>
      <w:r>
        <w:rPr/>
        <w:t xml:space="preserve"> Korpus pretraining Moirai (LOTSA) dan model turunan CloudOps [18] kemungkinan memuat Alibaba 2018. Moirai tidak termasuk model terbaik di Alibaba, tetapi kami tidak dapat memastikan korpus model lain.</w:t>
      </w:r>
    </w:p>
    <w:p>
      <w:pPr>
        <w:pStyle w:val="ListBullet"/>
        <w:jc w:val="both"/>
      </w:pPr>
      <w:r>
        <w:rPr>
          <w:b/>
        </w:rPr>
        <w:t>Rencana per jam.</w:t>
      </w:r>
      <w:r>
        <w:rPr/>
        <w:t xml:space="preserve"> Policy prediktif memakai forecast yang dibuat sekali per jam. Forecast yang diperbarui setiap langkah kontrol mungkin mengubah perbandingan dengan policy reaktif, terutama untuk VM.</w:t>
      </w:r>
    </w:p>
    <w:p>
      <w:pPr>
        <w:pStyle w:val="ListBullet"/>
        <w:jc w:val="both"/>
      </w:pPr>
      <w:r>
        <w:rPr>
          <w:b/>
        </w:rPr>
        <w:t>Model simulasi.</w:t>
      </w:r>
      <w:r>
        <w:rPr/>
        <w:t xml:space="preserve"> Kebutuhan instance dihitung dari durasi rata-rata dan konkurensi 1 per instance. Kami tidak memodelkan waktu cold start, kemacetan, atau biaya memori per fungsi.</w:t>
      </w:r>
    </w:p>
    <w:p>
      <w:pPr>
        <w:pStyle w:val="ListBullet"/>
        <w:jc w:val="both"/>
      </w:pPr>
      <w:r>
        <w:rPr>
          <w:b/>
        </w:rPr>
        <w:t>Satu mesin.</w:t>
      </w:r>
      <w:r>
        <w:rPr/>
        <w:t xml:space="preserve"> Semua latensi diukur pada satu laptop ARM. Angka absolutnya akan berbeda di server x86, tetapi urutan relatifnya kemungkinan tidak banyak berubah.</w:t>
      </w:r>
    </w:p>
    <w:p>
      <w:pPr>
        <w:pStyle w:val="ListBullet"/>
        <w:jc w:val="both"/>
      </w:pPr>
      <w:r>
        <w:rPr>
          <w:b/>
        </w:rPr>
        <w:t>Konfigurasi baseline.</w:t>
      </w:r>
      <w:r>
        <w:rPr/>
        <w:t xml:space="preserve"> Baseline terlatih memakai hyperparameter default dengan early stopping. LSTM memakai jendela input 2 jam setelah konfigurasi awal (input 864 langkah) butuh 3,5 jam training di CPU dan tetap menjadi yang terburuk.</w:t>
      </w:r>
    </w:p>
    <w:p>
      <w:pPr>
        <w:pStyle w:val="ListBullet"/>
        <w:jc w:val="both"/>
      </w:pPr>
      <w:r>
        <w:rPr>
          <w:b/>
        </w:rPr>
        <w:t>Cakupan data.</w:t>
      </w:r>
      <w:r>
        <w:rPr/>
        <w:t xml:space="preserve"> Hanya empat trace dan durasi test 2–4 hari. Trace Google 2019 tidak dievaluasi.</w:t>
      </w:r>
    </w:p>
    <w:p>
      <w:pPr>
        <w:pStyle w:val="Heading1"/>
      </w:pPr>
      <w:r>
        <w:t>6. Kesimpulan</w:t>
      </w:r>
    </w:p>
    <w:p>
      <w:pPr>
        <w:jc w:val="both"/>
      </w:pPr>
      <w:r>
        <w:rPr/>
        <w:t>Kami mengevaluasi delapan TSFM secara zero-shot pada empat trace cloud dan serverless publik, dari sisi akurasi, biaya CPU, dan keputusan autoscaling. TSFM generasi 2025–2026 lebih akurat 25–35% daripada baseline terbaik pada beban padat, dan hasil negatif studi sebelumnya tidak terulang untuk model baru. Keunggulan ini tidak berlaku untuk aplikasi serverless yang hampir selalu menganggur. Di tingkat keputusan, manfaatnya besar untuk pre-warming serverless dan kecil untuk VM yang sudah memakai kontrol reaktif. Pekerjaan lanjutan meliputi forecast yang diperbarui setiap langkah kontrol, pemilihan policy otomatis per aplikasi, dan integrasi dengan model energi.</w:t>
      </w:r>
    </w:p>
    <w:p>
      <w:pPr>
        <w:pStyle w:val="Heading1"/>
      </w:pPr>
      <w:r>
        <w:t>Ketersediaan kode dan data</w:t>
      </w:r>
    </w:p>
    <w:p>
      <w:pPr>
        <w:jc w:val="both"/>
      </w:pPr>
      <w:r>
        <w:rPr/>
        <w:t>Seluruh kode (persiapan data, wrapper model dengan revisi checkpoint terkunci, simulator, dan analisis), pembagian data, serta forecast mentah akan dirilis di repositori publik [URL]. Semua trace yang dipakai tersedia publik dengan lisensi masing-masing. Moirai-2.0-R-small berlisensi CC-BY-NC-4.0.</w:t>
      </w:r>
    </w:p>
    <w:p>
      <w:pPr>
        <w:pStyle w:val="Heading1"/>
      </w:pPr>
      <w:r>
        <w:t>Daftar Pustaka</w:t>
      </w:r>
    </w:p>
    <w:p>
      <w:pPr>
        <w:spacing w:after="60"/>
        <w:ind w:left="454" w:hanging="454"/>
      </w:pPr>
      <w:r>
        <w:rPr>
          <w:sz w:val="18"/>
        </w:rPr>
        <w:t>[1]</w:t>
        <w:tab/>
        <w:t>The Kubernetes Authors, "Horizontal Pod Autoscaling," dokumentasi Kubernetes. [Daring]. Tersedia: https://kubernetes.io/docs/tasks/run-application/horizontal-pod-autoscale/</w:t>
      </w:r>
    </w:p>
    <w:p>
      <w:pPr>
        <w:spacing w:after="60"/>
        <w:ind w:left="454" w:hanging="454"/>
      </w:pPr>
      <w:r>
        <w:rPr>
          <w:sz w:val="18"/>
        </w:rPr>
        <w:t>[2]</w:t>
        <w:tab/>
        <w:t>M. Shahrad, R. Fonseca, Í. Goiri, G. Chaudhry, P. Batum, J. Cooke, E. Laureano, C. Tresness, M. Russinovich, dan R. Bianchini, "Serverless in the wild: Characterizing and optimizing the serverless workload at a large cloud provider," dalam Proc. USENIX ATC, 2020, hlm. 205–218.</w:t>
      </w:r>
    </w:p>
    <w:p>
      <w:pPr>
        <w:spacing w:after="60"/>
        <w:ind w:left="454" w:hanging="454"/>
      </w:pPr>
      <w:r>
        <w:rPr>
          <w:sz w:val="18"/>
        </w:rPr>
        <w:t>[3]</w:t>
        <w:tab/>
        <w:t>N. Roy, A. Dubey, dan A. Gokhale, "Efficient autoscaling in the cloud using predictive models for workload forecasting," dalam Proc. IEEE CLOUD, 2011, hlm. 500–507.</w:t>
      </w:r>
    </w:p>
    <w:p>
      <w:pPr>
        <w:spacing w:after="60"/>
        <w:ind w:left="454" w:hanging="454"/>
      </w:pPr>
      <w:r>
        <w:rPr>
          <w:sz w:val="18"/>
        </w:rPr>
        <w:t>[4]</w:t>
        <w:tab/>
        <w:t>A. F. Ansari dkk., "Chronos: Learning the language of time series," Transactions on Machine Learning Research, 2024.</w:t>
      </w:r>
    </w:p>
    <w:p>
      <w:pPr>
        <w:spacing w:after="60"/>
        <w:ind w:left="454" w:hanging="454"/>
      </w:pPr>
      <w:r>
        <w:rPr>
          <w:sz w:val="18"/>
        </w:rPr>
        <w:t>[5]</w:t>
        <w:tab/>
        <w:t>A. Das, W. Kong, R. Sen, dan Y. Zhou, "A decoder-only foundation model for time-series forecasting," dalam Proc. ICML, 2024.</w:t>
      </w:r>
    </w:p>
    <w:p>
      <w:pPr>
        <w:spacing w:after="60"/>
        <w:ind w:left="454" w:hanging="454"/>
      </w:pPr>
      <w:r>
        <w:rPr>
          <w:sz w:val="18"/>
        </w:rPr>
        <w:t>[6]</w:t>
        <w:tab/>
        <w:t>G. Woo, C. Liu, A. Kumar, C. Xiong, S. Savarese, dan D. Sahoo, "Unified training of universal time series forecasting transformers," dalam Proc. ICML, 2024.</w:t>
      </w:r>
    </w:p>
    <w:p>
      <w:pPr>
        <w:spacing w:after="60"/>
        <w:ind w:left="454" w:hanging="454"/>
      </w:pPr>
      <w:r>
        <w:rPr>
          <w:sz w:val="18"/>
        </w:rPr>
        <w:t>[7]</w:t>
        <w:tab/>
        <w:t>V. Ekambaram, A. Jati, P. Dayama, S. Mukherjee, N. H. Nguyen, W. M. Gifford, C. Reddy, dan J. Kalagnanam, "Tiny Time Mixers (TTMs): Fast pre-trained models for enhanced zero/few-shot forecasting of multivariate time series," dalam Proc. NeurIPS, 2024.</w:t>
      </w:r>
    </w:p>
    <w:p>
      <w:pPr>
        <w:spacing w:after="60"/>
        <w:ind w:left="454" w:hanging="454"/>
      </w:pPr>
      <w:r>
        <w:rPr>
          <w:sz w:val="18"/>
        </w:rPr>
        <w:t>[8]</w:t>
        <w:tab/>
        <w:t>W. Toner, T. L. Lee, A. Joosen, R. Singh, dan M. Asenov, "Performance of zero-shot time series foundation models on cloud data," ICLR 2025 Workshop "I Can't Believe It's Not Better", arXiv:2502.12944, 2025.</w:t>
      </w:r>
    </w:p>
    <w:p>
      <w:pPr>
        <w:spacing w:after="60"/>
        <w:ind w:left="454" w:hanging="454"/>
      </w:pPr>
      <w:r>
        <w:rPr>
          <w:sz w:val="18"/>
        </w:rPr>
        <w:t>[9]</w:t>
        <w:tab/>
        <w:t>Y. Zhang, Í. Goiri, G. I. Chaudhry, R. Fonseca, S. Elnikety, C. Delimitrou, dan R. Bianchini, "Faster and cheaper serverless computing on harvested resources," dalam Proc. ACM SOSP, 2021, hlm. 724–739.</w:t>
      </w:r>
    </w:p>
    <w:p>
      <w:pPr>
        <w:spacing w:after="60"/>
        <w:ind w:left="454" w:hanging="454"/>
      </w:pPr>
      <w:r>
        <w:rPr>
          <w:sz w:val="18"/>
        </w:rPr>
        <w:t>[10]</w:t>
        <w:tab/>
        <w:t>A. Joosen, A. Hassan, M. Asenov, R. Singh, L. Darlow, J. Wang, dan A. Barker, "How does it function? Characterizing long-term trends in production serverless workloads," dalam Proc. ACM SoCC, 2023, hlm. 443–458.</w:t>
      </w:r>
    </w:p>
    <w:p>
      <w:pPr>
        <w:spacing w:after="60"/>
        <w:ind w:left="454" w:hanging="454"/>
      </w:pPr>
      <w:r>
        <w:rPr>
          <w:sz w:val="18"/>
        </w:rPr>
        <w:t>[11]</w:t>
        <w:tab/>
        <w:t>J. Guo, Z. Chang, S. Wang, H. Ding, Y. Feng, L. Mao, dan Y. Bao, "Who limits the resource efficiency of my datacenter: An analysis of Alibaba datacenter traces," dalam Proc. IEEE/ACM IWQoS, 2019.</w:t>
      </w:r>
    </w:p>
    <w:p>
      <w:pPr>
        <w:spacing w:after="60"/>
        <w:ind w:left="454" w:hanging="454"/>
      </w:pPr>
      <w:r>
        <w:rPr>
          <w:sz w:val="18"/>
        </w:rPr>
        <w:t>[12]</w:t>
        <w:tab/>
        <w:t>A. F. Ansari dkk., "Chronos-2: From univariate to universal forecasting," arXiv:2510.15821, 2025.</w:t>
      </w:r>
    </w:p>
    <w:p>
      <w:pPr>
        <w:spacing w:after="60"/>
        <w:ind w:left="454" w:hanging="454"/>
      </w:pPr>
      <w:r>
        <w:rPr>
          <w:sz w:val="18"/>
        </w:rPr>
        <w:t>[13]</w:t>
        <w:tab/>
        <w:t>Google Research, "TimesFM-3: A zero-shot foundation model for multivariate forecasting," blog dan model card google/timesfm-3.0-pytorch, 2026. Model card TimesFM-2.5: google/timesfm-2.5-200m-pytorch, 2025.</w:t>
      </w:r>
    </w:p>
    <w:p>
      <w:pPr>
        <w:spacing w:after="60"/>
        <w:ind w:left="454" w:hanging="454"/>
      </w:pPr>
      <w:r>
        <w:rPr>
          <w:sz w:val="18"/>
        </w:rPr>
        <w:t>[14]</w:t>
        <w:tab/>
        <w:t>C. Liu, T. Aksu, J. Li dkk., "Moirai 2.0: When less is more for time series forecasting," arXiv:2511.11698, 2025.</w:t>
      </w:r>
    </w:p>
    <w:p>
      <w:pPr>
        <w:spacing w:after="60"/>
        <w:ind w:left="454" w:hanging="454"/>
      </w:pPr>
      <w:r>
        <w:rPr>
          <w:sz w:val="18"/>
        </w:rPr>
        <w:t>[15]</w:t>
        <w:tab/>
        <w:t>A. Auer, P. Podest, D. Klotz, S. Böck, G. Klambauer, dan S. Hochreiter, "TiRex: Zero-shot forecasting across long and short horizons with enhanced in-context learning," dalam Proc. NeurIPS, 2025.</w:t>
      </w:r>
    </w:p>
    <w:p>
      <w:pPr>
        <w:spacing w:after="60"/>
        <w:ind w:left="454" w:hanging="454"/>
      </w:pPr>
      <w:r>
        <w:rPr>
          <w:sz w:val="18"/>
        </w:rPr>
        <w:t>[16]</w:t>
        <w:tab/>
        <w:t>B. Cohen dkk., "This time is different: An observability perspective on time series foundation models," arXiv:2505.14766, 2025.</w:t>
      </w:r>
    </w:p>
    <w:p>
      <w:pPr>
        <w:spacing w:after="60"/>
        <w:ind w:left="454" w:hanging="454"/>
      </w:pPr>
      <w:r>
        <w:rPr>
          <w:sz w:val="18"/>
        </w:rPr>
        <w:t>[17]</w:t>
        <w:tab/>
        <w:t>T. Aksu, G. Woo, J. Liu, X. Liu, C. Liu, S. Savarese, C. Xiong, dan D. Sahoo, "GIFT-Eval: A benchmark for general time series forecasting model evaluation," arXiv:2410.10393, 2024.</w:t>
      </w:r>
    </w:p>
    <w:p>
      <w:pPr>
        <w:spacing w:after="60"/>
        <w:ind w:left="454" w:hanging="454"/>
      </w:pPr>
      <w:r>
        <w:rPr>
          <w:sz w:val="18"/>
        </w:rPr>
        <w:t>[18]</w:t>
        <w:tab/>
        <w:t>G. Woo, C. Liu, A. Kumar, dan D. Sahoo, "Pushing the limits of pre-training for time series forecasting in the CloudOps domain," arXiv:2310.05063, 2023.</w:t>
      </w:r>
    </w:p>
    <w:p>
      <w:pPr>
        <w:spacing w:after="60"/>
        <w:ind w:left="454" w:hanging="454"/>
      </w:pPr>
      <w:r>
        <w:rPr>
          <w:sz w:val="18"/>
        </w:rPr>
        <w:t>[19]</w:t>
        <w:tab/>
        <w:t>A. A. Syntetos, J. E. Boylan, dan J. D. Croston, "On the categorization of demand patterns," Journal of the Operational Research Society, vol. 56, no. 5, hlm. 495–503, 2005.</w:t>
      </w:r>
    </w:p>
    <w:p>
      <w:pPr>
        <w:spacing w:after="60"/>
        <w:ind w:left="454" w:hanging="454"/>
      </w:pPr>
      <w:r>
        <w:rPr>
          <w:sz w:val="18"/>
        </w:rPr>
        <w:t>[20]</w:t>
        <w:tab/>
        <w:t>F. Garza, M. Mergenthaler Canseco, C. Challú, dan K. G. Olivares, "StatsForecast: Lightning fast forecasting with statistical and econometric models," PyCon Salt Lake City, 2022.</w:t>
      </w:r>
    </w:p>
    <w:p>
      <w:pPr>
        <w:spacing w:after="60"/>
        <w:ind w:left="454" w:hanging="454"/>
      </w:pPr>
      <w:r>
        <w:rPr>
          <w:sz w:val="18"/>
        </w:rPr>
        <w:t>[21]</w:t>
        <w:tab/>
        <w:t>K. Bandara, R. J. Hyndman, dan C. Bergmeir, "MSTL: A seasonal-trend decomposition algorithm for time series with multiple seasonal patterns," arXiv:2107.13462, 2021.</w:t>
      </w:r>
    </w:p>
    <w:p>
      <w:pPr>
        <w:spacing w:after="60"/>
        <w:ind w:left="454" w:hanging="454"/>
      </w:pPr>
      <w:r>
        <w:rPr>
          <w:sz w:val="18"/>
        </w:rPr>
        <w:t>[22]</w:t>
        <w:tab/>
        <w:t>J. D. Croston, "Forecasting and stock control for intermittent demands," Operational Research Quarterly, vol. 23, no. 3, hlm. 289–303, 1972.</w:t>
      </w:r>
    </w:p>
    <w:p>
      <w:pPr>
        <w:spacing w:after="60"/>
        <w:ind w:left="454" w:hanging="454"/>
      </w:pPr>
      <w:r>
        <w:rPr>
          <w:sz w:val="18"/>
        </w:rPr>
        <w:t>[23]</w:t>
        <w:tab/>
        <w:t>R. H. Teunter, A. A. Syntetos, dan M. Z. Babai, "Intermittent demand: Linking forecasting to inventory obsolescence," European Journal of Operational Research, vol. 214, no. 3, hlm. 606–615, 2011.</w:t>
      </w:r>
    </w:p>
    <w:p>
      <w:pPr>
        <w:spacing w:after="60"/>
        <w:ind w:left="454" w:hanging="454"/>
      </w:pPr>
      <w:r>
        <w:rPr>
          <w:sz w:val="18"/>
        </w:rPr>
        <w:t>[24]</w:t>
        <w:tab/>
        <w:t>G. Ke, Q. Meng, T. Finley, T. Wang, W. Chen, W. Ma, Q. Ye, dan T.-Y. Liu, "LightGBM: A highly efficient gradient boosting decision tree," dalam Proc. NeurIPS, 2017.</w:t>
      </w:r>
    </w:p>
    <w:p>
      <w:pPr>
        <w:spacing w:after="60"/>
        <w:ind w:left="454" w:hanging="454"/>
      </w:pPr>
      <w:r>
        <w:rPr>
          <w:sz w:val="18"/>
        </w:rPr>
        <w:t>[25]</w:t>
        <w:tab/>
        <w:t>B. N. Oreshkin, D. Carpov, N. Chapados, dan Y. Bengio, "N-BEATS: Neural basis expansion analysis for interpretable time series forecasting," dalam Proc. ICLR, 2020.</w:t>
      </w:r>
    </w:p>
    <w:p>
      <w:pPr>
        <w:spacing w:after="60"/>
        <w:ind w:left="454" w:hanging="454"/>
      </w:pPr>
      <w:r>
        <w:rPr>
          <w:sz w:val="18"/>
        </w:rPr>
        <w:t>[26]</w:t>
        <w:tab/>
        <w:t>S. Hochreiter dan J. Schmidhuber, "Long short-term memory," Neural Computation, vol. 9, no. 8, hlm. 1735–1780, 1997.</w:t>
      </w:r>
    </w:p>
    <w:p>
      <w:pPr>
        <w:spacing w:after="60"/>
        <w:ind w:left="454" w:hanging="454"/>
      </w:pPr>
      <w:r>
        <w:rPr>
          <w:sz w:val="18"/>
        </w:rPr>
        <w:t>[27]</w:t>
        <w:tab/>
        <w:t>K. G. Olivares, C. Challú, F. Garza, M. Mergenthaler Canseco, dan A. Dubrawski, "NeuralForecast: User friendly state-of-the-art neural forecasting models," PyCon Salt Lake City, 2022.</w:t>
      </w:r>
    </w:p>
    <w:p>
      <w:pPr>
        <w:spacing w:after="60"/>
        <w:ind w:left="454" w:hanging="454"/>
      </w:pPr>
      <w:r>
        <w:rPr>
          <w:sz w:val="18"/>
        </w:rPr>
        <w:t>[28]</w:t>
        <w:tab/>
        <w:t>V. Vovk, A. Gammerman, dan G. Shafer, Algorithmic Learning in a Random World. New York: Springer, 2005.</w:t>
      </w:r>
    </w:p>
    <w:p>
      <w:pPr>
        <w:spacing w:after="60"/>
        <w:ind w:left="454" w:hanging="454"/>
      </w:pPr>
      <w:r>
        <w:rPr>
          <w:sz w:val="18"/>
        </w:rPr>
        <w:t>[29]</w:t>
        <w:tab/>
        <w:t>R. J. Hyndman dan A. B. Koehler, "Another look at measures of forecast accuracy," International Journal of Forecasting, vol. 22, no. 4, hlm. 679–688, 2006.</w:t>
      </w:r>
    </w:p>
    <w:p>
      <w:pPr>
        <w:spacing w:after="60"/>
        <w:ind w:left="454" w:hanging="454"/>
      </w:pPr>
      <w:r>
        <w:rPr>
          <w:sz w:val="18"/>
        </w:rPr>
        <w:t>[30]</w:t>
        <w:tab/>
        <w:t>J. Demšar, "Statistical comparisons of classifiers over multiple data sets," Journal of Machine Learning Research, vol. 7, hlm. 1–30, 2006.</w:t>
      </w:r>
    </w:p>
    <w:p>
      <w:pPr>
        <w:spacing w:after="60"/>
        <w:ind w:left="454" w:hanging="454"/>
      </w:pPr>
      <w:r>
        <w:rPr>
          <w:sz w:val="18"/>
        </w:rPr>
        <w:t>[31]</w:t>
        <w:tab/>
        <w:t>J. D. C. Little, "A proof for the queuing formula: L = λW," Operations Research, vol. 9, no. 3, hlm. 383–387, 1961.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